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E7" w:rsidRPr="00B223A5" w:rsidRDefault="00837CC9" w:rsidP="00200F59">
      <w:pPr>
        <w:spacing w:after="0"/>
        <w:rPr>
          <w:rFonts w:ascii="Times New Roman" w:hAnsi="Times New Roman" w:cs="Times New Roman"/>
          <w:b/>
          <w:bCs/>
          <w:sz w:val="28"/>
        </w:rPr>
      </w:pPr>
      <w:bookmarkStart w:id="0" w:name="_GoBack"/>
      <w:bookmarkEnd w:id="0"/>
      <w:r w:rsidRPr="00837CC9">
        <w:rPr>
          <w:rFonts w:ascii="Times New Roman" w:hAnsi="Times New Roman" w:cs="Times New Roman"/>
          <w:b/>
          <w:bCs/>
          <w:sz w:val="28"/>
        </w:rPr>
        <w:t>Inequality, Green Spaces, and Pre</w:t>
      </w:r>
      <w:r w:rsidR="00383516">
        <w:rPr>
          <w:rFonts w:ascii="Times New Roman" w:hAnsi="Times New Roman" w:cs="Times New Roman"/>
          <w:b/>
          <w:bCs/>
          <w:sz w:val="28"/>
        </w:rPr>
        <w:t>gnant Women: Roles of Ethnicity</w:t>
      </w:r>
      <w:r w:rsidRPr="00837CC9">
        <w:rPr>
          <w:rFonts w:ascii="Times New Roman" w:hAnsi="Times New Roman" w:cs="Times New Roman"/>
          <w:b/>
          <w:bCs/>
          <w:sz w:val="28"/>
        </w:rPr>
        <w:t xml:space="preserve"> </w:t>
      </w:r>
      <w:r w:rsidR="00200F59">
        <w:rPr>
          <w:rFonts w:ascii="Times New Roman" w:hAnsi="Times New Roman" w:cs="Times New Roman"/>
          <w:b/>
          <w:bCs/>
          <w:sz w:val="28"/>
        </w:rPr>
        <w:t>and Individual</w:t>
      </w:r>
      <w:r w:rsidRPr="00837CC9">
        <w:rPr>
          <w:rFonts w:ascii="Times New Roman" w:hAnsi="Times New Roman" w:cs="Times New Roman"/>
          <w:b/>
          <w:bCs/>
          <w:sz w:val="28"/>
        </w:rPr>
        <w:t xml:space="preserve"> and Neighbourhood Socioeconomic Status </w:t>
      </w:r>
    </w:p>
    <w:p w:rsidR="007136E7" w:rsidRPr="00B223A5" w:rsidRDefault="007136E7">
      <w:pPr>
        <w:spacing w:after="0"/>
        <w:rPr>
          <w:rFonts w:ascii="Times New Roman" w:hAnsi="Times New Roman" w:cs="Times New Roman"/>
          <w:b/>
          <w:bCs/>
          <w:sz w:val="28"/>
        </w:rPr>
      </w:pPr>
    </w:p>
    <w:p w:rsidR="007136E7" w:rsidRPr="00B223A5" w:rsidRDefault="007136E7">
      <w:pPr>
        <w:spacing w:after="0"/>
        <w:rPr>
          <w:rFonts w:ascii="Times New Roman" w:hAnsi="Times New Roman" w:cs="Times New Roman"/>
          <w:b/>
          <w:bCs/>
          <w:sz w:val="28"/>
        </w:rPr>
      </w:pPr>
    </w:p>
    <w:p w:rsidR="007136E7" w:rsidRPr="00B223A5" w:rsidRDefault="00837CC9">
      <w:pPr>
        <w:spacing w:after="0"/>
        <w:rPr>
          <w:rFonts w:ascii="Times New Roman" w:hAnsi="Times New Roman" w:cs="Times New Roman"/>
          <w:b/>
        </w:rPr>
      </w:pPr>
      <w:r w:rsidRPr="00837CC9">
        <w:rPr>
          <w:rFonts w:ascii="Times New Roman" w:hAnsi="Times New Roman" w:cs="Times New Roman"/>
          <w:b/>
        </w:rPr>
        <w:t>Authors:</w:t>
      </w:r>
    </w:p>
    <w:p w:rsidR="007136E7" w:rsidRPr="00B223A5" w:rsidRDefault="00837CC9" w:rsidP="00B4416E">
      <w:pPr>
        <w:spacing w:after="0"/>
        <w:rPr>
          <w:rFonts w:ascii="Times New Roman" w:hAnsi="Times New Roman" w:cs="Times New Roman"/>
          <w:bCs/>
        </w:rPr>
      </w:pPr>
      <w:r w:rsidRPr="00837CC9">
        <w:rPr>
          <w:rFonts w:ascii="Times New Roman" w:hAnsi="Times New Roman" w:cs="Times New Roman"/>
          <w:bCs/>
        </w:rPr>
        <w:t>Payam Dadvand,</w:t>
      </w:r>
      <w:r w:rsidR="00B4416E">
        <w:rPr>
          <w:rFonts w:ascii="Times New Roman" w:hAnsi="Times New Roman" w:cs="Times New Roman"/>
          <w:bCs/>
          <w:vertAlign w:val="superscript"/>
        </w:rPr>
        <w:t>a,b,c</w:t>
      </w:r>
      <w:r w:rsidRPr="00837CC9">
        <w:rPr>
          <w:rFonts w:ascii="Times New Roman" w:hAnsi="Times New Roman" w:cs="Times New Roman"/>
          <w:bCs/>
        </w:rPr>
        <w:t xml:space="preserve"> John Wright,</w:t>
      </w:r>
      <w:r w:rsidR="00B4416E">
        <w:rPr>
          <w:rFonts w:ascii="Times New Roman" w:hAnsi="Times New Roman" w:cs="Times New Roman"/>
          <w:bCs/>
          <w:vertAlign w:val="superscript"/>
        </w:rPr>
        <w:t>d</w:t>
      </w:r>
      <w:r w:rsidRPr="00837CC9">
        <w:rPr>
          <w:rFonts w:ascii="Times New Roman" w:hAnsi="Times New Roman" w:cs="Times New Roman"/>
          <w:bCs/>
        </w:rPr>
        <w:t xml:space="preserve"> David Martinez,</w:t>
      </w:r>
      <w:r w:rsidR="00B4416E">
        <w:rPr>
          <w:rFonts w:ascii="Times New Roman" w:hAnsi="Times New Roman" w:cs="Times New Roman"/>
          <w:bCs/>
          <w:vertAlign w:val="superscript"/>
        </w:rPr>
        <w:t>a,b,c</w:t>
      </w:r>
      <w:r w:rsidR="00B4416E" w:rsidRPr="00837CC9">
        <w:rPr>
          <w:rFonts w:ascii="Times New Roman" w:hAnsi="Times New Roman" w:cs="Times New Roman"/>
          <w:bCs/>
        </w:rPr>
        <w:t xml:space="preserve"> </w:t>
      </w:r>
      <w:r w:rsidRPr="00837CC9">
        <w:rPr>
          <w:rFonts w:ascii="Times New Roman" w:hAnsi="Times New Roman" w:cs="Times New Roman"/>
          <w:bCs/>
        </w:rPr>
        <w:t>Xavier Basagaña,</w:t>
      </w:r>
      <w:r w:rsidR="00B4416E">
        <w:rPr>
          <w:rFonts w:ascii="Times New Roman" w:hAnsi="Times New Roman" w:cs="Times New Roman"/>
          <w:bCs/>
          <w:vertAlign w:val="superscript"/>
        </w:rPr>
        <w:t>a,b,c</w:t>
      </w:r>
      <w:r w:rsidRPr="00837CC9">
        <w:rPr>
          <w:rFonts w:ascii="Times New Roman" w:hAnsi="Times New Roman" w:cs="Times New Roman"/>
          <w:bCs/>
        </w:rPr>
        <w:t xml:space="preserve"> </w:t>
      </w:r>
      <w:r w:rsidR="00BD5A4D" w:rsidRPr="00BD5A4D">
        <w:rPr>
          <w:rFonts w:ascii="Times New Roman" w:hAnsi="Times New Roman" w:cs="Times New Roman"/>
          <w:bCs/>
        </w:rPr>
        <w:t>Rosie R. C. McEachan</w:t>
      </w:r>
      <w:r w:rsidR="00BD5A4D">
        <w:rPr>
          <w:rFonts w:ascii="Times New Roman" w:hAnsi="Times New Roman" w:cs="Times New Roman"/>
          <w:bCs/>
        </w:rPr>
        <w:t>,</w:t>
      </w:r>
      <w:r w:rsidR="00B4416E">
        <w:rPr>
          <w:rFonts w:ascii="Times New Roman" w:hAnsi="Times New Roman" w:cs="Times New Roman"/>
          <w:bCs/>
          <w:vertAlign w:val="superscript"/>
        </w:rPr>
        <w:t>d</w:t>
      </w:r>
      <w:r w:rsidR="00BD5A4D">
        <w:rPr>
          <w:rFonts w:ascii="Times New Roman" w:hAnsi="Times New Roman" w:cs="Times New Roman"/>
          <w:bCs/>
        </w:rPr>
        <w:t xml:space="preserve"> </w:t>
      </w:r>
      <w:r w:rsidRPr="00837CC9">
        <w:rPr>
          <w:rFonts w:ascii="Times New Roman" w:hAnsi="Times New Roman" w:cs="Times New Roman"/>
          <w:bCs/>
        </w:rPr>
        <w:t>Marta Cirach,</w:t>
      </w:r>
      <w:r w:rsidR="00B4416E">
        <w:rPr>
          <w:rFonts w:ascii="Times New Roman" w:hAnsi="Times New Roman" w:cs="Times New Roman"/>
          <w:bCs/>
          <w:vertAlign w:val="superscript"/>
        </w:rPr>
        <w:t>a,b,c</w:t>
      </w:r>
      <w:r w:rsidRPr="00837CC9">
        <w:rPr>
          <w:rFonts w:ascii="Times New Roman" w:hAnsi="Times New Roman" w:cs="Times New Roman"/>
          <w:bCs/>
        </w:rPr>
        <w:t xml:space="preserve"> Christopher J. Gidlow,</w:t>
      </w:r>
      <w:r w:rsidR="00B4416E">
        <w:rPr>
          <w:rFonts w:ascii="Times New Roman" w:hAnsi="Times New Roman" w:cs="Times New Roman"/>
          <w:bCs/>
          <w:vertAlign w:val="superscript"/>
        </w:rPr>
        <w:t>e</w:t>
      </w:r>
      <w:r w:rsidRPr="00837CC9">
        <w:rPr>
          <w:rFonts w:ascii="Times New Roman" w:hAnsi="Times New Roman" w:cs="Times New Roman"/>
          <w:bCs/>
        </w:rPr>
        <w:t xml:space="preserve"> Kees de Hoogh,</w:t>
      </w:r>
      <w:r w:rsidR="00B4416E">
        <w:rPr>
          <w:rFonts w:ascii="Times New Roman" w:hAnsi="Times New Roman" w:cs="Times New Roman"/>
          <w:bCs/>
          <w:vertAlign w:val="superscript"/>
        </w:rPr>
        <w:t>f</w:t>
      </w:r>
      <w:r w:rsidRPr="00837CC9">
        <w:rPr>
          <w:rFonts w:ascii="Times New Roman" w:hAnsi="Times New Roman" w:cs="Times New Roman"/>
          <w:bCs/>
        </w:rPr>
        <w:t xml:space="preserve"> Regina Gražulevičienė,</w:t>
      </w:r>
      <w:r w:rsidR="00B4416E">
        <w:rPr>
          <w:rFonts w:ascii="Times New Roman" w:hAnsi="Times New Roman" w:cs="Times New Roman"/>
          <w:bCs/>
          <w:vertAlign w:val="superscript"/>
        </w:rPr>
        <w:t>g</w:t>
      </w:r>
      <w:r w:rsidRPr="00837CC9">
        <w:rPr>
          <w:rFonts w:ascii="Times New Roman" w:hAnsi="Times New Roman" w:cs="Times New Roman"/>
          <w:bCs/>
        </w:rPr>
        <w:t xml:space="preserve"> Mark J Nieuwenhuijsen</w:t>
      </w:r>
      <w:r w:rsidR="00B4416E">
        <w:rPr>
          <w:rFonts w:ascii="Times New Roman" w:hAnsi="Times New Roman" w:cs="Times New Roman"/>
          <w:bCs/>
          <w:vertAlign w:val="superscript"/>
        </w:rPr>
        <w:t>a,b,c</w:t>
      </w:r>
      <w:r w:rsidRPr="00837CC9">
        <w:rPr>
          <w:rFonts w:ascii="Times New Roman" w:hAnsi="Times New Roman" w:cs="Times New Roman"/>
          <w:bCs/>
        </w:rPr>
        <w:t>.</w:t>
      </w:r>
    </w:p>
    <w:p w:rsidR="007136E7" w:rsidRPr="00B223A5" w:rsidRDefault="007136E7">
      <w:pPr>
        <w:spacing w:after="0"/>
        <w:rPr>
          <w:rFonts w:ascii="Times New Roman" w:hAnsi="Times New Roman" w:cs="Times New Roman"/>
          <w:b/>
          <w:bCs/>
        </w:rPr>
      </w:pPr>
    </w:p>
    <w:p w:rsidR="007136E7" w:rsidRPr="00B223A5" w:rsidRDefault="00837CC9">
      <w:pPr>
        <w:spacing w:after="0"/>
        <w:rPr>
          <w:rFonts w:ascii="Times New Roman" w:hAnsi="Times New Roman" w:cs="Times New Roman"/>
        </w:rPr>
      </w:pPr>
      <w:r w:rsidRPr="00837CC9">
        <w:rPr>
          <w:rFonts w:ascii="Times New Roman" w:hAnsi="Times New Roman" w:cs="Times New Roman"/>
          <w:b/>
          <w:bCs/>
        </w:rPr>
        <w:t>Affiliations:</w:t>
      </w:r>
      <w:r w:rsidRPr="00837CC9">
        <w:rPr>
          <w:rFonts w:ascii="Times New Roman" w:hAnsi="Times New Roman" w:cs="Times New Roman"/>
        </w:rPr>
        <w:t xml:space="preserve"> </w:t>
      </w:r>
    </w:p>
    <w:p w:rsidR="007136E7" w:rsidRPr="00D90676" w:rsidRDefault="00214C40" w:rsidP="00734C13">
      <w:pPr>
        <w:spacing w:after="0"/>
        <w:ind w:left="142" w:hanging="142"/>
        <w:rPr>
          <w:rFonts w:ascii="Times New Roman" w:hAnsi="Times New Roman" w:cs="Times New Roman"/>
        </w:rPr>
      </w:pPr>
      <w:r w:rsidRPr="00D90676">
        <w:rPr>
          <w:rFonts w:ascii="Times New Roman" w:hAnsi="Times New Roman" w:cs="Times New Roman"/>
          <w:vertAlign w:val="superscript"/>
        </w:rPr>
        <w:t>a</w:t>
      </w:r>
      <w:r w:rsidRPr="00D90676">
        <w:rPr>
          <w:rFonts w:ascii="Times New Roman" w:hAnsi="Times New Roman" w:cs="Times New Roman"/>
        </w:rPr>
        <w:t xml:space="preserve"> Centre for Research in Environmental Epidemiology (CREAL), Barcelona, Spain. </w:t>
      </w:r>
    </w:p>
    <w:p w:rsidR="007136E7" w:rsidRPr="0024317E" w:rsidRDefault="00B4416E" w:rsidP="00734C13">
      <w:pPr>
        <w:spacing w:after="0"/>
        <w:ind w:left="142" w:hanging="142"/>
        <w:rPr>
          <w:rFonts w:ascii="Times New Roman" w:hAnsi="Times New Roman" w:cs="Times New Roman"/>
          <w:lang w:val="es-ES"/>
        </w:rPr>
      </w:pPr>
      <w:r w:rsidRPr="0024317E">
        <w:rPr>
          <w:rFonts w:ascii="Times New Roman" w:hAnsi="Times New Roman" w:cs="Times New Roman"/>
          <w:vertAlign w:val="superscript"/>
          <w:lang w:val="es-ES"/>
        </w:rPr>
        <w:t>b</w:t>
      </w:r>
      <w:r w:rsidR="00837CC9" w:rsidRPr="0024317E">
        <w:rPr>
          <w:rFonts w:ascii="Times New Roman" w:hAnsi="Times New Roman" w:cs="Times New Roman"/>
          <w:lang w:val="es-ES"/>
        </w:rPr>
        <w:t xml:space="preserve"> CIBER Epidemiología y Salud Pública (CIBERESP), Barcelona, Spain. </w:t>
      </w:r>
    </w:p>
    <w:p w:rsidR="00150C17" w:rsidRPr="0024317E" w:rsidRDefault="00B4416E" w:rsidP="00734C13">
      <w:pPr>
        <w:spacing w:after="0"/>
        <w:ind w:left="142" w:hanging="142"/>
        <w:rPr>
          <w:rFonts w:ascii="Times New Roman" w:hAnsi="Times New Roman" w:cs="Times New Roman"/>
          <w:vertAlign w:val="superscript"/>
          <w:lang w:val="es-ES"/>
        </w:rPr>
      </w:pPr>
      <w:r w:rsidRPr="0024317E">
        <w:rPr>
          <w:rFonts w:ascii="Times New Roman" w:hAnsi="Times New Roman" w:cs="Times New Roman"/>
          <w:vertAlign w:val="superscript"/>
          <w:lang w:val="es-ES"/>
        </w:rPr>
        <w:t>c</w:t>
      </w:r>
      <w:r w:rsidR="00837CC9" w:rsidRPr="0024317E">
        <w:rPr>
          <w:rFonts w:ascii="Times New Roman" w:hAnsi="Times New Roman" w:cs="Times New Roman"/>
          <w:vertAlign w:val="superscript"/>
          <w:lang w:val="es-ES"/>
        </w:rPr>
        <w:t xml:space="preserve"> </w:t>
      </w:r>
      <w:r w:rsidR="00150C17" w:rsidRPr="0024317E">
        <w:rPr>
          <w:rFonts w:ascii="Times New Roman" w:hAnsi="Times New Roman" w:cs="Times New Roman"/>
          <w:lang w:val="es-ES"/>
        </w:rPr>
        <w:t>Universitat Pompeu Fabra (UPF), Barcelona, Spain.</w:t>
      </w:r>
    </w:p>
    <w:p w:rsidR="007136E7" w:rsidRPr="00B223A5" w:rsidRDefault="00B4416E" w:rsidP="00734C13">
      <w:pPr>
        <w:spacing w:after="0"/>
        <w:ind w:left="142" w:hanging="142"/>
        <w:rPr>
          <w:rFonts w:ascii="Times New Roman" w:hAnsi="Times New Roman" w:cs="Times New Roman"/>
        </w:rPr>
      </w:pPr>
      <w:r>
        <w:rPr>
          <w:rFonts w:ascii="Times New Roman" w:hAnsi="Times New Roman" w:cs="Times New Roman"/>
          <w:vertAlign w:val="superscript"/>
        </w:rPr>
        <w:t>d</w:t>
      </w:r>
      <w:r w:rsidR="00043BDA">
        <w:rPr>
          <w:rFonts w:ascii="Times New Roman" w:hAnsi="Times New Roman" w:cs="Times New Roman"/>
          <w:vertAlign w:val="superscript"/>
        </w:rPr>
        <w:t xml:space="preserve"> </w:t>
      </w:r>
      <w:r w:rsidR="00837CC9" w:rsidRPr="00837CC9">
        <w:rPr>
          <w:rFonts w:ascii="Times New Roman" w:hAnsi="Times New Roman" w:cs="Times New Roman"/>
        </w:rPr>
        <w:t>Bradford Institute for Health Research, Bradford Teaching Hospitals NHS Foundation Trust, Bradford, United Kingdom.</w:t>
      </w:r>
    </w:p>
    <w:p w:rsidR="007136E7" w:rsidRPr="00B223A5" w:rsidRDefault="00B4416E" w:rsidP="00734C13">
      <w:pPr>
        <w:spacing w:after="0"/>
        <w:ind w:left="142" w:hanging="142"/>
        <w:rPr>
          <w:rFonts w:ascii="Times New Roman" w:hAnsi="Times New Roman" w:cs="Times New Roman"/>
        </w:rPr>
      </w:pPr>
      <w:r>
        <w:rPr>
          <w:rFonts w:ascii="Times New Roman" w:hAnsi="Times New Roman" w:cs="Times New Roman"/>
          <w:vertAlign w:val="superscript"/>
        </w:rPr>
        <w:t>e</w:t>
      </w:r>
      <w:r w:rsidR="00837CC9" w:rsidRPr="00837CC9">
        <w:rPr>
          <w:rFonts w:ascii="Times New Roman" w:hAnsi="Times New Roman" w:cs="Times New Roman"/>
        </w:rPr>
        <w:t xml:space="preserve"> Centre for Research in Sport, Health and Exercise, Staffordshire University, Leek Road Campus, Stoke on Trent, United Kingdom.</w:t>
      </w:r>
    </w:p>
    <w:p w:rsidR="007136E7" w:rsidRPr="00B223A5" w:rsidRDefault="00B4416E" w:rsidP="00734C13">
      <w:pPr>
        <w:spacing w:after="0"/>
        <w:ind w:left="142" w:hanging="142"/>
        <w:rPr>
          <w:rFonts w:ascii="Times New Roman" w:hAnsi="Times New Roman" w:cs="Times New Roman"/>
        </w:rPr>
      </w:pPr>
      <w:r>
        <w:rPr>
          <w:rFonts w:ascii="Times New Roman" w:hAnsi="Times New Roman" w:cs="Times New Roman"/>
          <w:vertAlign w:val="superscript"/>
        </w:rPr>
        <w:t>f</w:t>
      </w:r>
      <w:r w:rsidR="00837CC9" w:rsidRPr="00837CC9">
        <w:rPr>
          <w:rFonts w:ascii="Times New Roman" w:hAnsi="Times New Roman" w:cs="Times New Roman"/>
          <w:vertAlign w:val="superscript"/>
        </w:rPr>
        <w:t xml:space="preserve"> </w:t>
      </w:r>
      <w:r w:rsidR="00837CC9" w:rsidRPr="00837CC9">
        <w:rPr>
          <w:rFonts w:ascii="Times New Roman" w:hAnsi="Times New Roman" w:cs="Times New Roman"/>
        </w:rPr>
        <w:t>Small Area Health Statistics Unit, MRC-</w:t>
      </w:r>
      <w:r w:rsidR="00F077E2">
        <w:rPr>
          <w:rFonts w:ascii="Times New Roman" w:hAnsi="Times New Roman" w:cs="Times New Roman"/>
        </w:rPr>
        <w:t>PHE</w:t>
      </w:r>
      <w:r w:rsidR="00837CC9" w:rsidRPr="00837CC9">
        <w:rPr>
          <w:rFonts w:ascii="Times New Roman" w:hAnsi="Times New Roman" w:cs="Times New Roman"/>
        </w:rPr>
        <w:t xml:space="preserve"> Centre for Environment and Health, School of Public Health, Imperial College London, St. Mary’s Campus, London, United Kingdom.</w:t>
      </w:r>
    </w:p>
    <w:p w:rsidR="007136E7" w:rsidRPr="00B223A5" w:rsidRDefault="00B4416E" w:rsidP="00734C13">
      <w:pPr>
        <w:spacing w:after="0"/>
        <w:ind w:left="142" w:hanging="142"/>
        <w:rPr>
          <w:rFonts w:ascii="Times New Roman" w:hAnsi="Times New Roman" w:cs="Times New Roman"/>
        </w:rPr>
      </w:pPr>
      <w:r>
        <w:rPr>
          <w:rFonts w:ascii="Times New Roman" w:hAnsi="Times New Roman" w:cs="Times New Roman"/>
          <w:vertAlign w:val="superscript"/>
        </w:rPr>
        <w:t>g</w:t>
      </w:r>
      <w:r w:rsidR="00837CC9" w:rsidRPr="00837CC9">
        <w:rPr>
          <w:rFonts w:ascii="Times New Roman" w:hAnsi="Times New Roman" w:cs="Times New Roman"/>
          <w:vertAlign w:val="superscript"/>
        </w:rPr>
        <w:t xml:space="preserve"> </w:t>
      </w:r>
      <w:r w:rsidR="00837CC9" w:rsidRPr="00837CC9">
        <w:rPr>
          <w:rFonts w:ascii="Times New Roman" w:hAnsi="Times New Roman" w:cs="Times New Roman"/>
        </w:rPr>
        <w:t>Department of Environmental Sciences, Vytauto Didziojo Universitetas, Kaunas, Lithuania.</w:t>
      </w:r>
    </w:p>
    <w:p w:rsidR="007136E7" w:rsidRPr="00B223A5" w:rsidRDefault="007136E7">
      <w:pPr>
        <w:spacing w:after="0"/>
        <w:rPr>
          <w:rFonts w:ascii="Times New Roman" w:hAnsi="Times New Roman" w:cs="Times New Roman"/>
          <w:b/>
          <w:bCs/>
        </w:rPr>
      </w:pPr>
    </w:p>
    <w:p w:rsidR="007136E7" w:rsidRPr="00734C13" w:rsidRDefault="00837CC9" w:rsidP="00734C13">
      <w:pPr>
        <w:spacing w:after="0"/>
        <w:rPr>
          <w:rFonts w:ascii="Times New Roman" w:hAnsi="Times New Roman" w:cs="Times New Roman"/>
        </w:rPr>
      </w:pPr>
      <w:r w:rsidRPr="00837CC9">
        <w:rPr>
          <w:rFonts w:ascii="Times New Roman" w:hAnsi="Times New Roman" w:cs="Times New Roman"/>
          <w:b/>
          <w:bCs/>
        </w:rPr>
        <w:t xml:space="preserve">Corresponding Author: </w:t>
      </w:r>
      <w:r w:rsidRPr="00837CC9">
        <w:rPr>
          <w:rFonts w:ascii="Times New Roman" w:hAnsi="Times New Roman" w:cs="Times New Roman"/>
        </w:rPr>
        <w:t>Payam Dadvand, CREAL, Doctor Aiguader, 88, 08003 Barcelona, Spain, [</w:t>
      </w:r>
      <w:hyperlink r:id="rId8" w:history="1">
        <w:r w:rsidRPr="00837CC9">
          <w:rPr>
            <w:rStyle w:val="Hyperlink"/>
            <w:rFonts w:ascii="Times New Roman" w:hAnsi="Times New Roman" w:cs="Times New Roman"/>
          </w:rPr>
          <w:t>pdadvand@creal.cat</w:t>
        </w:r>
      </w:hyperlink>
      <w:r w:rsidRPr="00837CC9">
        <w:rPr>
          <w:rFonts w:ascii="Times New Roman" w:hAnsi="Times New Roman" w:cs="Times New Roman"/>
        </w:rPr>
        <w:t>], Tel   +34 93 214 7317, Fax  +34 93 316 0575</w:t>
      </w:r>
    </w:p>
    <w:p w:rsidR="007136E7" w:rsidRPr="00B223A5" w:rsidRDefault="007136E7">
      <w:pPr>
        <w:spacing w:after="0"/>
        <w:rPr>
          <w:rFonts w:ascii="Times New Roman" w:hAnsi="Times New Roman" w:cs="Times New Roman"/>
        </w:rPr>
        <w:sectPr w:rsidR="007136E7" w:rsidRPr="00B223A5">
          <w:footerReference w:type="default" r:id="rId9"/>
          <w:pgSz w:w="11906" w:h="16838"/>
          <w:pgMar w:top="1417" w:right="1701" w:bottom="1417" w:left="1701" w:header="709" w:footer="709" w:gutter="0"/>
          <w:cols w:sep="1" w:space="708"/>
          <w:docGrid w:linePitch="360"/>
        </w:sectPr>
      </w:pPr>
    </w:p>
    <w:p w:rsidR="007136E7" w:rsidRPr="00632778" w:rsidRDefault="00837CC9" w:rsidP="00632778">
      <w:pPr>
        <w:spacing w:after="0"/>
        <w:rPr>
          <w:rFonts w:ascii="Times New Roman" w:hAnsi="Times New Roman" w:cs="Times New Roman"/>
          <w:b/>
          <w:bCs/>
        </w:rPr>
      </w:pPr>
      <w:r w:rsidRPr="00837CC9">
        <w:rPr>
          <w:rFonts w:ascii="Times New Roman" w:hAnsi="Times New Roman" w:cs="Times New Roman"/>
          <w:b/>
          <w:bCs/>
        </w:rPr>
        <w:lastRenderedPageBreak/>
        <w:t>ABSTRACT</w:t>
      </w:r>
    </w:p>
    <w:p w:rsidR="00214C40" w:rsidRDefault="00915124">
      <w:pPr>
        <w:spacing w:after="0"/>
        <w:rPr>
          <w:rFonts w:ascii="Times New Roman" w:hAnsi="Times New Roman" w:cs="Times New Roman"/>
        </w:rPr>
      </w:pPr>
      <w:r>
        <w:rPr>
          <w:rFonts w:ascii="Times New Roman" w:hAnsi="Times New Roman" w:cs="Times New Roman"/>
        </w:rPr>
        <w:t>E</w:t>
      </w:r>
      <w:r w:rsidR="00837CC9" w:rsidRPr="00837CC9">
        <w:rPr>
          <w:rFonts w:ascii="Times New Roman" w:hAnsi="Times New Roman" w:cs="Times New Roman"/>
        </w:rPr>
        <w:t>vidence o</w:t>
      </w:r>
      <w:r w:rsidR="00B342E7">
        <w:rPr>
          <w:rFonts w:ascii="Times New Roman" w:hAnsi="Times New Roman" w:cs="Times New Roman"/>
        </w:rPr>
        <w:t>f</w:t>
      </w:r>
      <w:r w:rsidR="00837CC9" w:rsidRPr="00837CC9">
        <w:rPr>
          <w:rFonts w:ascii="Times New Roman" w:hAnsi="Times New Roman" w:cs="Times New Roman"/>
        </w:rPr>
        <w:t xml:space="preserve"> the impact of green spaces on pregnancy outcomes is limited with no report on </w:t>
      </w:r>
      <w:r w:rsidR="00893360">
        <w:rPr>
          <w:rFonts w:ascii="Times New Roman" w:hAnsi="Times New Roman" w:cs="Times New Roman"/>
        </w:rPr>
        <w:t>how this impact might vary b</w:t>
      </w:r>
      <w:r w:rsidR="00837CC9" w:rsidRPr="00837CC9">
        <w:rPr>
          <w:rFonts w:ascii="Times New Roman" w:hAnsi="Times New Roman" w:cs="Times New Roman"/>
        </w:rPr>
        <w:t xml:space="preserve">y ethnicity. We investigated the association between residential surrounding greenness and proximity to green spaces and </w:t>
      </w:r>
      <w:r w:rsidR="00B342E7" w:rsidRPr="00837CC9">
        <w:rPr>
          <w:rFonts w:ascii="Times New Roman" w:hAnsi="Times New Roman" w:cs="Times New Roman"/>
        </w:rPr>
        <w:t xml:space="preserve">birth weight and </w:t>
      </w:r>
      <w:r w:rsidR="00837CC9" w:rsidRPr="00837CC9">
        <w:rPr>
          <w:rFonts w:ascii="Times New Roman" w:hAnsi="Times New Roman" w:cs="Times New Roman"/>
        </w:rPr>
        <w:t>explored the modification of this association by ethnicity and indicators of individual (maternal education) and neighbourhood (Index of Multiple Deprivation) socioeconomic status.</w:t>
      </w:r>
      <w:r w:rsidR="002C4FE8">
        <w:rPr>
          <w:rFonts w:ascii="Times New Roman" w:hAnsi="Times New Roman" w:cs="Times New Roman"/>
        </w:rPr>
        <w:t xml:space="preserve"> </w:t>
      </w:r>
      <w:r w:rsidR="00454AAF">
        <w:rPr>
          <w:rFonts w:ascii="Times New Roman" w:hAnsi="Times New Roman" w:cs="Times New Roman"/>
        </w:rPr>
        <w:t>Our</w:t>
      </w:r>
      <w:r w:rsidR="00837CC9" w:rsidRPr="00837CC9">
        <w:rPr>
          <w:rFonts w:ascii="Times New Roman" w:hAnsi="Times New Roman" w:cs="Times New Roman"/>
        </w:rPr>
        <w:t xml:space="preserve"> study was based </w:t>
      </w:r>
      <w:r>
        <w:rPr>
          <w:rFonts w:ascii="Times New Roman" w:hAnsi="Times New Roman" w:cs="Times New Roman"/>
        </w:rPr>
        <w:t xml:space="preserve">on </w:t>
      </w:r>
      <w:r w:rsidR="00CD3E97">
        <w:rPr>
          <w:rFonts w:ascii="Times New Roman" w:hAnsi="Times New Roman" w:cs="Times New Roman"/>
        </w:rPr>
        <w:t>10,780</w:t>
      </w:r>
      <w:r w:rsidR="00837CC9" w:rsidRPr="00837CC9">
        <w:rPr>
          <w:rFonts w:ascii="Times New Roman" w:hAnsi="Times New Roman" w:cs="Times New Roman"/>
        </w:rPr>
        <w:t xml:space="preserve"> singleton live-births from </w:t>
      </w:r>
      <w:r>
        <w:rPr>
          <w:rFonts w:ascii="Times New Roman" w:hAnsi="Times New Roman" w:cs="Times New Roman"/>
        </w:rPr>
        <w:t xml:space="preserve">the </w:t>
      </w:r>
      <w:r w:rsidR="00837CC9" w:rsidRPr="00837CC9">
        <w:rPr>
          <w:rFonts w:ascii="Times New Roman" w:hAnsi="Times New Roman" w:cs="Times New Roman"/>
        </w:rPr>
        <w:t>Born in Bradford cohort, UK (2007-2010). We defined residential surrounding greenness as average of satellite-based Normalized Difference Vegetation Index (NDVI) in buffers of</w:t>
      </w:r>
      <w:r w:rsidR="00D81D28">
        <w:rPr>
          <w:rFonts w:ascii="Times New Roman" w:hAnsi="Times New Roman" w:cs="Times New Roman"/>
        </w:rPr>
        <w:t xml:space="preserve"> 50 m,</w:t>
      </w:r>
      <w:r w:rsidR="00837CC9" w:rsidRPr="00837CC9">
        <w:rPr>
          <w:rFonts w:ascii="Times New Roman" w:hAnsi="Times New Roman" w:cs="Times New Roman"/>
        </w:rPr>
        <w:t xml:space="preserve"> 10</w:t>
      </w:r>
      <w:r w:rsidR="00A51F1F">
        <w:rPr>
          <w:rFonts w:ascii="Times New Roman" w:hAnsi="Times New Roman" w:cs="Times New Roman"/>
        </w:rPr>
        <w:t>0 m</w:t>
      </w:r>
      <w:r w:rsidR="00837CC9" w:rsidRPr="00837CC9">
        <w:rPr>
          <w:rFonts w:ascii="Times New Roman" w:hAnsi="Times New Roman" w:cs="Times New Roman"/>
        </w:rPr>
        <w:t>, 25</w:t>
      </w:r>
      <w:r w:rsidR="00A51F1F">
        <w:rPr>
          <w:rFonts w:ascii="Times New Roman" w:hAnsi="Times New Roman" w:cs="Times New Roman"/>
        </w:rPr>
        <w:t>0 m</w:t>
      </w:r>
      <w:r w:rsidR="00837CC9" w:rsidRPr="00837CC9">
        <w:rPr>
          <w:rFonts w:ascii="Times New Roman" w:hAnsi="Times New Roman" w:cs="Times New Roman"/>
        </w:rPr>
        <w:t xml:space="preserve">, </w:t>
      </w:r>
      <w:r w:rsidR="00D81D28">
        <w:rPr>
          <w:rFonts w:ascii="Times New Roman" w:hAnsi="Times New Roman" w:cs="Times New Roman"/>
        </w:rPr>
        <w:t xml:space="preserve">500 m </w:t>
      </w:r>
      <w:r w:rsidR="00837CC9" w:rsidRPr="00837CC9">
        <w:rPr>
          <w:rFonts w:ascii="Times New Roman" w:hAnsi="Times New Roman" w:cs="Times New Roman"/>
        </w:rPr>
        <w:t xml:space="preserve">and </w:t>
      </w:r>
      <w:r w:rsidR="00D81D28">
        <w:rPr>
          <w:rFonts w:ascii="Times New Roman" w:hAnsi="Times New Roman" w:cs="Times New Roman"/>
        </w:rPr>
        <w:t>1000</w:t>
      </w:r>
      <w:r w:rsidR="00A51F1F">
        <w:rPr>
          <w:rFonts w:ascii="Times New Roman" w:hAnsi="Times New Roman" w:cs="Times New Roman"/>
        </w:rPr>
        <w:t xml:space="preserve"> m</w:t>
      </w:r>
      <w:r w:rsidR="00837CC9" w:rsidRPr="00837CC9">
        <w:rPr>
          <w:rFonts w:ascii="Times New Roman" w:hAnsi="Times New Roman" w:cs="Times New Roman"/>
        </w:rPr>
        <w:t xml:space="preserve"> around each maternal home address. Residential proximity to green spaces was defined as living within 30</w:t>
      </w:r>
      <w:r w:rsidR="00A51F1F">
        <w:rPr>
          <w:rFonts w:ascii="Times New Roman" w:hAnsi="Times New Roman" w:cs="Times New Roman"/>
        </w:rPr>
        <w:t>0 m</w:t>
      </w:r>
      <w:r w:rsidR="00837CC9" w:rsidRPr="00837CC9">
        <w:rPr>
          <w:rFonts w:ascii="Times New Roman" w:hAnsi="Times New Roman" w:cs="Times New Roman"/>
        </w:rPr>
        <w:t xml:space="preserve"> of a green space with an area of ≥500</w:t>
      </w:r>
      <w:r w:rsidR="00A51F1F">
        <w:rPr>
          <w:rFonts w:ascii="Times New Roman" w:hAnsi="Times New Roman" w:cs="Times New Roman"/>
        </w:rPr>
        <w:t>0 m</w:t>
      </w:r>
      <w:r w:rsidR="00837CC9" w:rsidRPr="00837CC9">
        <w:rPr>
          <w:rFonts w:ascii="Times New Roman" w:hAnsi="Times New Roman" w:cs="Times New Roman"/>
          <w:vertAlign w:val="superscript"/>
        </w:rPr>
        <w:t>2</w:t>
      </w:r>
      <w:r w:rsidR="00837CC9" w:rsidRPr="00837CC9">
        <w:rPr>
          <w:rFonts w:ascii="Times New Roman" w:hAnsi="Times New Roman" w:cs="Times New Roman"/>
        </w:rPr>
        <w:t xml:space="preserve">. We utilized </w:t>
      </w:r>
      <w:r w:rsidR="009977B8">
        <w:rPr>
          <w:rFonts w:ascii="Times New Roman" w:hAnsi="Times New Roman" w:cs="Times New Roman"/>
        </w:rPr>
        <w:t>mixed effects</w:t>
      </w:r>
      <w:r w:rsidR="00837CC9" w:rsidRPr="00837CC9">
        <w:rPr>
          <w:rFonts w:ascii="Times New Roman" w:hAnsi="Times New Roman" w:cs="Times New Roman"/>
        </w:rPr>
        <w:t xml:space="preserve"> models to </w:t>
      </w:r>
      <w:r w:rsidR="00151C00">
        <w:rPr>
          <w:rFonts w:ascii="Times New Roman" w:hAnsi="Times New Roman" w:cs="Times New Roman"/>
        </w:rPr>
        <w:t xml:space="preserve">estimate </w:t>
      </w:r>
      <w:r w:rsidR="00837CC9" w:rsidRPr="00837CC9">
        <w:rPr>
          <w:rFonts w:ascii="Times New Roman" w:hAnsi="Times New Roman" w:cs="Times New Roman"/>
        </w:rPr>
        <w:t>adjusted change in birth weight associated with residential surrounding greenness</w:t>
      </w:r>
      <w:r w:rsidR="007C3085">
        <w:rPr>
          <w:rFonts w:ascii="Times New Roman" w:hAnsi="Times New Roman" w:cs="Times New Roman"/>
        </w:rPr>
        <w:t xml:space="preserve"> </w:t>
      </w:r>
      <w:r w:rsidR="0079164B">
        <w:rPr>
          <w:rFonts w:ascii="Times New Roman" w:hAnsi="Times New Roman" w:cs="Times New Roman"/>
        </w:rPr>
        <w:t>as well as</w:t>
      </w:r>
      <w:r w:rsidR="007C3085">
        <w:rPr>
          <w:rFonts w:ascii="Times New Roman" w:hAnsi="Times New Roman" w:cs="Times New Roman"/>
        </w:rPr>
        <w:t xml:space="preserve"> </w:t>
      </w:r>
      <w:r w:rsidR="007C3085" w:rsidRPr="00837CC9">
        <w:rPr>
          <w:rFonts w:ascii="Times New Roman" w:hAnsi="Times New Roman" w:cs="Times New Roman"/>
        </w:rPr>
        <w:t>proximity to green spaces</w:t>
      </w:r>
      <w:r w:rsidR="00837CC9" w:rsidRPr="00837CC9">
        <w:rPr>
          <w:rFonts w:ascii="Times New Roman" w:hAnsi="Times New Roman" w:cs="Times New Roman"/>
        </w:rPr>
        <w:t>.</w:t>
      </w:r>
      <w:r w:rsidR="002C4FE8">
        <w:rPr>
          <w:rFonts w:ascii="Times New Roman" w:hAnsi="Times New Roman" w:cs="Times New Roman"/>
        </w:rPr>
        <w:t xml:space="preserve"> </w:t>
      </w:r>
      <w:r w:rsidR="00837CC9" w:rsidRPr="00837CC9">
        <w:rPr>
          <w:rFonts w:ascii="Times New Roman" w:hAnsi="Times New Roman" w:cs="Times New Roman"/>
        </w:rPr>
        <w:t xml:space="preserve">We found a positive association between birth weight and residential surrounding greenness. </w:t>
      </w:r>
      <w:r w:rsidR="007C3085">
        <w:rPr>
          <w:rFonts w:ascii="Times New Roman" w:hAnsi="Times New Roman" w:cs="Times New Roman"/>
        </w:rPr>
        <w:t>Furthermore, w</w:t>
      </w:r>
      <w:r w:rsidR="00837CC9" w:rsidRPr="00837CC9">
        <w:rPr>
          <w:rFonts w:ascii="Times New Roman" w:hAnsi="Times New Roman" w:cs="Times New Roman"/>
        </w:rPr>
        <w:t xml:space="preserve">e observed an interaction between ethnicity and residential surrounding greenness in that </w:t>
      </w:r>
      <w:r w:rsidR="00A51F1F">
        <w:rPr>
          <w:rFonts w:ascii="Times New Roman" w:hAnsi="Times New Roman" w:cs="Times New Roman"/>
        </w:rPr>
        <w:t xml:space="preserve">for </w:t>
      </w:r>
      <w:r w:rsidR="00D23C99">
        <w:rPr>
          <w:rFonts w:ascii="Times New Roman" w:hAnsi="Times New Roman" w:cs="Times New Roman"/>
        </w:rPr>
        <w:t>White British</w:t>
      </w:r>
      <w:r w:rsidR="00837CC9" w:rsidRPr="00837CC9">
        <w:rPr>
          <w:rFonts w:ascii="Times New Roman" w:hAnsi="Times New Roman" w:cs="Times New Roman"/>
        </w:rPr>
        <w:t xml:space="preserve"> </w:t>
      </w:r>
      <w:r w:rsidR="00D23C99">
        <w:rPr>
          <w:rFonts w:ascii="Times New Roman" w:hAnsi="Times New Roman" w:cs="Times New Roman"/>
        </w:rPr>
        <w:t>participant</w:t>
      </w:r>
      <w:r w:rsidR="00837CC9" w:rsidRPr="00837CC9">
        <w:rPr>
          <w:rFonts w:ascii="Times New Roman" w:hAnsi="Times New Roman" w:cs="Times New Roman"/>
        </w:rPr>
        <w:t xml:space="preserve">s </w:t>
      </w:r>
      <w:r w:rsidR="00A51F1F">
        <w:rPr>
          <w:rFonts w:ascii="Times New Roman" w:hAnsi="Times New Roman" w:cs="Times New Roman"/>
        </w:rPr>
        <w:t xml:space="preserve">there was a positive association between birth weight </w:t>
      </w:r>
      <w:r w:rsidR="00262734">
        <w:rPr>
          <w:rFonts w:ascii="Times New Roman" w:hAnsi="Times New Roman" w:cs="Times New Roman"/>
        </w:rPr>
        <w:t xml:space="preserve">and </w:t>
      </w:r>
      <w:r w:rsidR="00A51F1F">
        <w:rPr>
          <w:rFonts w:ascii="Times New Roman" w:hAnsi="Times New Roman" w:cs="Times New Roman"/>
        </w:rPr>
        <w:t xml:space="preserve">residential surrounding greenness </w:t>
      </w:r>
      <w:r w:rsidR="00837CC9" w:rsidRPr="00837CC9">
        <w:rPr>
          <w:rFonts w:ascii="Times New Roman" w:hAnsi="Times New Roman" w:cs="Times New Roman"/>
        </w:rPr>
        <w:t xml:space="preserve">whereas </w:t>
      </w:r>
      <w:r w:rsidR="00A51F1F">
        <w:rPr>
          <w:rFonts w:ascii="Times New Roman" w:hAnsi="Times New Roman" w:cs="Times New Roman"/>
        </w:rPr>
        <w:t xml:space="preserve">for </w:t>
      </w:r>
      <w:r w:rsidR="00D23C99">
        <w:rPr>
          <w:rFonts w:ascii="Times New Roman" w:hAnsi="Times New Roman" w:cs="Times New Roman"/>
        </w:rPr>
        <w:t>participant</w:t>
      </w:r>
      <w:r w:rsidR="00837CC9" w:rsidRPr="00837CC9">
        <w:rPr>
          <w:rFonts w:ascii="Times New Roman" w:hAnsi="Times New Roman" w:cs="Times New Roman"/>
        </w:rPr>
        <w:t>s of Pakistani origin</w:t>
      </w:r>
      <w:r w:rsidR="00A51F1F">
        <w:rPr>
          <w:rFonts w:ascii="Times New Roman" w:hAnsi="Times New Roman" w:cs="Times New Roman"/>
        </w:rPr>
        <w:t xml:space="preserve"> there was no such an association</w:t>
      </w:r>
      <w:r w:rsidR="00837CC9" w:rsidRPr="00837CC9">
        <w:rPr>
          <w:rFonts w:ascii="Times New Roman" w:hAnsi="Times New Roman" w:cs="Times New Roman"/>
        </w:rPr>
        <w:t xml:space="preserve">. </w:t>
      </w:r>
      <w:r w:rsidR="00D81D28">
        <w:rPr>
          <w:rFonts w:ascii="Times New Roman" w:hAnsi="Times New Roman" w:cs="Times New Roman"/>
        </w:rPr>
        <w:t>For surrounding greenness in larger buffers (500 m and 1000 m) t</w:t>
      </w:r>
      <w:r w:rsidR="00837CC9" w:rsidRPr="00837CC9">
        <w:rPr>
          <w:rFonts w:ascii="Times New Roman" w:hAnsi="Times New Roman" w:cs="Times New Roman"/>
        </w:rPr>
        <w:t xml:space="preserve">here were some indications </w:t>
      </w:r>
      <w:r w:rsidR="00151C00">
        <w:rPr>
          <w:rFonts w:ascii="Times New Roman" w:hAnsi="Times New Roman" w:cs="Times New Roman"/>
        </w:rPr>
        <w:t>of</w:t>
      </w:r>
      <w:r w:rsidR="00837CC9" w:rsidRPr="00837CC9">
        <w:rPr>
          <w:rFonts w:ascii="Times New Roman" w:hAnsi="Times New Roman" w:cs="Times New Roman"/>
        </w:rPr>
        <w:t xml:space="preserve"> </w:t>
      </w:r>
      <w:r w:rsidR="00A51F1F">
        <w:rPr>
          <w:rFonts w:ascii="Times New Roman" w:hAnsi="Times New Roman" w:cs="Times New Roman"/>
        </w:rPr>
        <w:t xml:space="preserve">stronger associations </w:t>
      </w:r>
      <w:r w:rsidR="00837CC9" w:rsidRPr="00837CC9">
        <w:rPr>
          <w:rFonts w:ascii="Times New Roman" w:hAnsi="Times New Roman" w:cs="Times New Roman"/>
        </w:rPr>
        <w:t xml:space="preserve">for </w:t>
      </w:r>
      <w:r w:rsidR="00D23C99">
        <w:rPr>
          <w:rFonts w:ascii="Times New Roman" w:hAnsi="Times New Roman" w:cs="Times New Roman"/>
        </w:rPr>
        <w:t>participant</w:t>
      </w:r>
      <w:r w:rsidR="00837CC9" w:rsidRPr="00837CC9">
        <w:rPr>
          <w:rFonts w:ascii="Times New Roman" w:hAnsi="Times New Roman" w:cs="Times New Roman"/>
        </w:rPr>
        <w:t>s with lower education and those living in more deprived neighbourhoods</w:t>
      </w:r>
      <w:r w:rsidR="00D81D28">
        <w:rPr>
          <w:rFonts w:ascii="Times New Roman" w:hAnsi="Times New Roman" w:cs="Times New Roman"/>
        </w:rPr>
        <w:t xml:space="preserve"> which were not replicated for surrounding greenness in smaller buffer sizes (i.e. 50 m, 100 m, and 250 m)</w:t>
      </w:r>
      <w:r w:rsidR="00837CC9" w:rsidRPr="00837CC9">
        <w:rPr>
          <w:rFonts w:ascii="Times New Roman" w:hAnsi="Times New Roman" w:cs="Times New Roman"/>
        </w:rPr>
        <w:t xml:space="preserve">. </w:t>
      </w:r>
      <w:r w:rsidR="00894EC1">
        <w:rPr>
          <w:rFonts w:ascii="Times New Roman" w:hAnsi="Times New Roman" w:cs="Times New Roman"/>
        </w:rPr>
        <w:t xml:space="preserve">The </w:t>
      </w:r>
      <w:r w:rsidR="00837CC9" w:rsidRPr="00837CC9">
        <w:rPr>
          <w:rFonts w:ascii="Times New Roman" w:hAnsi="Times New Roman" w:cs="Times New Roman"/>
        </w:rPr>
        <w:t xml:space="preserve">findings for residential proximity to a green space were not conclusive. </w:t>
      </w:r>
      <w:r w:rsidR="006B556E">
        <w:rPr>
          <w:rFonts w:ascii="Times New Roman" w:hAnsi="Times New Roman" w:cs="Times New Roman"/>
        </w:rPr>
        <w:t>O</w:t>
      </w:r>
      <w:r w:rsidR="002C4FE8">
        <w:rPr>
          <w:rFonts w:ascii="Times New Roman" w:hAnsi="Times New Roman" w:cs="Times New Roman"/>
        </w:rPr>
        <w:t>ur study showed that r</w:t>
      </w:r>
      <w:r w:rsidR="00837CC9" w:rsidRPr="00837CC9">
        <w:rPr>
          <w:rFonts w:ascii="Times New Roman" w:hAnsi="Times New Roman" w:cs="Times New Roman"/>
        </w:rPr>
        <w:t xml:space="preserve">esidential surrounding greenness </w:t>
      </w:r>
      <w:r w:rsidR="00A51F1F">
        <w:rPr>
          <w:rFonts w:ascii="Times New Roman" w:hAnsi="Times New Roman" w:cs="Times New Roman"/>
        </w:rPr>
        <w:t>is associated with better</w:t>
      </w:r>
      <w:r w:rsidR="00837CC9" w:rsidRPr="00837CC9">
        <w:rPr>
          <w:rFonts w:ascii="Times New Roman" w:hAnsi="Times New Roman" w:cs="Times New Roman"/>
        </w:rPr>
        <w:t xml:space="preserve"> foetal growth</w:t>
      </w:r>
      <w:r w:rsidR="00893360">
        <w:rPr>
          <w:rFonts w:ascii="Times New Roman" w:hAnsi="Times New Roman" w:cs="Times New Roman"/>
        </w:rPr>
        <w:t xml:space="preserve"> and</w:t>
      </w:r>
      <w:r w:rsidR="00837CC9" w:rsidRPr="00837CC9">
        <w:rPr>
          <w:rFonts w:ascii="Times New Roman" w:hAnsi="Times New Roman" w:cs="Times New Roman"/>
        </w:rPr>
        <w:t xml:space="preserve"> this </w:t>
      </w:r>
      <w:r w:rsidR="00A51F1F">
        <w:rPr>
          <w:rFonts w:ascii="Times New Roman" w:hAnsi="Times New Roman" w:cs="Times New Roman"/>
        </w:rPr>
        <w:t>association</w:t>
      </w:r>
      <w:r w:rsidR="00A51F1F" w:rsidRPr="00837CC9">
        <w:rPr>
          <w:rFonts w:ascii="Times New Roman" w:hAnsi="Times New Roman" w:cs="Times New Roman"/>
        </w:rPr>
        <w:t xml:space="preserve"> </w:t>
      </w:r>
      <w:r w:rsidR="00D81D28">
        <w:rPr>
          <w:rFonts w:ascii="Times New Roman" w:hAnsi="Times New Roman" w:cs="Times New Roman"/>
        </w:rPr>
        <w:t xml:space="preserve">could </w:t>
      </w:r>
      <w:r w:rsidR="00837CC9" w:rsidRPr="00837CC9">
        <w:rPr>
          <w:rFonts w:ascii="Times New Roman" w:hAnsi="Times New Roman" w:cs="Times New Roman"/>
        </w:rPr>
        <w:t>var</w:t>
      </w:r>
      <w:r w:rsidR="00D81D28">
        <w:rPr>
          <w:rFonts w:ascii="Times New Roman" w:hAnsi="Times New Roman" w:cs="Times New Roman"/>
        </w:rPr>
        <w:t>y</w:t>
      </w:r>
      <w:r w:rsidR="00837CC9" w:rsidRPr="00837CC9">
        <w:rPr>
          <w:rFonts w:ascii="Times New Roman" w:hAnsi="Times New Roman" w:cs="Times New Roman"/>
        </w:rPr>
        <w:t xml:space="preserve"> between different ethnic and socioeconomic groups. </w:t>
      </w:r>
    </w:p>
    <w:p w:rsidR="007136E7" w:rsidRDefault="007136E7">
      <w:pPr>
        <w:spacing w:after="0"/>
        <w:rPr>
          <w:rFonts w:ascii="Times New Roman" w:hAnsi="Times New Roman" w:cs="Times New Roman"/>
        </w:rPr>
      </w:pPr>
    </w:p>
    <w:p w:rsidR="00734C13" w:rsidRDefault="00734C13" w:rsidP="00734C13">
      <w:pPr>
        <w:spacing w:after="0"/>
        <w:rPr>
          <w:rFonts w:ascii="Times New Roman" w:hAnsi="Times New Roman" w:cs="Times New Roman"/>
        </w:rPr>
      </w:pPr>
      <w:r w:rsidRPr="00837CC9">
        <w:rPr>
          <w:rFonts w:ascii="Times New Roman" w:hAnsi="Times New Roman" w:cs="Times New Roman"/>
          <w:b/>
        </w:rPr>
        <w:t xml:space="preserve">Keywords: </w:t>
      </w:r>
      <w:r w:rsidRPr="00837CC9">
        <w:rPr>
          <w:rFonts w:ascii="Times New Roman" w:hAnsi="Times New Roman" w:cs="Times New Roman"/>
        </w:rPr>
        <w:t xml:space="preserve">Green space, birth weight, pregnancy, foetal growth, natural environment, parks, inequality, ethnicity, socioeconomic status. </w:t>
      </w:r>
    </w:p>
    <w:p w:rsidR="00D81D28" w:rsidRDefault="00D81D28" w:rsidP="00734C13">
      <w:pPr>
        <w:spacing w:after="0"/>
        <w:rPr>
          <w:rFonts w:ascii="Times New Roman" w:hAnsi="Times New Roman" w:cs="Times New Roman"/>
          <w:b/>
        </w:rPr>
      </w:pPr>
    </w:p>
    <w:p w:rsidR="00632778" w:rsidRPr="00B223A5" w:rsidRDefault="0051782A" w:rsidP="00734C13">
      <w:pPr>
        <w:spacing w:after="0"/>
        <w:rPr>
          <w:rFonts w:ascii="Times New Roman" w:hAnsi="Times New Roman" w:cs="Times New Roman"/>
          <w:b/>
        </w:rPr>
      </w:pPr>
      <w:r w:rsidRPr="0051782A">
        <w:rPr>
          <w:rFonts w:ascii="Times New Roman" w:hAnsi="Times New Roman" w:cs="Times New Roman"/>
          <w:b/>
        </w:rPr>
        <w:t>Abbreviations</w:t>
      </w:r>
    </w:p>
    <w:p w:rsidR="005F36AB" w:rsidRDefault="005F36AB">
      <w:pPr>
        <w:spacing w:after="0"/>
        <w:rPr>
          <w:rFonts w:ascii="Times New Roman" w:hAnsi="Times New Roman" w:cs="Times New Roman"/>
        </w:rPr>
      </w:pPr>
    </w:p>
    <w:p w:rsidR="00734C13" w:rsidRDefault="00435B5D">
      <w:pPr>
        <w:spacing w:after="0"/>
        <w:rPr>
          <w:rFonts w:ascii="Times New Roman" w:hAnsi="Times New Roman" w:cs="Times New Roman"/>
        </w:rPr>
      </w:pPr>
      <w:r>
        <w:rPr>
          <w:rFonts w:ascii="Times New Roman" w:hAnsi="Times New Roman" w:cs="Times New Roman"/>
        </w:rPr>
        <w:t>BiB</w:t>
      </w:r>
      <w:r>
        <w:rPr>
          <w:rFonts w:ascii="Times New Roman" w:hAnsi="Times New Roman" w:cs="Times New Roman"/>
        </w:rPr>
        <w:tab/>
      </w:r>
      <w:r>
        <w:rPr>
          <w:rFonts w:ascii="Times New Roman" w:hAnsi="Times New Roman" w:cs="Times New Roman"/>
        </w:rPr>
        <w:tab/>
      </w:r>
      <w:r w:rsidR="005F36AB">
        <w:rPr>
          <w:rFonts w:ascii="Times New Roman" w:hAnsi="Times New Roman" w:cs="Times New Roman"/>
        </w:rPr>
        <w:tab/>
      </w:r>
      <w:r w:rsidRPr="003D3DED">
        <w:rPr>
          <w:rFonts w:ascii="Times New Roman" w:hAnsi="Times New Roman" w:cs="Times New Roman"/>
        </w:rPr>
        <w:t>Born in Bradford</w:t>
      </w:r>
    </w:p>
    <w:p w:rsidR="008A4078" w:rsidRDefault="005F36AB" w:rsidP="005F36AB">
      <w:pPr>
        <w:spacing w:after="0"/>
        <w:rPr>
          <w:rFonts w:ascii="Times New Roman" w:hAnsi="Times New Roman" w:cs="Times New Roman"/>
        </w:rPr>
      </w:pPr>
      <w:r w:rsidRPr="004F7DAA">
        <w:rPr>
          <w:rFonts w:ascii="Times New Roman" w:hAnsi="Times New Roman" w:cs="Times New Roman"/>
        </w:rPr>
        <w:t xml:space="preserve">EOSDIS </w:t>
      </w:r>
      <w:r>
        <w:rPr>
          <w:rFonts w:ascii="Times New Roman" w:hAnsi="Times New Roman" w:cs="Times New Roman"/>
        </w:rPr>
        <w:tab/>
      </w:r>
      <w:r>
        <w:rPr>
          <w:rFonts w:ascii="Times New Roman" w:hAnsi="Times New Roman" w:cs="Times New Roman"/>
        </w:rPr>
        <w:tab/>
      </w:r>
      <w:r w:rsidRPr="004F7DAA">
        <w:rPr>
          <w:rFonts w:ascii="Times New Roman" w:hAnsi="Times New Roman" w:cs="Times New Roman"/>
        </w:rPr>
        <w:t>Earth Observing System Data and Information System</w:t>
      </w:r>
    </w:p>
    <w:p w:rsidR="005F36AB" w:rsidRDefault="008A4078" w:rsidP="005F36AB">
      <w:pPr>
        <w:spacing w:after="0"/>
        <w:rPr>
          <w:rFonts w:ascii="Times New Roman" w:hAnsi="Times New Roman" w:cs="Times New Roman"/>
        </w:rPr>
      </w:pPr>
      <w:r>
        <w:rPr>
          <w:rFonts w:ascii="Times New Roman" w:hAnsi="Times New Roman" w:cs="Times New Roman"/>
        </w:rPr>
        <w:t>IMD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F7DAA">
        <w:rPr>
          <w:rFonts w:ascii="Times New Roman" w:hAnsi="Times New Roman" w:cs="Times New Roman"/>
        </w:rPr>
        <w:t>Index of Multiple Deprivation</w:t>
      </w:r>
      <w:r w:rsidR="005F36AB" w:rsidRPr="004F7DAA">
        <w:rPr>
          <w:rFonts w:ascii="Times New Roman" w:hAnsi="Times New Roman" w:cs="Times New Roman"/>
        </w:rPr>
        <w:t xml:space="preserve"> </w:t>
      </w:r>
    </w:p>
    <w:p w:rsidR="005F36AB" w:rsidRDefault="005F36AB">
      <w:pPr>
        <w:spacing w:after="0"/>
        <w:rPr>
          <w:rFonts w:ascii="Times New Roman" w:hAnsi="Times New Roman" w:cs="Times New Roman"/>
        </w:rPr>
      </w:pPr>
      <w:r w:rsidRPr="005F36AB">
        <w:rPr>
          <w:rFonts w:ascii="Times New Roman" w:hAnsi="Times New Roman" w:cs="Times New Roman"/>
        </w:rPr>
        <w:t xml:space="preserve">NDVI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36AB">
        <w:rPr>
          <w:rFonts w:ascii="Times New Roman" w:hAnsi="Times New Roman" w:cs="Times New Roman"/>
        </w:rPr>
        <w:t>Normalized Difference Vegetation Index</w:t>
      </w:r>
    </w:p>
    <w:p w:rsidR="00A66A6F" w:rsidRDefault="00A66A6F" w:rsidP="00A66A6F">
      <w:pPr>
        <w:spacing w:after="0"/>
        <w:rPr>
          <w:rFonts w:ascii="Times New Roman" w:hAnsi="Times New Roman" w:cs="Times New Roman"/>
        </w:rPr>
      </w:pPr>
      <w:r>
        <w:rPr>
          <w:rFonts w:ascii="Times New Roman" w:hAnsi="Times New Roman" w:cs="Times New Roman"/>
        </w:rPr>
        <w:t>LSOA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w:t>
      </w:r>
      <w:r w:rsidRPr="004F7DAA">
        <w:rPr>
          <w:rFonts w:ascii="Times New Roman" w:hAnsi="Times New Roman" w:cs="Times New Roman"/>
        </w:rPr>
        <w:t>ower level super output area</w:t>
      </w:r>
    </w:p>
    <w:p w:rsidR="005F36AB" w:rsidRDefault="005F36AB" w:rsidP="005F36AB">
      <w:pPr>
        <w:spacing w:after="0"/>
        <w:ind w:left="2160" w:hanging="2160"/>
        <w:rPr>
          <w:rFonts w:ascii="Times New Roman" w:hAnsi="Times New Roman" w:cs="Times New Roman"/>
          <w:lang w:val="en-US"/>
        </w:rPr>
      </w:pPr>
      <w:r>
        <w:rPr>
          <w:rFonts w:ascii="Times New Roman" w:hAnsi="Times New Roman" w:cs="Times New Roman"/>
        </w:rPr>
        <w:t>PHENOTYPE</w:t>
      </w:r>
      <w:r>
        <w:rPr>
          <w:rFonts w:ascii="Times New Roman" w:hAnsi="Times New Roman" w:cs="Times New Roman"/>
        </w:rPr>
        <w:tab/>
      </w:r>
      <w:r w:rsidRPr="00503467">
        <w:rPr>
          <w:rFonts w:ascii="Times New Roman" w:hAnsi="Times New Roman" w:cs="Times New Roman"/>
          <w:lang w:val="en-US"/>
        </w:rPr>
        <w:t>Positive Health Effects of the Natural Outdoor Environment in Typical Populations of Different Regions in Europe</w:t>
      </w:r>
    </w:p>
    <w:p w:rsidR="00A51F1F" w:rsidRDefault="00A51F1F" w:rsidP="00A51F1F">
      <w:pPr>
        <w:spacing w:after="0"/>
        <w:ind w:left="2160" w:hanging="2160"/>
        <w:rPr>
          <w:rFonts w:ascii="Times New Roman" w:hAnsi="Times New Roman" w:cs="Times New Roman"/>
        </w:rPr>
      </w:pPr>
      <w:r>
        <w:rPr>
          <w:rFonts w:ascii="Times New Roman" w:hAnsi="Times New Roman" w:cs="Times New Roman"/>
          <w:lang w:val="en-US"/>
        </w:rPr>
        <w:t>PM</w:t>
      </w:r>
      <w:r w:rsidR="005618BC" w:rsidRPr="005618BC">
        <w:rPr>
          <w:rFonts w:ascii="Times New Roman" w:hAnsi="Times New Roman" w:cs="Times New Roman"/>
          <w:vertAlign w:val="subscript"/>
          <w:lang w:val="en-US"/>
        </w:rPr>
        <w:t>2.5</w:t>
      </w:r>
      <w:r>
        <w:rPr>
          <w:rFonts w:ascii="Times New Roman" w:hAnsi="Times New Roman" w:cs="Times New Roman"/>
          <w:lang w:val="en-US"/>
        </w:rPr>
        <w:tab/>
      </w:r>
      <w:r w:rsidRPr="00615C52">
        <w:rPr>
          <w:rFonts w:ascii="Times New Roman" w:hAnsi="Times New Roman" w:cs="Times New Roman"/>
          <w:lang w:val="en-US"/>
        </w:rPr>
        <w:t>P</w:t>
      </w:r>
      <w:r w:rsidRPr="00615C52">
        <w:rPr>
          <w:rFonts w:ascii="Times New Roman" w:hAnsi="Times New Roman" w:cs="Times New Roman"/>
        </w:rPr>
        <w:t>articulate matter with aerodynamic diameter ≤ 2.5 μm</w:t>
      </w:r>
    </w:p>
    <w:p w:rsidR="0051782A" w:rsidRDefault="00DB7C0D">
      <w:pPr>
        <w:spacing w:after="0"/>
        <w:rPr>
          <w:rFonts w:ascii="Times New Roman" w:hAnsi="Times New Roman" w:cs="Times New Roman"/>
        </w:rPr>
      </w:pPr>
      <w:r>
        <w:rPr>
          <w:rFonts w:ascii="Times New Roman" w:hAnsi="Times New Roman" w:cs="Times New Roman"/>
        </w:rPr>
        <w:t>SES</w:t>
      </w:r>
      <w:r>
        <w:rPr>
          <w:rFonts w:ascii="Times New Roman" w:hAnsi="Times New Roman" w:cs="Times New Roman"/>
        </w:rPr>
        <w:tab/>
      </w:r>
      <w:r>
        <w:rPr>
          <w:rFonts w:ascii="Times New Roman" w:hAnsi="Times New Roman" w:cs="Times New Roman"/>
        </w:rPr>
        <w:tab/>
      </w:r>
      <w:r w:rsidR="005F36AB">
        <w:rPr>
          <w:rFonts w:ascii="Times New Roman" w:hAnsi="Times New Roman" w:cs="Times New Roman"/>
        </w:rPr>
        <w:tab/>
      </w:r>
      <w:r>
        <w:rPr>
          <w:rFonts w:ascii="Times New Roman" w:hAnsi="Times New Roman" w:cs="Times New Roman"/>
        </w:rPr>
        <w:t>Socioeconomic status</w:t>
      </w:r>
    </w:p>
    <w:p w:rsidR="005F36AB" w:rsidRDefault="005F36AB">
      <w:pPr>
        <w:spacing w:after="0"/>
        <w:rPr>
          <w:rFonts w:ascii="Times New Roman" w:hAnsi="Times New Roman" w:cs="Times New Roman"/>
        </w:rPr>
      </w:pPr>
      <w:r>
        <w:rPr>
          <w:rFonts w:ascii="Times New Roman" w:hAnsi="Times New Roman" w:cs="Times New Roman"/>
        </w:rPr>
        <w:t>TM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Thematic mapper </w:t>
      </w:r>
    </w:p>
    <w:p w:rsidR="00DB7C0D" w:rsidRPr="00B223A5" w:rsidRDefault="00DB7C0D">
      <w:pPr>
        <w:spacing w:after="0"/>
        <w:rPr>
          <w:rFonts w:ascii="Times New Roman" w:hAnsi="Times New Roman" w:cs="Times New Roman"/>
        </w:rPr>
      </w:pPr>
    </w:p>
    <w:p w:rsidR="007136E7" w:rsidRPr="00B223A5" w:rsidRDefault="007136E7">
      <w:pPr>
        <w:spacing w:after="0"/>
        <w:rPr>
          <w:rFonts w:ascii="Times New Roman" w:hAnsi="Times New Roman" w:cs="Times New Roman"/>
        </w:rPr>
        <w:sectPr w:rsidR="007136E7" w:rsidRPr="00B223A5">
          <w:footerReference w:type="default" r:id="rId10"/>
          <w:pgSz w:w="11906" w:h="16838"/>
          <w:pgMar w:top="1417" w:right="1701" w:bottom="1417" w:left="1701" w:header="709" w:footer="709" w:gutter="0"/>
          <w:cols w:sep="1" w:space="708"/>
          <w:docGrid w:linePitch="360"/>
        </w:sectPr>
      </w:pPr>
    </w:p>
    <w:p w:rsidR="007136E7" w:rsidRDefault="00AF5ED7">
      <w:pPr>
        <w:spacing w:after="0"/>
        <w:rPr>
          <w:rFonts w:ascii="Times New Roman" w:hAnsi="Times New Roman" w:cs="Times New Roman"/>
          <w:b/>
          <w:bCs/>
        </w:rPr>
      </w:pPr>
      <w:r w:rsidRPr="00AF5ED7">
        <w:rPr>
          <w:rFonts w:ascii="Times New Roman" w:hAnsi="Times New Roman" w:cs="Times New Roman"/>
          <w:b/>
          <w:bCs/>
        </w:rPr>
        <w:lastRenderedPageBreak/>
        <w:t>1. Introduction</w:t>
      </w:r>
    </w:p>
    <w:p w:rsidR="00AF5ED7" w:rsidRPr="00B223A5" w:rsidRDefault="00AF5ED7">
      <w:pPr>
        <w:spacing w:after="0"/>
        <w:rPr>
          <w:rFonts w:ascii="Times New Roman" w:hAnsi="Times New Roman" w:cs="Times New Roman"/>
        </w:rPr>
      </w:pPr>
    </w:p>
    <w:p w:rsidR="00214C40" w:rsidRDefault="00837CC9">
      <w:pPr>
        <w:spacing w:after="0"/>
        <w:rPr>
          <w:rFonts w:ascii="Times New Roman" w:hAnsi="Times New Roman" w:cs="Times New Roman"/>
        </w:rPr>
      </w:pPr>
      <w:r w:rsidRPr="00837CC9">
        <w:rPr>
          <w:rFonts w:ascii="Times New Roman" w:hAnsi="Times New Roman" w:cs="Times New Roman"/>
        </w:rPr>
        <w:t>Contact with green spaces has been shown to improve both perceived and objective physical and mental health and well-being</w:t>
      </w:r>
      <w:r w:rsidR="001902AD">
        <w:rPr>
          <w:rFonts w:ascii="Times New Roman" w:hAnsi="Times New Roman" w:cs="Times New Roman"/>
        </w:rPr>
        <w:t xml:space="preserve"> </w:t>
      </w:r>
      <w:r w:rsidR="00381E2C" w:rsidRPr="00837CC9">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&lt;EndNote&gt;&lt;Cite&gt;&lt;Author&gt;Bowler&lt;/Author&gt;&lt;Year&gt;2010&lt;/Year&gt;&lt;RecNum&gt;812&lt;/RecNum&gt;&lt;record&gt;&lt;rec-number&gt;812&lt;/rec-number&gt;&lt;ref-type name="Journal Article"&gt;17&lt;/ref-type&gt;&lt;contributors&gt;&lt;authors&gt;&lt;author&gt;Bowler, Diana&lt;/author&gt;&lt;author&gt;Buyung-Ali, Lisette&lt;/author&gt;&lt;author&gt;Knight, Teri&lt;/author&gt;&lt;author&gt;Pullin, Andrew&lt;/author&gt;&lt;/authors&gt;&lt;/contributors&gt;&lt;titles&gt;&lt;title&gt;A systematic review of evidence for the added benefits to health of exposure to natural environments&lt;/title&gt;&lt;secondary-title&gt;BMC Public Health&lt;/secondary-title&gt;&lt;/titles&gt;&lt;periodical&gt;&lt;full-title&gt;BMC Public Health&lt;/full-title&gt;&lt;/periodical&gt;&lt;pages&gt;456&lt;/pages&gt;&lt;volume&gt;10&lt;/volume&gt;&lt;dates&gt;&lt;year&gt;2010&lt;/year&gt;&lt;/dates&gt;&lt;isbn&gt;1471-2458&lt;/isbn&gt;&lt;accession-num&gt;doi:10.1186/1471-2458-10-456&lt;/accession-num&gt;&lt;urls&gt;&lt;related-urls&gt;&lt;url&gt;http://www.biomedcentral.com/1471-2458/10/456 &lt;/url&gt;&lt;/related-urls&gt;&lt;/urls&gt;&lt;/record&gt;&lt;/Cite&gt;&lt;Cite&gt;&lt;Author&gt;Lee&lt;/Author&gt;&lt;Year&gt;2011&lt;/Year&gt;&lt;RecNum&gt;800&lt;/RecNum&gt;&lt;record&gt;&lt;rec-number&gt;800&lt;/rec-number&gt;&lt;ref-type name="Journal Article"&gt;17&lt;/ref-type&gt;&lt;contributors&gt;&lt;authors&gt;&lt;author&gt;Lee, A. C.&lt;/author&gt;&lt;author&gt;Maheswaran, R.&lt;/author&gt;&lt;/authors&gt;&lt;/contributors&gt;&lt;titles&gt;&lt;title&gt;The health benefits of urban green spaces: a review of the evidence&lt;/title&gt;&lt;secondary-title&gt;J Public Health (Oxf)&lt;/secondary-title&gt;&lt;/titles&gt;&lt;pages&gt;212-222&lt;/pages&gt;&lt;volume&gt;33&lt;/volume&gt;&lt;number&gt;2&lt;/number&gt;&lt;dates&gt;&lt;year&gt;2011&lt;/year&gt;&lt;/dates&gt;&lt;isbn&gt;1741-3850&lt;/isbn&gt;&lt;urls&gt;&lt;/urls&gt;&lt;/record&gt;&lt;/Cite&gt;&lt;/EndNote&gt;</w:instrText>
      </w:r>
      <w:r w:rsidR="00381E2C" w:rsidRPr="00837CC9">
        <w:rPr>
          <w:rFonts w:ascii="Times New Roman" w:hAnsi="Times New Roman" w:cs="Times New Roman"/>
        </w:rPr>
        <w:fldChar w:fldCharType="separate"/>
      </w:r>
      <w:r w:rsidR="00B4416E">
        <w:rPr>
          <w:rFonts w:ascii="Times New Roman" w:hAnsi="Times New Roman" w:cs="Times New Roman"/>
        </w:rPr>
        <w:t>(Bowler et al. 2010; Lee and Maheswaran 2011)</w:t>
      </w:r>
      <w:r w:rsidR="00381E2C" w:rsidRPr="00837CC9">
        <w:rPr>
          <w:rFonts w:ascii="Times New Roman" w:hAnsi="Times New Roman" w:cs="Times New Roman"/>
        </w:rPr>
        <w:fldChar w:fldCharType="end"/>
      </w:r>
      <w:r w:rsidR="001902AD">
        <w:rPr>
          <w:rFonts w:ascii="Times New Roman" w:hAnsi="Times New Roman" w:cs="Times New Roman"/>
        </w:rPr>
        <w:t>.</w:t>
      </w:r>
      <w:r w:rsidRPr="00837CC9">
        <w:rPr>
          <w:rFonts w:ascii="Times New Roman" w:hAnsi="Times New Roman" w:cs="Times New Roman"/>
        </w:rPr>
        <w:t xml:space="preserve"> More recently, a limited number of studies have reported beneficial impacts of green spaces on pregnancy outcomes</w:t>
      </w:r>
      <w:r w:rsidR="001902AD">
        <w:rPr>
          <w:rFonts w:ascii="Times New Roman" w:hAnsi="Times New Roman" w:cs="Times New Roman"/>
        </w:rPr>
        <w:t xml:space="preserve"> </w:t>
      </w:r>
      <w:r w:rsidR="00381E2C" w:rsidRPr="00837CC9">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&lt;EndNote&gt;&lt;Cite&gt;&lt;Author&gt;Donovan&lt;/Author&gt;&lt;Year&gt;2011&lt;/Year&gt;&lt;RecNum&gt;970&lt;/RecNum&gt;&lt;record&gt;&lt;rec-number&gt;970&lt;/rec-number&gt;&lt;ref-type name="Journal Article"&gt;17&lt;/ref-type&gt;&lt;contributors&gt;&lt;authors&gt;&lt;author&gt;Donovan, G. H.&lt;/author&gt;&lt;author&gt;Michael, Y. L.&lt;/author&gt;&lt;author&gt;Butry, D. T.&lt;/author&gt;&lt;author&gt;Sullivan, A. D.&lt;/author&gt;&lt;author&gt;Chase, J. M.&lt;/author&gt;&lt;/authors&gt;&lt;/contributors&gt;&lt;auth-address&gt;USDA Forest Service, PNW Research Station, Portland 97205, OR, United States&amp;#xD;Drexel University School of Public Health, Philadelphia 19102, PA, United States&amp;#xD;National Institute of Standards and Technology, Gaithersburg 20899, MD, United States&amp;#xD;Multnomah County Health Department, Portland 97204, OR, United States&lt;/auth-address&gt;&lt;titles&gt;&lt;title&gt;Urban trees and the risk of poor birth outcomes&lt;/title&gt;&lt;secondary-title&gt;Health Place&lt;/secondary-title&gt;&lt;/titles&gt;&lt;periodical&gt;&lt;full-title&gt;Health Place&lt;/full-title&gt;&lt;/periodical&gt;&lt;pages&gt;390-393&lt;/pages&gt;&lt;volume&gt;17&lt;/volume&gt;&lt;number&gt;1&lt;/number&gt;&lt;keywords&gt;&lt;keyword&gt;Preterm birth&lt;/keyword&gt;&lt;keyword&gt;Reproductive health&lt;/keyword&gt;&lt;keyword&gt;Small for gestational age&lt;/keyword&gt;&lt;keyword&gt;Urban trees&lt;/keyword&gt;&lt;/keywords&gt;&lt;dates&gt;&lt;year&gt;2011&lt;/year&gt;&lt;/dates&gt;&lt;urls&gt;&lt;related-urls&gt;&lt;url&gt;http://www.scopus.com/inward/record.url?eid=2-s2.0-78751575801&amp;amp;partnerID=40&amp;amp;md5=676fdbb8dad52df6ed390da8203a7734 &lt;/url&gt;&lt;/related-urls&gt;&lt;/urls&gt;&lt;/record&gt;&lt;/Cite&gt;&lt;Cite&gt;&lt;Author&gt;Dadvand&lt;/Author&gt;&lt;Year&gt;2012&lt;/Year&gt;&lt;RecNum&gt;898&lt;/RecNum&gt;&lt;record&gt;&lt;rec-number&gt;898&lt;/rec-number&gt;&lt;ref-type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Cite&gt;&lt;Author&gt;Laurent&lt;/Author&gt;&lt;Year&gt;2013&lt;/Year&gt;&lt;RecNum&gt;1330&lt;/RecNum&gt;&lt;record&gt;&lt;rec-number&gt;1330&lt;/rec-number&gt;&lt;ref-type name="Journal Article"&gt;17&lt;/ref-type&gt;&lt;contributors&gt;&lt;authors&gt;&lt;author&gt;Laurent, Olivier&lt;/author&gt;&lt;author&gt;Wu, Jun&lt;/author&gt;&lt;author&gt;Li, Lianfa&lt;/author&gt;&lt;author&gt;Milesi, Cristina&lt;/author&gt;&lt;/authors&gt;&lt;/contributors&gt;&lt;titles&gt;&lt;title&gt;Green spaces and pregnancy outcomes in Southern California&lt;/title&gt;&lt;secondary-title&gt;Health Place&lt;/secondary-title&gt;&lt;/titles&gt;&lt;periodical&gt;&lt;full-title&gt;Health Place&lt;/full-title&gt;&lt;/periodical&gt;&lt;pages&gt;190-195&lt;/pages&gt;&lt;volume&gt;24&lt;/volume&gt;&lt;dates&gt;&lt;year&gt;2013&lt;/year&gt;&lt;/dates&gt;&lt;isbn&gt;1353-8292&lt;/isbn&gt;&lt;urls&gt;&lt;/urls&gt;&lt;/record&gt;&lt;/Cite&gt;&lt;Cite&gt;&lt;Author&gt;Markevych&lt;/Author&gt;&lt;Year&gt;2014&lt;/Year&gt;&lt;RecNum&gt;1364&lt;/RecNum&gt;&lt;record&gt;&lt;rec-number&gt;1364&lt;/rec-number&gt;&lt;ref-type name="Journal Article"&gt;17&lt;/ref-type&gt;&lt;contributors&gt;&lt;authors&gt;&lt;author&gt;Markevych, Iana&lt;/author&gt;&lt;author&gt;Fuertes, Elaine&lt;/author&gt;&lt;author&gt;Tiesler, Carla M. T.&lt;/author&gt;&lt;author&gt;Birk, Matthias&lt;/author&gt;&lt;author&gt;Bauer, Carl-Peter&lt;/author&gt;&lt;author&gt;Koletzko, Sibylle&lt;/author&gt;&lt;author&gt;von Berg, Andrea&lt;/author&gt;&lt;author&gt;Berdel, Dietrich&lt;/author&gt;&lt;author&gt;Heinrich, Joachim&lt;/author&gt;&lt;/authors&gt;&lt;/contributors&gt;&lt;titles&gt;&lt;title&gt;Surrounding greenness and birth weight: Results from the GINIplus and LISAplus birth cohorts in Munich&lt;/title&gt;&lt;secondary-title&gt;Health place&lt;/secondary-title&gt;&lt;/titles&gt;&lt;periodical&gt;&lt;full-title&gt;Health Place&lt;/full-title&gt;&lt;/periodical&gt;&lt;pages&gt;39-46&lt;/pages&gt;&lt;volume&gt;26&lt;/volume&gt;&lt;dates&gt;&lt;year&gt;2014&lt;/year&gt;&lt;/dates&gt;&lt;isbn&gt;1353-8292&lt;/isbn&gt;&lt;urls&gt;&lt;/urls&gt;&lt;/record&gt;&lt;/Cite&gt;&lt;/EndNote&gt;</w:instrText>
      </w:r>
      <w:r w:rsidR="00381E2C" w:rsidRPr="00837CC9">
        <w:rPr>
          <w:rFonts w:ascii="Times New Roman" w:hAnsi="Times New Roman" w:cs="Times New Roman"/>
        </w:rPr>
        <w:fldChar w:fldCharType="separate"/>
      </w:r>
      <w:r w:rsidR="009F6C85">
        <w:rPr>
          <w:rFonts w:ascii="Times New Roman" w:hAnsi="Times New Roman" w:cs="Times New Roman"/>
        </w:rPr>
        <w:t>(Dadvand et al. 2012a; Dadvand et al. 2012b; Donovan et al. 2011; Laurent et al. 2013; Markevych et al. 2014)</w:t>
      </w:r>
      <w:r w:rsidR="00381E2C" w:rsidRPr="00837CC9">
        <w:rPr>
          <w:rFonts w:ascii="Times New Roman" w:hAnsi="Times New Roman" w:cs="Times New Roman"/>
        </w:rPr>
        <w:fldChar w:fldCharType="end"/>
      </w:r>
      <w:r w:rsidR="001902AD">
        <w:rPr>
          <w:rFonts w:ascii="Times New Roman" w:hAnsi="Times New Roman" w:cs="Times New Roman"/>
        </w:rPr>
        <w:t>.</w:t>
      </w:r>
      <w:r w:rsidRPr="00837CC9">
        <w:rPr>
          <w:rFonts w:ascii="Times New Roman" w:hAnsi="Times New Roman" w:cs="Times New Roman"/>
        </w:rPr>
        <w:t xml:space="preserve"> These studies</w:t>
      </w:r>
      <w:r w:rsidR="009F6C85">
        <w:rPr>
          <w:rFonts w:ascii="Times New Roman" w:hAnsi="Times New Roman" w:cs="Times New Roman"/>
        </w:rPr>
        <w:t xml:space="preserve"> </w:t>
      </w:r>
      <w:r w:rsidRPr="00837CC9">
        <w:rPr>
          <w:rFonts w:ascii="Times New Roman" w:hAnsi="Times New Roman" w:cs="Times New Roman"/>
        </w:rPr>
        <w:t>reported some benefits of maternal residential surround</w:t>
      </w:r>
      <w:r w:rsidR="00EF1B70">
        <w:rPr>
          <w:rFonts w:ascii="Times New Roman" w:hAnsi="Times New Roman" w:cs="Times New Roman"/>
        </w:rPr>
        <w:t xml:space="preserve">ing greenness for foetal growth, </w:t>
      </w:r>
      <w:r w:rsidR="008F7863">
        <w:rPr>
          <w:rFonts w:ascii="Times New Roman" w:hAnsi="Times New Roman" w:cs="Times New Roman"/>
        </w:rPr>
        <w:t>reflected by higher birth weight and head circumference and lower risk of low birth weigh</w:t>
      </w:r>
      <w:r w:rsidR="00B342E7">
        <w:rPr>
          <w:rFonts w:ascii="Times New Roman" w:hAnsi="Times New Roman" w:cs="Times New Roman"/>
        </w:rPr>
        <w:t>t and small for gestational age</w:t>
      </w:r>
      <w:r w:rsidR="001902AD">
        <w:rPr>
          <w:rFonts w:ascii="Times New Roman" w:hAnsi="Times New Roman" w:cs="Times New Roman"/>
        </w:rPr>
        <w:t xml:space="preserve"> </w:t>
      </w:r>
      <w:r w:rsidR="00381E2C" w:rsidRPr="00837CC9">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&lt;EndNote&gt;&lt;Cite&gt;&lt;Author&gt;Donovan&lt;/Author&gt;&lt;Year&gt;2011&lt;/Year&gt;&lt;RecNum&gt;970&lt;/RecNum&gt;&lt;record&gt;&lt;rec-number&gt;970&lt;/rec-number&gt;&lt;ref-type name="Journal Article"&gt;17&lt;/ref-type&gt;&lt;contributors&gt;&lt;authors&gt;&lt;author&gt;Donovan, G. H.&lt;/author&gt;&lt;author&gt;Michael, Y. L.&lt;/author&gt;&lt;author&gt;Butry, D. T.&lt;/author&gt;&lt;author&gt;Sullivan, A. D.&lt;/author&gt;&lt;author&gt;Chase, J. M.&lt;/author&gt;&lt;/authors&gt;&lt;/contributors&gt;&lt;auth-address&gt;USDA Forest Service, PNW Research Station, Portland 97205, OR, United States&amp;#xD;Drexel University School of Public Health, Philadelphia 19102, PA, United States&amp;#xD;National Institute of Standards and Technology, Gaithersburg 20899, MD, United States&amp;#xD;Multnomah County Health Department, Portland 97204, OR, United States&lt;/auth-address&gt;&lt;titles&gt;&lt;title&gt;Urban trees and the risk of poor birth outcomes&lt;/title&gt;&lt;secondary-title&gt;Health Place&lt;/secondary-title&gt;&lt;/titles&gt;&lt;periodical&gt;&lt;full-title&gt;Health Place&lt;/full-title&gt;&lt;/periodical&gt;&lt;pages&gt;390-393&lt;/pages&gt;&lt;volume&gt;17&lt;/volume&gt;&lt;number&gt;1&lt;/number&gt;&lt;keywords&gt;&lt;keyword&gt;Preterm birth&lt;/keyword&gt;&lt;keyword&gt;Reproductive health&lt;/keyword&gt;&lt;keyword&gt;Small for gestational age&lt;/keyword&gt;&lt;keyword&gt;Urban trees&lt;/keyword&gt;&lt;/keywords&gt;&lt;dates&gt;&lt;year&gt;2011&lt;/year&gt;&lt;/dates&gt;&lt;urls&gt;&lt;related-urls&gt;&lt;url&gt;http://www.scopus.com/inward/record.url?eid=2-s2.0-78751575801&amp;amp;partnerID=40&amp;amp;md5=676fdbb8dad52df6ed390da8203a7734 &lt;/url&gt;&lt;/related-urls&gt;&lt;/urls&gt;&lt;/record&gt;&lt;/Cite&gt;&lt;Cite&gt;&lt;Author&gt;Dadvand&lt;/Author&gt;&lt;Year&gt;2012&lt;/Year&gt;&lt;RecNum&gt;898&lt;/RecNum&gt;&lt;record&gt;&lt;rec-number&gt;898&lt;/rec-number&gt;&lt;ref-type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Cite&gt;&lt;Author&gt;Laurent&lt;/Author&gt;&lt;Year&gt;2013&lt;/Year&gt;&lt;RecNum&gt;1330&lt;/RecNum&gt;&lt;record&gt;&lt;rec-number&gt;1330&lt;/rec-number&gt;&lt;ref-type name="Journal Article"&gt;17&lt;/ref-type&gt;&lt;contributors&gt;&lt;authors&gt;&lt;author&gt;Laurent, Olivier&lt;/author&gt;&lt;author&gt;Wu, Jun&lt;/author&gt;&lt;author&gt;Li, Lianfa&lt;/author&gt;&lt;author&gt;Milesi, Cristina&lt;/author&gt;&lt;/authors&gt;&lt;/contributors&gt;&lt;titles&gt;&lt;title&gt;Green spaces and pregnancy outcomes in Southern California&lt;/title&gt;&lt;secondary-title&gt;Health Place&lt;/secondary-title&gt;&lt;/titles&gt;&lt;periodical&gt;&lt;full-title&gt;Health Place&lt;/full-title&gt;&lt;/periodical&gt;&lt;pages&gt;190-195&lt;/pages&gt;&lt;volume&gt;24&lt;/volume&gt;&lt;dates&gt;&lt;year&gt;2013&lt;/year&gt;&lt;/dates&gt;&lt;isbn&gt;1353-8292&lt;/isbn&gt;&lt;urls&gt;&lt;/urls&gt;&lt;/record&gt;&lt;/Cite&gt;&lt;Cite&gt;&lt;Author&gt;Markevych&lt;/Author&gt;&lt;Year&gt;2014&lt;/Year&gt;&lt;RecNum&gt;1364&lt;/RecNum&gt;&lt;record&gt;&lt;rec-number&gt;1364&lt;/rec-number&gt;&lt;ref-type name="Journal Article"&gt;17&lt;/ref-type&gt;&lt;contributors&gt;&lt;authors&gt;&lt;author&gt;Markevych, Iana&lt;/author&gt;&lt;author&gt;Fuertes, Elaine&lt;/author&gt;&lt;author&gt;Tiesler, Carla M. T.&lt;/author&gt;&lt;author&gt;Birk, Matthias&lt;/author&gt;&lt;author&gt;Bauer, Carl-Peter&lt;/author&gt;&lt;author&gt;Koletzko, Sibylle&lt;/author&gt;&lt;author&gt;von Berg, Andrea&lt;/author&gt;&lt;author&gt;Berdel, Dietrich&lt;/author&gt;&lt;author&gt;Heinrich, Joachim&lt;/author&gt;&lt;/authors&gt;&lt;/contributors&gt;&lt;titles&gt;&lt;title&gt;Surrounding greenness and birth weight: Results from the GINIplus and LISAplus birth cohorts in Munich&lt;/title&gt;&lt;secondary-title&gt;Health place&lt;/secondary-title&gt;&lt;/titles&gt;&lt;periodical&gt;&lt;full-title&gt;Health Place&lt;/full-title&gt;&lt;/periodical&gt;&lt;pages&gt;39-46&lt;/pages&gt;&lt;volume&gt;26&lt;/volume&gt;&lt;dates&gt;&lt;year&gt;2014&lt;/year&gt;&lt;/dates&gt;&lt;isbn&gt;1353-8292&lt;/isbn&gt;&lt;urls&gt;&lt;/urls&gt;&lt;/record&gt;&lt;/Cite&gt;&lt;/EndNote&gt;</w:instrText>
      </w:r>
      <w:r w:rsidR="00381E2C" w:rsidRPr="00837CC9">
        <w:rPr>
          <w:rFonts w:ascii="Times New Roman" w:hAnsi="Times New Roman" w:cs="Times New Roman"/>
        </w:rPr>
        <w:fldChar w:fldCharType="separate"/>
      </w:r>
      <w:r w:rsidR="009F6C85">
        <w:rPr>
          <w:rFonts w:ascii="Times New Roman" w:hAnsi="Times New Roman" w:cs="Times New Roman"/>
        </w:rPr>
        <w:t>(Dadvand et al. 2012a; Dadvand et al. 2012b; Donovan et al. 2011; Laurent et al. 2013; Markevych et al. 2014)</w:t>
      </w:r>
      <w:r w:rsidR="00381E2C" w:rsidRPr="00837CC9">
        <w:rPr>
          <w:rFonts w:ascii="Times New Roman" w:hAnsi="Times New Roman" w:cs="Times New Roman"/>
        </w:rPr>
        <w:fldChar w:fldCharType="end"/>
      </w:r>
      <w:r w:rsidR="001902AD">
        <w:rPr>
          <w:rFonts w:ascii="Times New Roman" w:hAnsi="Times New Roman" w:cs="Times New Roman"/>
        </w:rPr>
        <w:t>.</w:t>
      </w:r>
      <w:r w:rsidRPr="00837CC9">
        <w:rPr>
          <w:rFonts w:ascii="Times New Roman" w:hAnsi="Times New Roman" w:cs="Times New Roman"/>
        </w:rPr>
        <w:t xml:space="preserve">  </w:t>
      </w:r>
    </w:p>
    <w:p w:rsidR="007136E7" w:rsidRPr="00B223A5" w:rsidRDefault="007136E7">
      <w:pPr>
        <w:spacing w:after="0"/>
        <w:rPr>
          <w:rFonts w:ascii="Times New Roman" w:hAnsi="Times New Roman" w:cs="Times New Roman"/>
        </w:rPr>
      </w:pPr>
    </w:p>
    <w:p w:rsidR="00087E5E" w:rsidRPr="00A1650B" w:rsidRDefault="00C9726C" w:rsidP="00A51F1F">
      <w:pPr>
        <w:spacing w:after="0"/>
        <w:rPr>
          <w:rFonts w:asciiTheme="majorBidi" w:hAnsiTheme="majorBidi" w:cstheme="majorBidi"/>
          <w:szCs w:val="24"/>
        </w:rPr>
      </w:pPr>
      <w:r>
        <w:rPr>
          <w:rFonts w:ascii="Times New Roman" w:hAnsi="Times New Roman" w:cs="Times New Roman"/>
        </w:rPr>
        <w:t>Socioeconomic inequality in health</w:t>
      </w:r>
      <w:r w:rsidR="00F449B3" w:rsidRPr="0075508D">
        <w:rPr>
          <w:rFonts w:ascii="Times New Roman" w:hAnsi="Times New Roman" w:cs="Times New Roman"/>
        </w:rPr>
        <w:t xml:space="preserve"> has been shown to have a</w:t>
      </w:r>
      <w:r w:rsidR="005F781C">
        <w:rPr>
          <w:rFonts w:ascii="Times New Roman" w:hAnsi="Times New Roman" w:cs="Times New Roman"/>
        </w:rPr>
        <w:t xml:space="preserve"> multilevel</w:t>
      </w:r>
      <w:r>
        <w:rPr>
          <w:rFonts w:ascii="Times New Roman" w:hAnsi="Times New Roman" w:cs="Times New Roman"/>
        </w:rPr>
        <w:t xml:space="preserve"> structure</w:t>
      </w:r>
      <w:r w:rsidR="00F449B3" w:rsidRPr="0075508D">
        <w:rPr>
          <w:rFonts w:ascii="Times New Roman" w:hAnsi="Times New Roman" w:cs="Times New Roman"/>
        </w:rPr>
        <w:t xml:space="preserve"> </w:t>
      </w:r>
      <w:r w:rsidR="005F781C">
        <w:rPr>
          <w:rFonts w:ascii="Times New Roman" w:hAnsi="Times New Roman" w:cs="Times New Roman"/>
        </w:rPr>
        <w:t>in that</w:t>
      </w:r>
      <w:r w:rsidR="00F449B3" w:rsidRPr="0075508D">
        <w:rPr>
          <w:rFonts w:ascii="Times New Roman" w:hAnsi="Times New Roman" w:cs="Times New Roman"/>
        </w:rPr>
        <w:t xml:space="preserve"> </w:t>
      </w:r>
      <w:r>
        <w:rPr>
          <w:rFonts w:ascii="Times New Roman" w:hAnsi="Times New Roman" w:cs="Times New Roman"/>
        </w:rPr>
        <w:t xml:space="preserve">individual and neighbourhood </w:t>
      </w:r>
      <w:r w:rsidR="00A51F1F">
        <w:rPr>
          <w:rFonts w:ascii="Times New Roman" w:hAnsi="Times New Roman" w:cs="Times New Roman"/>
        </w:rPr>
        <w:t>s</w:t>
      </w:r>
      <w:r w:rsidR="00A51F1F" w:rsidRPr="00837CC9">
        <w:rPr>
          <w:rFonts w:ascii="Times New Roman" w:hAnsi="Times New Roman" w:cs="Times New Roman"/>
        </w:rPr>
        <w:t xml:space="preserve">ocioeconomic </w:t>
      </w:r>
      <w:r w:rsidRPr="00837CC9">
        <w:rPr>
          <w:rFonts w:ascii="Times New Roman" w:hAnsi="Times New Roman" w:cs="Times New Roman"/>
        </w:rPr>
        <w:t>status (SES)</w:t>
      </w:r>
      <w:r w:rsidRPr="0075508D">
        <w:rPr>
          <w:rFonts w:ascii="Times New Roman" w:hAnsi="Times New Roman" w:cs="Times New Roman"/>
        </w:rPr>
        <w:t xml:space="preserve"> </w:t>
      </w:r>
      <w:r w:rsidR="005F781C">
        <w:rPr>
          <w:rFonts w:ascii="Times New Roman" w:hAnsi="Times New Roman" w:cs="Times New Roman"/>
        </w:rPr>
        <w:t xml:space="preserve">could </w:t>
      </w:r>
      <w:r w:rsidR="00F449B3" w:rsidRPr="0075508D">
        <w:rPr>
          <w:rFonts w:ascii="Times New Roman" w:hAnsi="Times New Roman" w:cs="Times New Roman"/>
        </w:rPr>
        <w:t>have independent associations with the susceptibility of individuals to disease</w:t>
      </w:r>
      <w:r w:rsidR="00AB3796">
        <w:rPr>
          <w:rFonts w:ascii="Times New Roman" w:hAnsi="Times New Roman" w:cs="Times New Roman"/>
        </w:rPr>
        <w:t xml:space="preserve"> </w:t>
      </w:r>
      <w:r w:rsidR="00381E2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&lt;EndNote&gt;&lt;Cite&gt;&lt;Author&gt;Ross&lt;/Author&gt;&lt;Year&gt;2008&lt;/Year&gt;&lt;RecNum&gt;701&lt;/RecNum&gt;&lt;record&gt;&lt;rec-number&gt;701&lt;/rec-number&gt;&lt;ref-type name="Journal Article"&gt;17&lt;/ref-type&gt;&lt;contributors&gt;&lt;authors&gt;&lt;author&gt;Ross, CE. &lt;/author&gt;&lt;author&gt;Mirowsky, J&lt;/author&gt;&lt;/authors&gt;&lt;/contributors&gt;&lt;auth-address&gt;University of Texas, Austin&lt;/auth-address&gt;&lt;titles&gt;&lt;title&gt;Neighborhood Socioeconomic Status and Health: Context or Composition?&lt;/title&gt;&lt;secondary-title&gt;City and Community&lt;/secondary-title&gt;&lt;/titles&gt;&lt;pages&gt;163-179&lt;/pages&gt;&lt;volume&gt;7&lt;/volume&gt;&lt;number&gt;2&lt;/number&gt;&lt;dates&gt;&lt;year&gt;2008&lt;/year&gt;&lt;/dates&gt;&lt;isbn&gt;1540-6040&lt;/isbn&gt;&lt;urls&gt;&lt;related-urls&gt;&lt;url&gt;http://dx.doi.org/10.1111/j.1540-6040.2008.00251.x &lt;/url&gt;&lt;/related-urls&gt;&lt;/urls&gt;&lt;/record&gt;&lt;/Cite&gt;&lt;Cite&gt;&lt;Author&gt;Pickett&lt;/Author&gt;&lt;Year&gt;2001&lt;/Year&gt;&lt;RecNum&gt;691&lt;/RecNum&gt;&lt;record&gt;&lt;rec-number&gt;691&lt;/rec-number&gt;&lt;ref-type name="Journal Article"&gt;17&lt;/ref-type&gt;&lt;contributors&gt;&lt;authors&gt;&lt;author&gt;Pickett, K. E.&lt;/author&gt;&lt;author&gt;Pearl, M.&lt;/author&gt;&lt;/authors&gt;&lt;/contributors&gt;&lt;titles&gt;&lt;title&gt;Multilevel analyses of neighbourhood socioeconomic context and health outcomes: a critical review&lt;/title&gt;&lt;secondary-title&gt;J Epidemiol Community Health&lt;/secondary-title&gt;&lt;/titles&gt;&lt;periodical&gt;&lt;full-title&gt;J Epidemiol Community Health&lt;/full-title&gt;&lt;/periodical&gt;&lt;pages&gt;111-122&lt;/pages&gt;&lt;volume&gt;55&lt;/volume&gt;&lt;number&gt;2&lt;/number&gt;&lt;dates&gt;&lt;year&gt;2001&lt;/year&gt;&lt;pub-dates&gt;&lt;date&gt;February 1, 2001&lt;/date&gt;&lt;/pub-dates&gt;&lt;/dates&gt;&lt;urls&gt;&lt;related-urls&gt;&lt;url&gt;http://jech.bmj.com/cgi/content/abstract/55/2/111 &lt;/url&gt;&lt;/related-urls&gt;&lt;/urls&gt;&lt;electronic-resource-num&gt;10.1136/jech.55.2.111&lt;/electronic-resource-num&gt;&lt;/record&gt;&lt;/Cite&gt;&lt;/EndNote&gt;</w:instrText>
      </w:r>
      <w:r w:rsidR="00381E2C">
        <w:rPr>
          <w:rFonts w:ascii="Times New Roman" w:hAnsi="Times New Roman" w:cs="Times New Roman"/>
        </w:rPr>
        <w:fldChar w:fldCharType="separate"/>
      </w:r>
      <w:r w:rsidR="00B4416E">
        <w:rPr>
          <w:rFonts w:ascii="Times New Roman" w:hAnsi="Times New Roman" w:cs="Times New Roman"/>
        </w:rPr>
        <w:t>(Pickett and Pearl 2001; Ross and Mirowsky 2008)</w:t>
      </w:r>
      <w:r w:rsidR="00381E2C">
        <w:rPr>
          <w:rFonts w:ascii="Times New Roman" w:hAnsi="Times New Roman" w:cs="Times New Roman"/>
        </w:rPr>
        <w:fldChar w:fldCharType="end"/>
      </w:r>
      <w:r w:rsidR="00AB3796">
        <w:rPr>
          <w:rFonts w:ascii="Times New Roman" w:hAnsi="Times New Roman" w:cs="Times New Roman"/>
        </w:rPr>
        <w:t>.</w:t>
      </w:r>
      <w:r w:rsidR="00F449B3" w:rsidRPr="00B223A5">
        <w:rPr>
          <w:rFonts w:ascii="Times New Roman" w:hAnsi="Times New Roman" w:cs="Times New Roman"/>
        </w:rPr>
        <w:t xml:space="preserve"> </w:t>
      </w:r>
      <w:r w:rsidR="00837CC9" w:rsidRPr="00837CC9">
        <w:rPr>
          <w:rFonts w:ascii="Times New Roman" w:hAnsi="Times New Roman" w:cs="Times New Roman"/>
        </w:rPr>
        <w:t xml:space="preserve">A growing body of evidence has </w:t>
      </w:r>
      <w:r w:rsidR="00E24012">
        <w:rPr>
          <w:rFonts w:ascii="Times New Roman" w:hAnsi="Times New Roman" w:cs="Times New Roman"/>
        </w:rPr>
        <w:t>reported</w:t>
      </w:r>
      <w:r w:rsidR="00837CC9" w:rsidRPr="00837CC9">
        <w:rPr>
          <w:rFonts w:ascii="Times New Roman" w:hAnsi="Times New Roman" w:cs="Times New Roman"/>
        </w:rPr>
        <w:t xml:space="preserve"> that</w:t>
      </w:r>
      <w:r w:rsidR="00C8323C">
        <w:rPr>
          <w:rFonts w:ascii="Times New Roman" w:hAnsi="Times New Roman" w:cs="Times New Roman"/>
        </w:rPr>
        <w:t xml:space="preserve"> individual</w:t>
      </w:r>
      <w:r w:rsidR="00837CC9" w:rsidRPr="00837CC9">
        <w:rPr>
          <w:rFonts w:ascii="Times New Roman" w:hAnsi="Times New Roman" w:cs="Times New Roman"/>
        </w:rPr>
        <w:t xml:space="preserve"> </w:t>
      </w:r>
      <w:r w:rsidR="005F781C">
        <w:rPr>
          <w:rFonts w:ascii="Times New Roman" w:hAnsi="Times New Roman" w:cs="Times New Roman"/>
        </w:rPr>
        <w:t>SES</w:t>
      </w:r>
      <w:r w:rsidR="00837CC9" w:rsidRPr="00837CC9">
        <w:rPr>
          <w:rFonts w:ascii="Times New Roman" w:hAnsi="Times New Roman" w:cs="Times New Roman"/>
        </w:rPr>
        <w:t xml:space="preserve"> can </w:t>
      </w:r>
      <w:r w:rsidR="00E24012">
        <w:rPr>
          <w:rFonts w:ascii="Times New Roman" w:hAnsi="Times New Roman" w:cs="Times New Roman"/>
        </w:rPr>
        <w:t>modify the health benefits of green spaces</w:t>
      </w:r>
      <w:r w:rsidR="00AB3796">
        <w:rPr>
          <w:rFonts w:ascii="Times New Roman" w:hAnsi="Times New Roman" w:cs="Times New Roman"/>
        </w:rPr>
        <w:t xml:space="preserve"> </w:t>
      </w:r>
      <w:r w:rsidR="00381E2C" w:rsidRPr="00837CC9">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&lt;EndNote&gt;&lt;Cite&gt;&lt;Author&gt;De Vries&lt;/Author&gt;&lt;Year&gt;2003&lt;/Year&gt;&lt;RecNum&gt;816&lt;/RecNum&gt;&lt;record&gt;&lt;rec-number&gt;816&lt;/rec-number&gt;&lt;ref-type name="Journal Article"&gt;17&lt;/ref-type&gt;&lt;contributors&gt;&lt;authors&gt;&lt;author&gt;De Vries, S.&lt;/author&gt;&lt;author&gt;Verheij, R. A.&lt;/author&gt;&lt;author&gt;Groenewegen, P. P.&lt;/author&gt;&lt;author&gt;Spreeuwenberg, P.&lt;/author&gt;&lt;/authors&gt;&lt;/contributors&gt;&lt;titles&gt;&lt;title&gt;Natural environments-healthy environments? An exploratory analysis of the relationship between greenspace and health&lt;/title&gt;&lt;secondary-title&gt;Environ Plan A&lt;/secondary-title&gt;&lt;/titles&gt;&lt;pages&gt;1717-1732&lt;/pages&gt;&lt;volume&gt;35&lt;/volume&gt;&lt;number&gt;10&lt;/number&gt;&lt;dates&gt;&lt;year&gt;2003&lt;/year&gt;&lt;/dates&gt;&lt;isbn&gt;0308-518X&lt;/isbn&gt;&lt;urls&gt;&lt;/urls&gt;&lt;/record&gt;&lt;/Cite&gt;&lt;Cite&gt;&lt;Author&gt;Maas&lt;/Author&gt;&lt;Year&gt;2009&lt;/Year&gt;&lt;RecNum&gt;801&lt;/RecNum&gt;&lt;record&gt;&lt;rec-number&gt;801&lt;/rec-number&gt;&lt;ref-type name="Journal Article"&gt;17&lt;/ref-type&gt;&lt;contributors&gt;&lt;authors&gt;&lt;author&gt;Maas, J.&lt;/author&gt;&lt;author&gt;Verheij, R. A.&lt;/author&gt;&lt;author&gt;de Vries, S.&lt;/author&gt;&lt;author&gt;Spreeuwenberg, P.&lt;/author&gt;&lt;author&gt;Schellevis, F. G.&lt;/author&gt;&lt;author&gt;Groenewegen, P. P.&lt;/author&gt;&lt;/authors&gt;&lt;/contributors&gt;&lt;titles&gt;&lt;title&gt;Morbidity is related to a green living environment&lt;/title&gt;&lt;secondary-title&gt;J Epidemiol Community Health&lt;/secondary-title&gt;&lt;/titles&gt;&lt;periodical&gt;&lt;full-title&gt;J Epidemiol Community Health&lt;/full-title&gt;&lt;/periodical&gt;&lt;pages&gt;967-973&lt;/pages&gt;&lt;volume&gt;63&lt;/volume&gt;&lt;number&gt;12&lt;/number&gt;&lt;dates&gt;&lt;year&gt;2009&lt;/year&gt;&lt;/dates&gt;&lt;isbn&gt;1470-2738&lt;/isbn&gt;&lt;urls&gt;&lt;/urls&gt;&lt;/record&gt;&lt;/Cite&gt;&lt;/EndNote&gt;</w:instrText>
      </w:r>
      <w:r w:rsidR="00381E2C" w:rsidRPr="00837CC9">
        <w:rPr>
          <w:rFonts w:ascii="Times New Roman" w:hAnsi="Times New Roman" w:cs="Times New Roman"/>
        </w:rPr>
        <w:fldChar w:fldCharType="separate"/>
      </w:r>
      <w:r w:rsidR="00B4416E">
        <w:rPr>
          <w:rFonts w:ascii="Times New Roman" w:hAnsi="Times New Roman" w:cs="Times New Roman"/>
        </w:rPr>
        <w:t>(De Vries et al. 2003; Maas et al. 2009)</w:t>
      </w:r>
      <w:r w:rsidR="00381E2C" w:rsidRPr="00837CC9">
        <w:rPr>
          <w:rFonts w:ascii="Times New Roman" w:hAnsi="Times New Roman" w:cs="Times New Roman"/>
        </w:rPr>
        <w:fldChar w:fldCharType="end"/>
      </w:r>
      <w:r w:rsidR="00AB3796">
        <w:rPr>
          <w:rFonts w:ascii="Times New Roman" w:hAnsi="Times New Roman" w:cs="Times New Roman"/>
        </w:rPr>
        <w:t>.</w:t>
      </w:r>
      <w:r w:rsidR="00837CC9" w:rsidRPr="00837CC9">
        <w:rPr>
          <w:rFonts w:ascii="Times New Roman" w:hAnsi="Times New Roman" w:cs="Times New Roman"/>
        </w:rPr>
        <w:t xml:space="preserve"> In our previous studies of the impact of green spaces on pregnancy outcomes</w:t>
      </w:r>
      <w:r w:rsidR="00AB3796">
        <w:rPr>
          <w:rFonts w:ascii="Times New Roman" w:hAnsi="Times New Roman" w:cs="Times New Roman"/>
        </w:rPr>
        <w:t xml:space="preserve"> </w:t>
      </w:r>
      <w:r w:rsidR="00381E2C" w:rsidRPr="00837CC9">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EndNote&gt;</w:instrText>
      </w:r>
      <w:r w:rsidR="00381E2C" w:rsidRPr="00837CC9">
        <w:rPr>
          <w:rFonts w:ascii="Times New Roman" w:hAnsi="Times New Roman" w:cs="Times New Roman"/>
        </w:rPr>
        <w:fldChar w:fldCharType="separate"/>
      </w:r>
      <w:r w:rsidR="00B4416E">
        <w:rPr>
          <w:rFonts w:ascii="Times New Roman" w:hAnsi="Times New Roman" w:cs="Times New Roman"/>
        </w:rPr>
        <w:t>(Dadvand et al. 2012a; Dadvand et al. 2012b)</w:t>
      </w:r>
      <w:r w:rsidR="00381E2C" w:rsidRPr="00837CC9">
        <w:rPr>
          <w:rFonts w:ascii="Times New Roman" w:hAnsi="Times New Roman" w:cs="Times New Roman"/>
        </w:rPr>
        <w:fldChar w:fldCharType="end"/>
      </w:r>
      <w:r w:rsidR="00AB3796">
        <w:rPr>
          <w:rFonts w:ascii="Times New Roman" w:hAnsi="Times New Roman" w:cs="Times New Roman"/>
        </w:rPr>
        <w:t>,</w:t>
      </w:r>
      <w:r w:rsidR="00837CC9" w:rsidRPr="00837CC9">
        <w:rPr>
          <w:rFonts w:ascii="Times New Roman" w:hAnsi="Times New Roman" w:cs="Times New Roman"/>
        </w:rPr>
        <w:t xml:space="preserve"> we observed a </w:t>
      </w:r>
      <w:r w:rsidR="00087E5E">
        <w:rPr>
          <w:rFonts w:ascii="Times New Roman" w:hAnsi="Times New Roman" w:cs="Times New Roman"/>
        </w:rPr>
        <w:t>larger</w:t>
      </w:r>
      <w:r w:rsidR="00837CC9" w:rsidRPr="00837CC9">
        <w:rPr>
          <w:rFonts w:ascii="Times New Roman" w:hAnsi="Times New Roman" w:cs="Times New Roman"/>
        </w:rPr>
        <w:t xml:space="preserve"> benefit of green space for pregnant women with lower education qualifications </w:t>
      </w:r>
      <w:r w:rsidR="00381E2C" w:rsidRPr="00A1650B">
        <w:rPr>
          <w:rFonts w:asciiTheme="majorBidi" w:hAnsiTheme="majorBidi" w:cstheme="majorBidi"/>
          <w:szCs w:val="24"/>
        </w:rPr>
        <w:fldChar w:fldCharType="begin"/>
      </w:r>
      <w:r w:rsidR="000D1B3C">
        <w:rPr>
          <w:rFonts w:asciiTheme="majorBidi" w:hAnsiTheme="majorBidi" w:cstheme="majorBidi"/>
          <w:szCs w:val="24"/>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EndNote&gt;</w:instrText>
      </w:r>
      <w:r w:rsidR="00381E2C" w:rsidRPr="00A1650B">
        <w:rPr>
          <w:rFonts w:asciiTheme="majorBidi" w:hAnsiTheme="majorBidi" w:cstheme="majorBidi"/>
          <w:szCs w:val="24"/>
        </w:rPr>
        <w:fldChar w:fldCharType="separate"/>
      </w:r>
      <w:r w:rsidR="00B4416E">
        <w:rPr>
          <w:rFonts w:asciiTheme="majorBidi" w:hAnsiTheme="majorBidi" w:cstheme="majorBidi"/>
          <w:szCs w:val="24"/>
        </w:rPr>
        <w:t>(Dadvand et al. 2012a; Dadvand et al. 2012b)</w:t>
      </w:r>
      <w:r w:rsidR="00381E2C" w:rsidRPr="00A1650B">
        <w:rPr>
          <w:rFonts w:asciiTheme="majorBidi" w:hAnsiTheme="majorBidi" w:cstheme="majorBidi"/>
          <w:szCs w:val="24"/>
        </w:rPr>
        <w:fldChar w:fldCharType="end"/>
      </w:r>
      <w:r w:rsidR="00AB3796">
        <w:rPr>
          <w:rFonts w:asciiTheme="majorBidi" w:hAnsiTheme="majorBidi" w:cstheme="majorBidi"/>
          <w:szCs w:val="24"/>
        </w:rPr>
        <w:t>.</w:t>
      </w:r>
      <w:r w:rsidR="00087E5E" w:rsidRPr="00A1650B">
        <w:rPr>
          <w:rFonts w:asciiTheme="majorBidi" w:hAnsiTheme="majorBidi" w:cstheme="majorBidi"/>
          <w:szCs w:val="24"/>
        </w:rPr>
        <w:t xml:space="preserve"> In this context, neighbourhood SES could also have a potential modifying effect on the association between green spaces and health.</w:t>
      </w:r>
    </w:p>
    <w:p w:rsidR="007136E7" w:rsidRPr="00B223A5" w:rsidRDefault="007136E7" w:rsidP="00087E5E">
      <w:pPr>
        <w:spacing w:after="0"/>
        <w:rPr>
          <w:rFonts w:ascii="Times New Roman" w:hAnsi="Times New Roman" w:cs="Times New Roman"/>
        </w:rPr>
      </w:pPr>
    </w:p>
    <w:p w:rsidR="00DF6018" w:rsidRPr="00A1650B" w:rsidRDefault="00DF6018" w:rsidP="00B4416E">
      <w:pPr>
        <w:spacing w:after="0"/>
        <w:rPr>
          <w:rFonts w:asciiTheme="majorBidi" w:hAnsiTheme="majorBidi" w:cstheme="majorBidi"/>
          <w:szCs w:val="24"/>
        </w:rPr>
      </w:pPr>
      <w:r w:rsidRPr="00A1650B">
        <w:rPr>
          <w:rFonts w:asciiTheme="majorBidi" w:hAnsiTheme="majorBidi" w:cstheme="majorBidi"/>
          <w:szCs w:val="24"/>
        </w:rPr>
        <w:t xml:space="preserve">The available studies on the potential modifying effect of ethnicity on health benefits of green spaces are scarce but suggestive </w:t>
      </w:r>
      <w:r>
        <w:rPr>
          <w:rFonts w:asciiTheme="majorBidi" w:hAnsiTheme="majorBidi" w:cstheme="majorBidi"/>
          <w:szCs w:val="24"/>
        </w:rPr>
        <w:t>of</w:t>
      </w:r>
      <w:r w:rsidRPr="00A1650B">
        <w:rPr>
          <w:rFonts w:asciiTheme="majorBidi" w:hAnsiTheme="majorBidi" w:cstheme="majorBidi"/>
          <w:szCs w:val="24"/>
        </w:rPr>
        <w:t xml:space="preserve"> such an effect</w:t>
      </w:r>
      <w:r w:rsidR="00AB3796">
        <w:rPr>
          <w:rFonts w:asciiTheme="majorBidi" w:hAnsiTheme="majorBidi" w:cstheme="majorBidi"/>
          <w:szCs w:val="24"/>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&lt;EndNote&gt;&lt;Cite&gt;&lt;Author&gt;Lee&lt;/Author&gt;&lt;Year&gt;2011&lt;/Year&gt;&lt;RecNum&gt;800&lt;/RecNum&gt;&lt;record&gt;&lt;rec-number&gt;800&lt;/rec-number&gt;&lt;ref-type name="Journal Article"&gt;17&lt;/ref-type&gt;&lt;contributors&gt;&lt;authors&gt;&lt;author&gt;Lee, A. C.&lt;/author&gt;&lt;author&gt;Maheswaran, R.&lt;/author&gt;&lt;/authors&gt;&lt;/contributors&gt;&lt;titles&gt;&lt;title&gt;The health benefits of urban green spaces: a review of the evidence&lt;/title&gt;&lt;secondary-title&gt;J Public Health (Oxf)&lt;/secondary-title&gt;&lt;/titles&gt;&lt;pages&gt;212-222&lt;/pages&gt;&lt;volume&gt;33&lt;/volume&gt;&lt;number&gt;2&lt;/number&gt;&lt;dates&gt;&lt;year&gt;2011&lt;/year&gt;&lt;/dates&gt;&lt;isbn&gt;1741-3850&lt;/isbn&gt;&lt;urls&gt;&lt;/urls&gt;&lt;/record&gt;&lt;/Cite&gt;&lt;Cite&gt;&lt;Author&gt;Agyemang&lt;/Author&gt;&lt;Year&gt;2007&lt;/Year&gt;&lt;RecNum&gt;1114&lt;/RecNum&gt;&lt;record&gt;&lt;rec-number&gt;1114&lt;/rec-number&gt;&lt;ref-type name="Journal Article"&gt;17&lt;/ref-type&gt;&lt;contributors&gt;&lt;authors&gt;&lt;author&gt;Agyemang, Charles&lt;/author&gt;&lt;author&gt;van Hooijdonk, Carolien&lt;/author&gt;&lt;author&gt;Wendel-Vos, Wanda&lt;/author&gt;&lt;author&gt;Ujcic-Voortman, Joanne&lt;/author&gt;&lt;author&gt;Lindeman, Ellen&lt;/author&gt;&lt;author&gt;Stronks, Karien&lt;/author&gt;&lt;author&gt;Droomers, Mariel&lt;/author&gt;&lt;/authors&gt;&lt;/contributors&gt;&lt;titles&gt;&lt;title&gt;Ethnic differences in the effect of environmental stressors on blood pressure and hypertension in the Netherlands&lt;/title&gt;&lt;secondary-title&gt;BMC Public Health&lt;/secondary-title&gt;&lt;/titles&gt;&lt;periodical&gt;&lt;full-title&gt;BMC Public Health&lt;/full-title&gt;&lt;/periodical&gt;&lt;pages&gt;118&lt;/pages&gt;&lt;volume&gt;7&lt;/volume&gt;&lt;number&gt;1&lt;/number&gt;&lt;dates&gt;&lt;year&gt;2007&lt;/year&gt;&lt;/dates&gt;&lt;isbn&gt;1471-2458&lt;/isbn&gt;&lt;accession-num&gt;doi:10.1186/1471-2458-7-118&lt;/accession-num&gt;&lt;urls&gt;&lt;related-urls&gt;&lt;url&gt;http://www.biomedcentral.com/1471-2458/7/118 &lt;/url&gt;&lt;/related-urls&gt;&lt;/urls&gt;&lt;/record&gt;&lt;/Cite&gt;&lt;/EndNote&gt;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 xml:space="preserve">(Agyemang et al. 2007; Lee and </w:t>
      </w:r>
      <w:r w:rsidR="00B4416E">
        <w:rPr>
          <w:rFonts w:ascii="Times New Roman" w:hAnsi="Times New Roman" w:cs="Times New Roman"/>
        </w:rPr>
        <w:lastRenderedPageBreak/>
        <w:t>Maheswaran 2011)</w:t>
      </w:r>
      <w:r w:rsidR="00381E2C" w:rsidRPr="003D3DED">
        <w:rPr>
          <w:rFonts w:ascii="Times New Roman" w:hAnsi="Times New Roman" w:cs="Times New Roman"/>
        </w:rPr>
        <w:fldChar w:fldCharType="end"/>
      </w:r>
      <w:r w:rsidR="00AB3796">
        <w:rPr>
          <w:rFonts w:ascii="Times New Roman" w:hAnsi="Times New Roman" w:cs="Times New Roman"/>
        </w:rPr>
        <w:t>.</w:t>
      </w:r>
      <w:r w:rsidR="00E872CD">
        <w:rPr>
          <w:rFonts w:ascii="Times New Roman" w:hAnsi="Times New Roman" w:cs="Times New Roman"/>
        </w:rPr>
        <w:t xml:space="preserve"> </w:t>
      </w:r>
      <w:r w:rsidRPr="00A1650B">
        <w:rPr>
          <w:rFonts w:asciiTheme="majorBidi" w:hAnsiTheme="majorBidi" w:cstheme="majorBidi"/>
          <w:szCs w:val="24"/>
        </w:rPr>
        <w:t>To our knowledge, there is no reported study on the modification of the association between green spaces and pregnancy outcomes by ethnicity.</w:t>
      </w:r>
    </w:p>
    <w:p w:rsidR="007136E7" w:rsidRPr="00B223A5" w:rsidRDefault="007136E7" w:rsidP="00DF6018">
      <w:pPr>
        <w:spacing w:after="0"/>
        <w:rPr>
          <w:rFonts w:ascii="Times New Roman" w:hAnsi="Times New Roman" w:cs="Times New Roman"/>
        </w:rPr>
      </w:pPr>
    </w:p>
    <w:p w:rsidR="007136E7" w:rsidRDefault="00837CC9">
      <w:pPr>
        <w:spacing w:after="0"/>
        <w:rPr>
          <w:rFonts w:ascii="Times New Roman" w:hAnsi="Times New Roman" w:cs="Times New Roman"/>
        </w:rPr>
      </w:pPr>
      <w:r w:rsidRPr="00837CC9">
        <w:rPr>
          <w:rFonts w:ascii="Times New Roman" w:hAnsi="Times New Roman" w:cs="Times New Roman"/>
        </w:rPr>
        <w:t xml:space="preserve">This study aimed </w:t>
      </w:r>
      <w:r w:rsidR="00AE2E1A">
        <w:rPr>
          <w:rFonts w:ascii="Times New Roman" w:hAnsi="Times New Roman" w:cs="Times New Roman"/>
        </w:rPr>
        <w:t>to investigate</w:t>
      </w:r>
      <w:r w:rsidRPr="00837CC9">
        <w:rPr>
          <w:rFonts w:ascii="Times New Roman" w:hAnsi="Times New Roman" w:cs="Times New Roman"/>
        </w:rPr>
        <w:t xml:space="preserve"> the association between </w:t>
      </w:r>
      <w:r w:rsidR="001772D8">
        <w:rPr>
          <w:rFonts w:ascii="Times New Roman" w:hAnsi="Times New Roman" w:cs="Times New Roman"/>
        </w:rPr>
        <w:t>contact with green spaces</w:t>
      </w:r>
      <w:r w:rsidR="00AE2E1A">
        <w:rPr>
          <w:rFonts w:ascii="Times New Roman" w:hAnsi="Times New Roman" w:cs="Times New Roman"/>
        </w:rPr>
        <w:t xml:space="preserve"> (in terms of </w:t>
      </w:r>
      <w:r w:rsidRPr="00837CC9">
        <w:rPr>
          <w:rFonts w:ascii="Times New Roman" w:hAnsi="Times New Roman" w:cs="Times New Roman"/>
        </w:rPr>
        <w:t xml:space="preserve">residential surrounding greenness </w:t>
      </w:r>
      <w:r w:rsidR="008D33CA">
        <w:rPr>
          <w:rFonts w:ascii="Times New Roman" w:hAnsi="Times New Roman" w:cs="Times New Roman"/>
        </w:rPr>
        <w:t xml:space="preserve">and </w:t>
      </w:r>
      <w:r w:rsidR="00AE2E1A" w:rsidRPr="003C7E91">
        <w:rPr>
          <w:rFonts w:ascii="Times New Roman" w:hAnsi="Times New Roman" w:cs="Times New Roman"/>
        </w:rPr>
        <w:t>proximity to green spaces</w:t>
      </w:r>
      <w:r w:rsidR="00AE2E1A">
        <w:rPr>
          <w:rFonts w:ascii="Times New Roman" w:hAnsi="Times New Roman" w:cs="Times New Roman"/>
        </w:rPr>
        <w:t>)</w:t>
      </w:r>
      <w:r w:rsidR="00AE2E1A" w:rsidRPr="003C7E91">
        <w:rPr>
          <w:rFonts w:ascii="Times New Roman" w:hAnsi="Times New Roman" w:cs="Times New Roman"/>
        </w:rPr>
        <w:t xml:space="preserve"> </w:t>
      </w:r>
      <w:r w:rsidRPr="00837CC9">
        <w:rPr>
          <w:rFonts w:ascii="Times New Roman" w:hAnsi="Times New Roman" w:cs="Times New Roman"/>
        </w:rPr>
        <w:t xml:space="preserve">and </w:t>
      </w:r>
      <w:r w:rsidR="008D33CA">
        <w:rPr>
          <w:rFonts w:ascii="Times New Roman" w:hAnsi="Times New Roman" w:cs="Times New Roman"/>
        </w:rPr>
        <w:t>foetal growth (in terms of birth weight)</w:t>
      </w:r>
      <w:r w:rsidRPr="00837CC9">
        <w:rPr>
          <w:rFonts w:ascii="Times New Roman" w:hAnsi="Times New Roman" w:cs="Times New Roman"/>
        </w:rPr>
        <w:t xml:space="preserve"> and </w:t>
      </w:r>
      <w:r w:rsidR="00AD4C5A">
        <w:rPr>
          <w:rFonts w:ascii="Times New Roman" w:hAnsi="Times New Roman" w:cs="Times New Roman"/>
        </w:rPr>
        <w:t xml:space="preserve">to explore </w:t>
      </w:r>
      <w:r w:rsidR="00E872CD">
        <w:rPr>
          <w:rFonts w:ascii="Times New Roman" w:hAnsi="Times New Roman" w:cs="Times New Roman"/>
        </w:rPr>
        <w:t xml:space="preserve">how this association </w:t>
      </w:r>
      <w:r w:rsidR="00AD4C5A">
        <w:rPr>
          <w:rFonts w:ascii="Times New Roman" w:hAnsi="Times New Roman" w:cs="Times New Roman"/>
        </w:rPr>
        <w:t xml:space="preserve">might </w:t>
      </w:r>
      <w:r w:rsidR="00DF6018">
        <w:rPr>
          <w:rFonts w:ascii="Times New Roman" w:hAnsi="Times New Roman" w:cs="Times New Roman"/>
        </w:rPr>
        <w:t>be modified by</w:t>
      </w:r>
      <w:r w:rsidRPr="00837CC9">
        <w:rPr>
          <w:rFonts w:ascii="Times New Roman" w:hAnsi="Times New Roman" w:cs="Times New Roman"/>
        </w:rPr>
        <w:t xml:space="preserve"> ethnicity and indicators of individual and neighbourhood SES. </w:t>
      </w:r>
    </w:p>
    <w:p w:rsidR="00A51F1F" w:rsidRDefault="00A51F1F">
      <w:pPr>
        <w:spacing w:after="0"/>
        <w:rPr>
          <w:rFonts w:ascii="Times New Roman" w:hAnsi="Times New Roman" w:cs="Times New Roman"/>
          <w:b/>
          <w:bCs/>
        </w:rPr>
      </w:pPr>
    </w:p>
    <w:p w:rsidR="007136E7" w:rsidRDefault="00FD0D54">
      <w:pPr>
        <w:spacing w:after="0"/>
        <w:rPr>
          <w:rFonts w:ascii="Times New Roman" w:hAnsi="Times New Roman" w:cs="Times New Roman"/>
          <w:b/>
          <w:bCs/>
        </w:rPr>
      </w:pPr>
      <w:r w:rsidRPr="00FD0D54">
        <w:rPr>
          <w:rFonts w:ascii="Times New Roman" w:hAnsi="Times New Roman" w:cs="Times New Roman"/>
          <w:b/>
          <w:bCs/>
        </w:rPr>
        <w:t>2. Materials and methods</w:t>
      </w:r>
    </w:p>
    <w:p w:rsidR="00FD0D54" w:rsidRPr="00B223A5" w:rsidRDefault="00FD0D54">
      <w:pPr>
        <w:spacing w:after="0"/>
        <w:rPr>
          <w:rFonts w:ascii="Times New Roman" w:hAnsi="Times New Roman" w:cs="Times New Roman"/>
        </w:rPr>
      </w:pPr>
    </w:p>
    <w:p w:rsidR="007136E7" w:rsidRPr="00FD0D54" w:rsidRDefault="00FD0D54">
      <w:pPr>
        <w:spacing w:after="0"/>
        <w:rPr>
          <w:rFonts w:ascii="Times New Roman" w:hAnsi="Times New Roman" w:cs="Times New Roman"/>
          <w:bCs/>
        </w:rPr>
      </w:pPr>
      <w:r w:rsidRPr="00FD0D54">
        <w:rPr>
          <w:rFonts w:ascii="Times New Roman" w:hAnsi="Times New Roman" w:cs="Times New Roman"/>
          <w:bCs/>
        </w:rPr>
        <w:t xml:space="preserve">2.1. </w:t>
      </w:r>
      <w:r w:rsidR="003D3DED" w:rsidRPr="00FD0D54">
        <w:rPr>
          <w:rFonts w:ascii="Times New Roman" w:hAnsi="Times New Roman" w:cs="Times New Roman"/>
          <w:bCs/>
        </w:rPr>
        <w:t>Study Population</w:t>
      </w:r>
    </w:p>
    <w:p w:rsidR="007136E7" w:rsidRPr="00B223A5" w:rsidRDefault="007136E7">
      <w:pPr>
        <w:spacing w:after="0"/>
        <w:rPr>
          <w:rFonts w:ascii="Times New Roman" w:hAnsi="Times New Roman" w:cs="Times New Roman"/>
        </w:rPr>
      </w:pPr>
    </w:p>
    <w:p w:rsidR="001D78B9" w:rsidRDefault="003D3DED">
      <w:pPr>
        <w:spacing w:after="0"/>
        <w:rPr>
          <w:rFonts w:ascii="Times New Roman" w:hAnsi="Times New Roman" w:cs="Times New Roman"/>
        </w:rPr>
      </w:pPr>
      <w:r w:rsidRPr="003D3DED">
        <w:rPr>
          <w:rFonts w:ascii="Times New Roman" w:hAnsi="Times New Roman" w:cs="Times New Roman"/>
        </w:rPr>
        <w:t xml:space="preserve">This analysis was carried out as part of </w:t>
      </w:r>
      <w:r w:rsidR="00503467">
        <w:rPr>
          <w:rFonts w:ascii="Times New Roman" w:hAnsi="Times New Roman" w:cs="Times New Roman"/>
        </w:rPr>
        <w:t xml:space="preserve">the </w:t>
      </w:r>
      <w:r w:rsidRPr="003D3DED">
        <w:rPr>
          <w:rFonts w:ascii="Times New Roman" w:hAnsi="Times New Roman" w:cs="Times New Roman"/>
        </w:rPr>
        <w:t>Born in Bradford (BiB) study which has been described in detail elsewhere</w:t>
      </w:r>
      <w:r w:rsidR="00AB3796">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&lt;EndNote&gt;&lt;Cite&gt;&lt;Author&gt;Wright&lt;/Author&gt;&lt;Year&gt;2013&lt;/Year&gt;&lt;RecNum&gt;1321&lt;/RecNum&gt;&lt;record&gt;&lt;rec-number&gt;1321&lt;/rec-number&gt;&lt;ref-type name="Journal Article"&gt;17&lt;/ref-type&gt;&lt;contributors&gt;&lt;authors&gt;&lt;author&gt;Wright, John&lt;/author&gt;&lt;author&gt;Small, Neil&lt;/author&gt;&lt;author&gt;Raynor, Pauline&lt;/author&gt;&lt;author&gt;Tuffnell, Derek&lt;/author&gt;&lt;author&gt;Bhopal, Raj&lt;/author&gt;&lt;author&gt;Cameron, Noel&lt;/author&gt;&lt;author&gt;Fairley, Lesley&lt;/author&gt;&lt;author&gt;Lawlor, Debbie A.&lt;/author&gt;&lt;author&gt;Parslow, Roger&lt;/author&gt;&lt;author&gt;Petherick, Emily S.&lt;/author&gt;&lt;/authors&gt;&lt;/contributors&gt;&lt;titles&gt;&lt;title&gt;Cohort profile: The Born in Bradford multi-ethnic family cohort study&lt;/title&gt;&lt;secondary-title&gt;Int J Epidemiol&lt;/secondary-title&gt;&lt;/titles&gt;&lt;periodical&gt;&lt;full-title&gt;Int J Epidemiol&lt;/full-title&gt;&lt;/periodical&gt;&lt;pages&gt;978-991&lt;/pages&gt;&lt;volume&gt;42&lt;/volume&gt;&lt;number&gt;4&lt;/number&gt;&lt;dates&gt;&lt;year&gt;2013&lt;/year&gt;&lt;/dates&gt;&lt;isbn&gt;0300-5771&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(Wright et al. 2013)</w:t>
      </w:r>
      <w:r w:rsidR="00381E2C" w:rsidRPr="003D3DED">
        <w:rPr>
          <w:rFonts w:ascii="Times New Roman" w:hAnsi="Times New Roman" w:cs="Times New Roman"/>
        </w:rPr>
        <w:fldChar w:fldCharType="end"/>
      </w:r>
      <w:r w:rsidR="00AB3796">
        <w:rPr>
          <w:rFonts w:ascii="Times New Roman" w:hAnsi="Times New Roman" w:cs="Times New Roman"/>
        </w:rPr>
        <w:t>.</w:t>
      </w:r>
      <w:r w:rsidRPr="003D3DED">
        <w:rPr>
          <w:rFonts w:ascii="Times New Roman" w:hAnsi="Times New Roman" w:cs="Times New Roman"/>
        </w:rPr>
        <w:t xml:space="preserve"> Brief</w:t>
      </w:r>
      <w:r w:rsidR="00D73D17">
        <w:rPr>
          <w:rFonts w:ascii="Times New Roman" w:hAnsi="Times New Roman" w:cs="Times New Roman"/>
        </w:rPr>
        <w:t>ly, BiB is a longitudinal multi</w:t>
      </w:r>
      <w:r w:rsidRPr="003D3DED">
        <w:rPr>
          <w:rFonts w:ascii="Times New Roman" w:hAnsi="Times New Roman" w:cs="Times New Roman"/>
        </w:rPr>
        <w:t>ethnic community birth cohort study aiming to examine the impact of environmental, psychological and genetic factors on maternal and child health and wellbeing</w:t>
      </w:r>
      <w:r w:rsidR="00AB3796">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&lt;EndNote&gt;&lt;Cite&gt;&lt;Author&gt;Wright&lt;/Author&gt;&lt;Year&gt;2013&lt;/Year&gt;&lt;RecNum&gt;1321&lt;/RecNum&gt;&lt;record&gt;&lt;rec-number&gt;1321&lt;/rec-number&gt;&lt;ref-type name="Journal Article"&gt;17&lt;/ref-type&gt;&lt;contributors&gt;&lt;authors&gt;&lt;author&gt;Wright, John&lt;/author&gt;&lt;author&gt;Small, Neil&lt;/author&gt;&lt;author&gt;Raynor, Pauline&lt;/author&gt;&lt;author&gt;Tuffnell, Derek&lt;/author&gt;&lt;author&gt;Bhopal, Raj&lt;/author&gt;&lt;author&gt;Cameron, Noel&lt;/author&gt;&lt;author&gt;Fairley, Lesley&lt;/author&gt;&lt;author&gt;Lawlor, Debbie A.&lt;/author&gt;&lt;author&gt;Parslow, Roger&lt;/author&gt;&lt;author&gt;Petherick, Emily S.&lt;/author&gt;&lt;/authors&gt;&lt;/contributors&gt;&lt;titles&gt;&lt;title&gt;Cohort profile: The Born in Bradford multi-ethnic family cohort study&lt;/title&gt;&lt;secondary-title&gt;Int J Epidemiol&lt;/secondary-title&gt;&lt;/titles&gt;&lt;periodical&gt;&lt;full-title&gt;Int J Epidemiol&lt;/full-title&gt;&lt;/periodical&gt;&lt;pages&gt;978-991&lt;/pages&gt;&lt;volume&gt;42&lt;/volume&gt;&lt;number&gt;4&lt;/number&gt;&lt;dates&gt;&lt;year&gt;2013&lt;/year&gt;&lt;/dates&gt;&lt;isbn&gt;0300-5771&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(Wright et al. 2013)</w:t>
      </w:r>
      <w:r w:rsidR="00381E2C" w:rsidRPr="003D3DED">
        <w:rPr>
          <w:rFonts w:ascii="Times New Roman" w:hAnsi="Times New Roman" w:cs="Times New Roman"/>
        </w:rPr>
        <w:fldChar w:fldCharType="end"/>
      </w:r>
      <w:r w:rsidR="00AB3796">
        <w:rPr>
          <w:rFonts w:ascii="Times New Roman" w:hAnsi="Times New Roman" w:cs="Times New Roman"/>
        </w:rPr>
        <w:t>.</w:t>
      </w:r>
      <w:r w:rsidRPr="003D3DED">
        <w:rPr>
          <w:rFonts w:ascii="Times New Roman" w:hAnsi="Times New Roman" w:cs="Times New Roman"/>
        </w:rPr>
        <w:t xml:space="preserve"> </w:t>
      </w:r>
      <w:r w:rsidR="00D23C99">
        <w:rPr>
          <w:rFonts w:ascii="Times New Roman" w:hAnsi="Times New Roman" w:cs="Times New Roman"/>
        </w:rPr>
        <w:t>Participant</w:t>
      </w:r>
      <w:r w:rsidRPr="003D3DED">
        <w:rPr>
          <w:rFonts w:ascii="Times New Roman" w:hAnsi="Times New Roman" w:cs="Times New Roman"/>
        </w:rPr>
        <w:t xml:space="preserve">s were </w:t>
      </w:r>
      <w:r w:rsidR="00AE2E1A" w:rsidRPr="003C7E91">
        <w:rPr>
          <w:rFonts w:ascii="Times New Roman" w:hAnsi="Times New Roman" w:cs="Times New Roman"/>
        </w:rPr>
        <w:t xml:space="preserve">pregnant women </w:t>
      </w:r>
      <w:r w:rsidRPr="003D3DED">
        <w:rPr>
          <w:rFonts w:ascii="Times New Roman" w:hAnsi="Times New Roman" w:cs="Times New Roman"/>
        </w:rPr>
        <w:t xml:space="preserve">at 26–28 weeks gestation </w:t>
      </w:r>
      <w:r w:rsidR="00AE2E1A">
        <w:rPr>
          <w:rFonts w:ascii="Times New Roman" w:hAnsi="Times New Roman" w:cs="Times New Roman"/>
        </w:rPr>
        <w:t>who</w:t>
      </w:r>
      <w:r w:rsidRPr="003D3DED">
        <w:rPr>
          <w:rFonts w:ascii="Times New Roman" w:hAnsi="Times New Roman" w:cs="Times New Roman"/>
        </w:rPr>
        <w:t xml:space="preserve"> registered at the Bradford Royal Infirmary. For those consenting, the baseline questionnaire detailing information on socio-economic characteristics, ethnicity and family trees, lifestyle factors, environmental risk factors and physical and mental health was collected via an interview conducted in English, Mirpuri (a spoken variant of Punjabi) or Urdu. </w:t>
      </w:r>
    </w:p>
    <w:p w:rsidR="001D78B9" w:rsidRDefault="001D78B9">
      <w:pPr>
        <w:spacing w:after="0"/>
        <w:rPr>
          <w:rFonts w:ascii="Times New Roman" w:hAnsi="Times New Roman" w:cs="Times New Roman"/>
        </w:rPr>
      </w:pPr>
    </w:p>
    <w:p w:rsidR="00354FCA" w:rsidRDefault="003D3DED">
      <w:pPr>
        <w:spacing w:after="0"/>
        <w:rPr>
          <w:rFonts w:ascii="Times New Roman" w:hAnsi="Times New Roman" w:cs="Times New Roman"/>
        </w:rPr>
      </w:pPr>
      <w:r w:rsidRPr="003D3DED">
        <w:rPr>
          <w:rFonts w:ascii="Times New Roman" w:hAnsi="Times New Roman" w:cs="Times New Roman"/>
        </w:rPr>
        <w:t xml:space="preserve">The full BiB cohort recruited 12 453 </w:t>
      </w:r>
      <w:r w:rsidR="009C335E">
        <w:rPr>
          <w:rFonts w:ascii="Times New Roman" w:hAnsi="Times New Roman" w:cs="Times New Roman"/>
        </w:rPr>
        <w:t>women with</w:t>
      </w:r>
      <w:r w:rsidR="009C335E" w:rsidRPr="003D3DED">
        <w:rPr>
          <w:rFonts w:ascii="Times New Roman" w:hAnsi="Times New Roman" w:cs="Times New Roman"/>
        </w:rPr>
        <w:t xml:space="preserve"> </w:t>
      </w:r>
      <w:r w:rsidRPr="003D3DED">
        <w:rPr>
          <w:rFonts w:ascii="Times New Roman" w:hAnsi="Times New Roman" w:cs="Times New Roman"/>
        </w:rPr>
        <w:t xml:space="preserve">13 776 pregnancies </w:t>
      </w:r>
      <w:r w:rsidR="009C335E" w:rsidRPr="009C335E">
        <w:rPr>
          <w:rFonts w:ascii="Times New Roman" w:hAnsi="Times New Roman" w:cs="Times New Roman"/>
        </w:rPr>
        <w:t xml:space="preserve">who were receiving care from the City’s maternity unit between 2007 and 2010, representing 54% </w:t>
      </w:r>
      <w:r w:rsidR="009C335E" w:rsidRPr="009C335E">
        <w:rPr>
          <w:rFonts w:ascii="Times New Roman" w:hAnsi="Times New Roman" w:cs="Times New Roman"/>
        </w:rPr>
        <w:lastRenderedPageBreak/>
        <w:t>of total Births during this time period</w:t>
      </w:r>
      <w:r w:rsidR="00AB3796">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&lt;EndNote&gt;&lt;Cite&gt;&lt;Author&gt;Wright&lt;/Author&gt;&lt;Year&gt;2013&lt;/Year&gt;&lt;RecNum&gt;1321&lt;/RecNum&gt;&lt;record&gt;&lt;rec-number&gt;1321&lt;/rec-number&gt;&lt;ref-type name="Journal Article"&gt;17&lt;/ref-type&gt;&lt;contributors&gt;&lt;authors&gt;&lt;author&gt;Wright, John&lt;/author&gt;&lt;author&gt;Small, Neil&lt;/author&gt;&lt;author&gt;Raynor, Pauline&lt;/author&gt;&lt;author&gt;Tuffnell, Derek&lt;/author&gt;&lt;author&gt;Bhopal, Raj&lt;/author&gt;&lt;author&gt;Cameron, Noel&lt;/author&gt;&lt;author&gt;Fairley, Lesley&lt;/author&gt;&lt;author&gt;Lawlor, Debbie A.&lt;/author&gt;&lt;author&gt;Parslow, Roger&lt;/author&gt;&lt;author&gt;Petherick, Emily S.&lt;/author&gt;&lt;/authors&gt;&lt;/contributors&gt;&lt;titles&gt;&lt;title&gt;Cohort profile: The Born in Bradford multi-ethnic family cohort study&lt;/title&gt;&lt;secondary-title&gt;Int J Epidemiol&lt;/secondary-title&gt;&lt;/titles&gt;&lt;periodical&gt;&lt;full-title&gt;Int J Epidemiol&lt;/full-title&gt;&lt;/periodical&gt;&lt;pages&gt;978-991&lt;/pages&gt;&lt;volume&gt;42&lt;/volume&gt;&lt;number&gt;4&lt;/number&gt;&lt;dates&gt;&lt;year&gt;2013&lt;/year&gt;&lt;/dates&gt;&lt;isbn&gt;0300-5771&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(Wright et al. 2013)</w:t>
      </w:r>
      <w:r w:rsidR="00381E2C" w:rsidRPr="003D3DED">
        <w:rPr>
          <w:rFonts w:ascii="Times New Roman" w:hAnsi="Times New Roman" w:cs="Times New Roman"/>
        </w:rPr>
        <w:fldChar w:fldCharType="end"/>
      </w:r>
      <w:r w:rsidR="00AB3796">
        <w:rPr>
          <w:rFonts w:ascii="Times New Roman" w:hAnsi="Times New Roman" w:cs="Times New Roman"/>
        </w:rPr>
        <w:t>.</w:t>
      </w:r>
      <w:r w:rsidRPr="003D3DED">
        <w:rPr>
          <w:rFonts w:ascii="Times New Roman" w:hAnsi="Times New Roman" w:cs="Times New Roman"/>
        </w:rPr>
        <w:t xml:space="preserve"> </w:t>
      </w:r>
      <w:r w:rsidR="000E168F" w:rsidRPr="000E168F">
        <w:rPr>
          <w:rFonts w:ascii="Times New Roman" w:hAnsi="Times New Roman" w:cs="Times New Roman"/>
        </w:rPr>
        <w:t xml:space="preserve">Compared with women who were not recruited, those in the BiB cohort had a lower proportion of younger ages (age: 20–24 years) and a higher proportion of South Asian origin and nulliparous women (Wright et al. 2013). Furthermore, those women recruited in the cohort tended to reside in slightly less deprived neighbourhoods (i.e. lower Index of Multiple Deprivation (IMD) scores described in section 2.4.1) compared with those not recruited. </w:t>
      </w:r>
      <w:r w:rsidRPr="003D3DED">
        <w:rPr>
          <w:rFonts w:ascii="Times New Roman" w:hAnsi="Times New Roman" w:cs="Times New Roman"/>
        </w:rPr>
        <w:t>This analysis included live-born singleton births with mothers who had completed the baseline questionnaire and had data available on birth outcomes (i.e. birth weight and gestational age at delivery), maternal ethnicity, and education.</w:t>
      </w:r>
      <w:r w:rsidRPr="003D3DED">
        <w:rPr>
          <w:rFonts w:ascii="Times New Roman" w:hAnsi="Times New Roman" w:cs="Times New Roman"/>
          <w:color w:val="FF0000"/>
        </w:rPr>
        <w:t xml:space="preserve"> </w:t>
      </w:r>
    </w:p>
    <w:p w:rsidR="007136E7" w:rsidRPr="00B223A5" w:rsidRDefault="007136E7">
      <w:pPr>
        <w:spacing w:after="0"/>
        <w:rPr>
          <w:rFonts w:ascii="Times New Roman" w:hAnsi="Times New Roman" w:cs="Times New Roman"/>
        </w:rPr>
      </w:pPr>
    </w:p>
    <w:p w:rsidR="007136E7" w:rsidRPr="00B223A5" w:rsidRDefault="003D3DED">
      <w:pPr>
        <w:spacing w:after="0"/>
        <w:rPr>
          <w:rFonts w:ascii="Times New Roman" w:hAnsi="Times New Roman" w:cs="Times New Roman"/>
        </w:rPr>
      </w:pPr>
      <w:r w:rsidRPr="003D3DED">
        <w:rPr>
          <w:rFonts w:ascii="Times New Roman" w:hAnsi="Times New Roman" w:cs="Times New Roman"/>
        </w:rPr>
        <w:t>Ethical approval for the data collection was granted by Bradford Research Ethics Committee (Ref 07/H1302/112).</w:t>
      </w:r>
    </w:p>
    <w:p w:rsidR="007136E7" w:rsidRPr="00B223A5" w:rsidRDefault="007136E7">
      <w:pPr>
        <w:spacing w:after="0"/>
        <w:rPr>
          <w:rFonts w:ascii="Times New Roman" w:hAnsi="Times New Roman" w:cs="Times New Roman"/>
          <w:b/>
          <w:bCs/>
          <w:iCs/>
        </w:rPr>
      </w:pPr>
    </w:p>
    <w:p w:rsidR="007136E7" w:rsidRPr="00FD0D54" w:rsidRDefault="00FD0D54">
      <w:pPr>
        <w:spacing w:after="0"/>
        <w:rPr>
          <w:rFonts w:ascii="Times New Roman" w:hAnsi="Times New Roman" w:cs="Times New Roman"/>
          <w:bCs/>
          <w:iCs/>
        </w:rPr>
      </w:pPr>
      <w:r w:rsidRPr="00FD0D54">
        <w:rPr>
          <w:rFonts w:ascii="Times New Roman" w:hAnsi="Times New Roman" w:cs="Times New Roman"/>
          <w:bCs/>
          <w:iCs/>
        </w:rPr>
        <w:t xml:space="preserve">2.2. </w:t>
      </w:r>
      <w:r w:rsidR="003D3DED" w:rsidRPr="00FD0D54">
        <w:rPr>
          <w:rFonts w:ascii="Times New Roman" w:hAnsi="Times New Roman" w:cs="Times New Roman"/>
          <w:bCs/>
          <w:iCs/>
        </w:rPr>
        <w:t xml:space="preserve">Outcome measurement </w:t>
      </w:r>
    </w:p>
    <w:p w:rsidR="007136E7" w:rsidRPr="00B223A5" w:rsidRDefault="007136E7">
      <w:pPr>
        <w:spacing w:after="0"/>
        <w:rPr>
          <w:rFonts w:ascii="Times New Roman" w:hAnsi="Times New Roman" w:cs="Times New Roman"/>
          <w:b/>
          <w:bCs/>
          <w:iCs/>
        </w:rPr>
      </w:pPr>
    </w:p>
    <w:p w:rsidR="007136E7" w:rsidRPr="00B223A5" w:rsidRDefault="003D3DED">
      <w:pPr>
        <w:spacing w:after="0"/>
        <w:rPr>
          <w:rFonts w:ascii="Times New Roman" w:hAnsi="Times New Roman" w:cs="Times New Roman"/>
          <w:bCs/>
          <w:iCs/>
        </w:rPr>
      </w:pPr>
      <w:r w:rsidRPr="003D3DED">
        <w:rPr>
          <w:rFonts w:ascii="Times New Roman" w:hAnsi="Times New Roman" w:cs="Times New Roman"/>
          <w:bCs/>
          <w:iCs/>
        </w:rPr>
        <w:t xml:space="preserve">Birth weight </w:t>
      </w:r>
      <w:r w:rsidR="003E3A11">
        <w:rPr>
          <w:rFonts w:ascii="Times New Roman" w:hAnsi="Times New Roman" w:cs="Times New Roman"/>
          <w:bCs/>
          <w:iCs/>
        </w:rPr>
        <w:t>was</w:t>
      </w:r>
      <w:r w:rsidRPr="003D3DED">
        <w:rPr>
          <w:rFonts w:ascii="Times New Roman" w:hAnsi="Times New Roman" w:cs="Times New Roman"/>
          <w:bCs/>
          <w:iCs/>
        </w:rPr>
        <w:t xml:space="preserve"> recorded immediately after birth by the participant's midwife and </w:t>
      </w:r>
      <w:r w:rsidR="0096576F">
        <w:rPr>
          <w:rFonts w:ascii="Times New Roman" w:hAnsi="Times New Roman" w:cs="Times New Roman"/>
          <w:bCs/>
          <w:iCs/>
        </w:rPr>
        <w:t xml:space="preserve">was </w:t>
      </w:r>
      <w:r w:rsidRPr="003D3DED">
        <w:rPr>
          <w:rFonts w:ascii="Times New Roman" w:hAnsi="Times New Roman" w:cs="Times New Roman"/>
          <w:bCs/>
          <w:iCs/>
        </w:rPr>
        <w:t>subsequently abstracted from medical records.</w:t>
      </w:r>
    </w:p>
    <w:p w:rsidR="007136E7" w:rsidRPr="00B223A5" w:rsidRDefault="007136E7">
      <w:pPr>
        <w:spacing w:after="0"/>
        <w:rPr>
          <w:rFonts w:ascii="Times New Roman" w:hAnsi="Times New Roman" w:cs="Times New Roman"/>
          <w:b/>
          <w:bCs/>
          <w:iCs/>
        </w:rPr>
      </w:pPr>
    </w:p>
    <w:p w:rsidR="007136E7" w:rsidRPr="00FD0D54" w:rsidRDefault="00FD0D54">
      <w:pPr>
        <w:spacing w:after="0"/>
        <w:rPr>
          <w:rFonts w:ascii="Times New Roman" w:hAnsi="Times New Roman" w:cs="Times New Roman"/>
          <w:bCs/>
          <w:iCs/>
        </w:rPr>
      </w:pPr>
      <w:r w:rsidRPr="00FD0D54">
        <w:rPr>
          <w:rFonts w:ascii="Times New Roman" w:hAnsi="Times New Roman" w:cs="Times New Roman"/>
          <w:bCs/>
          <w:iCs/>
        </w:rPr>
        <w:t xml:space="preserve">2.3. </w:t>
      </w:r>
      <w:r w:rsidR="004F7DAA" w:rsidRPr="00FD0D54">
        <w:rPr>
          <w:rFonts w:ascii="Times New Roman" w:hAnsi="Times New Roman" w:cs="Times New Roman"/>
          <w:bCs/>
          <w:iCs/>
        </w:rPr>
        <w:t>Exposure measurement</w:t>
      </w:r>
    </w:p>
    <w:p w:rsidR="007136E7" w:rsidRPr="00B223A5" w:rsidRDefault="007136E7">
      <w:pPr>
        <w:spacing w:after="0"/>
        <w:rPr>
          <w:rFonts w:ascii="Times New Roman" w:hAnsi="Times New Roman" w:cs="Times New Roman"/>
        </w:rPr>
      </w:pPr>
    </w:p>
    <w:p w:rsidR="005B4C9D" w:rsidRDefault="00503467" w:rsidP="00B4416E">
      <w:pPr>
        <w:spacing w:after="0"/>
        <w:rPr>
          <w:rFonts w:ascii="Times New Roman" w:hAnsi="Times New Roman" w:cs="Times New Roman"/>
          <w:lang w:val="en-US"/>
        </w:rPr>
      </w:pPr>
      <w:r>
        <w:rPr>
          <w:rFonts w:ascii="Times New Roman" w:hAnsi="Times New Roman" w:cs="Times New Roman"/>
          <w:lang w:val="en-US"/>
        </w:rPr>
        <w:t>The exposure assessment of this study</w:t>
      </w:r>
      <w:r w:rsidRPr="00503467">
        <w:rPr>
          <w:rFonts w:ascii="Times New Roman" w:hAnsi="Times New Roman" w:cs="Times New Roman"/>
          <w:lang w:val="en-US"/>
        </w:rPr>
        <w:t xml:space="preserve"> was carried out in the context of Positive Health Effects of the Natural Outdoor Environment in Typical Populations of Different Regions in Europe (PHENOTYPE)</w:t>
      </w:r>
      <w:r w:rsidR="00AB3796">
        <w:rPr>
          <w:rFonts w:ascii="Times New Roman" w:hAnsi="Times New Roman" w:cs="Times New Roman"/>
          <w:lang w:val="en-US"/>
        </w:rPr>
        <w:t xml:space="preserve"> </w:t>
      </w:r>
      <w:r w:rsidR="00381E2C" w:rsidRPr="00503467">
        <w:rPr>
          <w:rFonts w:ascii="Times New Roman" w:hAnsi="Times New Roman" w:cs="Times New Roman"/>
          <w:lang w:val="en-US"/>
        </w:rPr>
        <w:fldChar w:fldCharType="begin"/>
      </w:r>
      <w:r w:rsidR="000D1B3C">
        <w:rPr>
          <w:rFonts w:ascii="Times New Roman" w:hAnsi="Times New Roman" w:cs="Times New Roman"/>
          <w:lang w:val="en-US"/>
        </w:rPr>
        <w:instrText xml:space="preserve"> ADDIN EN.CITE &lt;EndNote&gt;&lt;Cite ExcludeYear="1"&gt;&lt;Author&gt;Nieuwenhuijsen&lt;/Author&gt;&lt;RecNum&gt;1318&lt;/RecNum&gt;&lt;record&gt;&lt;rec-number&gt;1318&lt;/rec-number&gt;&lt;ref-type name="Journal Article"&gt;17&lt;/ref-type&gt;&lt;contributors&gt;&lt;authors&gt;&lt;author&gt;Nieuwenhuijsen, M.J.&lt;/author&gt;&lt;author&gt;Hanneke, K.&lt;/author&gt;&lt;author&gt;Gidlow, C.&lt;/author&gt;&lt;author&gt;Andrusaityte, S. &lt;/author&gt;&lt;author&gt;Antó, JM.&lt;/author&gt;&lt;author&gt;Basagaña, X. &lt;/author&gt;&lt;author&gt;Cirach, C. &lt;/author&gt;&lt;author&gt;Dadvand, P.&lt;/author&gt;&lt;author&gt;Danileviciute, A. &lt;/author&gt;&lt;author&gt;Donaire, D. &lt;/author&gt;&lt;author&gt;Garcia, J. &lt;/author&gt;&lt;author&gt;Jerrett, M.&lt;/author&gt;&lt;author&gt;Jones, M.&lt;/author&gt;&lt;author&gt;Julvez, J. &lt;/author&gt;&lt;author&gt;van Kempen, E.&lt;/author&gt;&lt;author&gt;van Kamp, I.&lt;/author&gt;&lt;author&gt;Maas, J.&lt;/author&gt;&lt;author&gt;Seto, E. &lt;/author&gt;&lt;author&gt;Smith, G. &lt;/author&gt;&lt;author&gt;Triguero, M.&lt;/author&gt;&lt;author&gt;Wendel-Vos, W.&lt;/author&gt;&lt;author&gt;Wright, J. &lt;/author&gt;&lt;author&gt;Zufferey, J.&lt;/author&gt;&lt;author&gt;van den Hazel, PJ. &lt;/author&gt;&lt;author&gt;Lawrence, R&lt;/author&gt;&lt;author&gt;Grazuleviciene, R.&lt;/author&gt;&lt;/authors&gt;&lt;/contributors&gt;&lt;titles&gt;&lt;title&gt;Positive health effects of the natural outdoor environment  in typical populations in different regions in Europe (PHENOTYPE)&lt;/title&gt;&lt;secondary-title&gt;Environ Health Perspect&lt;/secondary-title&gt;&lt;/titles&gt;&lt;periodical&gt;&lt;full-title&gt;Environ Health Perspect&lt;/full-title&gt;&lt;/periodical&gt;&lt;volume&gt;Submitted&lt;/volume&gt;&lt;dates&gt;&lt;/dates&gt;&lt;urls&gt;&lt;/urls&gt;&lt;/record&gt;&lt;/Cite&gt;&lt;/EndNote&gt;</w:instrText>
      </w:r>
      <w:r w:rsidR="00381E2C" w:rsidRPr="00503467">
        <w:rPr>
          <w:rFonts w:ascii="Times New Roman" w:hAnsi="Times New Roman" w:cs="Times New Roman"/>
          <w:lang w:val="en-US"/>
        </w:rPr>
        <w:fldChar w:fldCharType="separate"/>
      </w:r>
      <w:r w:rsidR="00B4416E">
        <w:rPr>
          <w:rFonts w:ascii="Times New Roman" w:hAnsi="Times New Roman" w:cs="Times New Roman"/>
          <w:lang w:val="en-US"/>
        </w:rPr>
        <w:t>(Nieuwenhuijsen et al.)</w:t>
      </w:r>
      <w:r w:rsidR="00381E2C" w:rsidRPr="00503467">
        <w:rPr>
          <w:rFonts w:ascii="Times New Roman" w:hAnsi="Times New Roman" w:cs="Times New Roman"/>
        </w:rPr>
        <w:fldChar w:fldCharType="end"/>
      </w:r>
      <w:r w:rsidR="00AB3796">
        <w:rPr>
          <w:rFonts w:ascii="Times New Roman" w:hAnsi="Times New Roman" w:cs="Times New Roman"/>
        </w:rPr>
        <w:t>.</w:t>
      </w:r>
      <w:r w:rsidRPr="00503467">
        <w:rPr>
          <w:rFonts w:ascii="Times New Roman" w:hAnsi="Times New Roman" w:cs="Times New Roman"/>
          <w:lang w:val="en-US"/>
        </w:rPr>
        <w:t xml:space="preserve"> </w:t>
      </w:r>
      <w:r w:rsidR="005B4C9D">
        <w:rPr>
          <w:rFonts w:ascii="Times New Roman" w:hAnsi="Times New Roman" w:cs="Times New Roman"/>
          <w:lang w:val="en-US"/>
        </w:rPr>
        <w:t xml:space="preserve">The PHENOTYPE project aims at </w:t>
      </w:r>
      <w:r w:rsidR="005B4C9D">
        <w:rPr>
          <w:rFonts w:ascii="Times New Roman" w:hAnsi="Times New Roman" w:cs="Times New Roman"/>
        </w:rPr>
        <w:t>investigating</w:t>
      </w:r>
      <w:r w:rsidR="005B4C9D" w:rsidRPr="00D8251B">
        <w:rPr>
          <w:rFonts w:ascii="Times New Roman" w:hAnsi="Times New Roman" w:cs="Times New Roman"/>
        </w:rPr>
        <w:t xml:space="preserve"> the</w:t>
      </w:r>
      <w:r w:rsidR="005B4C9D">
        <w:rPr>
          <w:rFonts w:ascii="Times New Roman" w:hAnsi="Times New Roman" w:cs="Times New Roman"/>
        </w:rPr>
        <w:t xml:space="preserve"> </w:t>
      </w:r>
      <w:r w:rsidR="005B4C9D" w:rsidRPr="00D8251B">
        <w:rPr>
          <w:rFonts w:ascii="Times New Roman" w:hAnsi="Times New Roman" w:cs="Times New Roman"/>
        </w:rPr>
        <w:t xml:space="preserve">interconnections between exposure to natural outdoor environments and better human health and well-being </w:t>
      </w:r>
      <w:r w:rsidR="005B4C9D">
        <w:rPr>
          <w:rFonts w:ascii="Times New Roman" w:hAnsi="Times New Roman" w:cs="Times New Roman"/>
        </w:rPr>
        <w:t>across different parts</w:t>
      </w:r>
      <w:r w:rsidR="005B4C9D" w:rsidRPr="00D8251B">
        <w:rPr>
          <w:rFonts w:ascii="Times New Roman" w:hAnsi="Times New Roman" w:cs="Times New Roman"/>
        </w:rPr>
        <w:t xml:space="preserve"> of Europe.</w:t>
      </w:r>
      <w:r w:rsidR="005B4C9D">
        <w:rPr>
          <w:rFonts w:ascii="Times New Roman" w:hAnsi="Times New Roman" w:cs="Times New Roman"/>
        </w:rPr>
        <w:t xml:space="preserve"> </w:t>
      </w:r>
      <w:r w:rsidR="005B4C9D">
        <w:rPr>
          <w:rFonts w:ascii="Times New Roman" w:hAnsi="Times New Roman" w:cs="Times New Roman"/>
        </w:rPr>
        <w:lastRenderedPageBreak/>
        <w:t xml:space="preserve">In this context, </w:t>
      </w:r>
      <w:r w:rsidR="003B69A4">
        <w:rPr>
          <w:rFonts w:ascii="Times New Roman" w:hAnsi="Times New Roman" w:cs="Times New Roman"/>
        </w:rPr>
        <w:t xml:space="preserve">the </w:t>
      </w:r>
      <w:r w:rsidR="005B4C9D" w:rsidRPr="00D8251B">
        <w:rPr>
          <w:rFonts w:ascii="Times New Roman" w:hAnsi="Times New Roman" w:cs="Times New Roman"/>
        </w:rPr>
        <w:t xml:space="preserve">PHENOTYPE project explores </w:t>
      </w:r>
      <w:r w:rsidR="005B4C9D">
        <w:rPr>
          <w:rFonts w:ascii="Times New Roman" w:hAnsi="Times New Roman" w:cs="Times New Roman"/>
        </w:rPr>
        <w:t>potential</w:t>
      </w:r>
      <w:r w:rsidR="005B4C9D" w:rsidRPr="00D8251B">
        <w:rPr>
          <w:rFonts w:ascii="Times New Roman" w:hAnsi="Times New Roman" w:cs="Times New Roman"/>
        </w:rPr>
        <w:t xml:space="preserve"> underlying</w:t>
      </w:r>
      <w:r w:rsidR="005B4C9D">
        <w:rPr>
          <w:rFonts w:ascii="Times New Roman" w:hAnsi="Times New Roman" w:cs="Times New Roman"/>
        </w:rPr>
        <w:t xml:space="preserve"> </w:t>
      </w:r>
      <w:r w:rsidR="005B4C9D" w:rsidRPr="00D8251B">
        <w:rPr>
          <w:rFonts w:ascii="Times New Roman" w:hAnsi="Times New Roman" w:cs="Times New Roman"/>
        </w:rPr>
        <w:t>mechanisms at work and examines the health</w:t>
      </w:r>
      <w:r w:rsidR="005B4C9D">
        <w:rPr>
          <w:rFonts w:ascii="Times New Roman" w:hAnsi="Times New Roman" w:cs="Times New Roman"/>
        </w:rPr>
        <w:t xml:space="preserve"> impacts</w:t>
      </w:r>
      <w:r w:rsidR="005B4C9D" w:rsidRPr="00D8251B">
        <w:rPr>
          <w:rFonts w:ascii="Times New Roman" w:hAnsi="Times New Roman" w:cs="Times New Roman"/>
        </w:rPr>
        <w:t xml:space="preserve"> for different</w:t>
      </w:r>
      <w:r w:rsidR="005B4C9D">
        <w:rPr>
          <w:rFonts w:ascii="Times New Roman" w:hAnsi="Times New Roman" w:cs="Times New Roman"/>
        </w:rPr>
        <w:t xml:space="preserve"> </w:t>
      </w:r>
      <w:r w:rsidR="005B4C9D" w:rsidRPr="00D8251B">
        <w:rPr>
          <w:rFonts w:ascii="Times New Roman" w:hAnsi="Times New Roman" w:cs="Times New Roman"/>
        </w:rPr>
        <w:t>population groups (</w:t>
      </w:r>
      <w:r w:rsidR="005B4C9D">
        <w:rPr>
          <w:rFonts w:ascii="Times New Roman" w:hAnsi="Times New Roman" w:cs="Times New Roman"/>
        </w:rPr>
        <w:t xml:space="preserve">e.g. </w:t>
      </w:r>
      <w:r w:rsidR="005B4C9D" w:rsidRPr="00D8251B">
        <w:rPr>
          <w:rFonts w:ascii="Times New Roman" w:hAnsi="Times New Roman" w:cs="Times New Roman"/>
        </w:rPr>
        <w:t>pregnant women and/or foetus, different age groups, socioeconomic</w:t>
      </w:r>
      <w:r w:rsidR="005B4C9D">
        <w:rPr>
          <w:rFonts w:ascii="Times New Roman" w:hAnsi="Times New Roman" w:cs="Times New Roman"/>
        </w:rPr>
        <w:t xml:space="preserve"> </w:t>
      </w:r>
      <w:r w:rsidR="005B4C9D" w:rsidRPr="00D8251B">
        <w:rPr>
          <w:rFonts w:ascii="Times New Roman" w:hAnsi="Times New Roman" w:cs="Times New Roman"/>
        </w:rPr>
        <w:t>status, ethnic minorities and patients).</w:t>
      </w:r>
    </w:p>
    <w:p w:rsidR="005B4C9D" w:rsidRDefault="005B4C9D" w:rsidP="00B4416E">
      <w:pPr>
        <w:spacing w:after="0"/>
        <w:rPr>
          <w:rFonts w:ascii="Times New Roman" w:hAnsi="Times New Roman" w:cs="Times New Roman"/>
          <w:lang w:val="en-US"/>
        </w:rPr>
      </w:pPr>
    </w:p>
    <w:p w:rsidR="007136E7" w:rsidRPr="00B223A5" w:rsidRDefault="005B4C9D" w:rsidP="005B4C9D">
      <w:pPr>
        <w:spacing w:after="0"/>
        <w:rPr>
          <w:rFonts w:ascii="Times New Roman" w:hAnsi="Times New Roman" w:cs="Times New Roman"/>
          <w:color w:val="FF0000"/>
        </w:rPr>
      </w:pPr>
      <w:r w:rsidRPr="00F07EBB">
        <w:rPr>
          <w:rFonts w:ascii="Times New Roman" w:hAnsi="Times New Roman" w:cs="Times New Roman"/>
          <w:lang w:val="en-US"/>
        </w:rPr>
        <w:t>We used</w:t>
      </w:r>
      <w:r w:rsidRPr="00F07EBB">
        <w:rPr>
          <w:rFonts w:ascii="Times New Roman" w:hAnsi="Times New Roman" w:cs="Times New Roman"/>
          <w:i/>
          <w:iCs/>
          <w:lang w:val="en-US"/>
        </w:rPr>
        <w:t xml:space="preserve"> </w:t>
      </w:r>
      <w:r w:rsidRPr="00F07EBB">
        <w:rPr>
          <w:rFonts w:ascii="Times New Roman" w:hAnsi="Times New Roman" w:cs="Times New Roman"/>
          <w:lang w:val="en-US"/>
        </w:rPr>
        <w:t>residential surrounding greenness</w:t>
      </w:r>
      <w:r w:rsidRPr="00F07EBB">
        <w:rPr>
          <w:rFonts w:ascii="Times New Roman" w:hAnsi="Times New Roman" w:cs="Times New Roman"/>
          <w:i/>
          <w:iCs/>
          <w:lang w:val="en-US"/>
        </w:rPr>
        <w:t xml:space="preserve"> </w:t>
      </w:r>
      <w:r w:rsidRPr="00F07EBB">
        <w:rPr>
          <w:rFonts w:ascii="Times New Roman" w:hAnsi="Times New Roman" w:cs="Times New Roman"/>
          <w:lang w:val="en-US"/>
        </w:rPr>
        <w:t xml:space="preserve">as a surrogate for general outdoor greenness of the living environment of study participants. </w:t>
      </w:r>
      <w:r w:rsidR="004F7DAA" w:rsidRPr="004F7DAA">
        <w:rPr>
          <w:rFonts w:ascii="Times New Roman" w:hAnsi="Times New Roman" w:cs="Times New Roman"/>
        </w:rPr>
        <w:t>To measure surrounding greenness, we used the Normalized Difference Vegetation Index (NDVI)</w:t>
      </w:r>
      <w:r w:rsidR="00AB3796">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&lt;EndNote&gt;&lt;Cite&gt;&lt;Author&gt;Weier&lt;/Author&gt;&lt;Year&gt;2011&lt;/Year&gt;&lt;RecNum&gt;799&lt;/RecNum&gt;&lt;record&gt;&lt;rec-number&gt;799&lt;/rec-number&gt;&lt;ref-type name="Electronic Source"&gt;12&lt;/ref-type&gt;&lt;contributors&gt;&lt;authors&gt;&lt;author&gt;John Weier &lt;/author&gt;&lt;author&gt;David Herring&lt;/author&gt;&lt;/authors&gt;&lt;/contributors&gt;&lt;titles&gt;&lt;title&gt;Measuring vegetation (NDVI &amp;amp; EVI)&lt;/title&gt;&lt;/titles&gt;&lt;number&gt;17 November, 2013&lt;/number&gt;&lt;dates&gt;&lt;year&gt;2011&lt;/year&gt;&lt;/dates&gt;&lt;pub-location&gt;Greenbelt, Md.&lt;/pub-location&gt;&lt;publisher&gt;NASA&lt;/publisher&gt;&lt;urls&gt;&lt;related-urls&gt;&lt;url&gt;http://earthobservatory.nasa.gov/Features/MeasuringVegetation/&lt;/url&gt;&lt;/related-urls&gt;&lt;/urls&gt;&lt;/record&gt;&lt;/Cite&gt;&lt;/EndNote&gt;</w:instrText>
      </w:r>
      <w:r w:rsidR="00381E2C" w:rsidRPr="004F7DAA">
        <w:rPr>
          <w:rFonts w:ascii="Times New Roman" w:hAnsi="Times New Roman" w:cs="Times New Roman"/>
        </w:rPr>
        <w:fldChar w:fldCharType="separate"/>
      </w:r>
      <w:r>
        <w:rPr>
          <w:rFonts w:ascii="Times New Roman" w:hAnsi="Times New Roman" w:cs="Times New Roman"/>
        </w:rPr>
        <w:t>(Weier and Herring 2011)</w:t>
      </w:r>
      <w:r w:rsidR="00381E2C" w:rsidRPr="004F7DAA">
        <w:rPr>
          <w:rFonts w:ascii="Times New Roman" w:hAnsi="Times New Roman" w:cs="Times New Roman"/>
        </w:rPr>
        <w:fldChar w:fldCharType="end"/>
      </w:r>
      <w:r>
        <w:rPr>
          <w:rFonts w:ascii="Times New Roman" w:hAnsi="Times New Roman" w:cs="Times New Roman"/>
        </w:rPr>
        <w:t xml:space="preserve"> </w:t>
      </w:r>
      <w:r w:rsidR="004F7DAA" w:rsidRPr="004F7DAA">
        <w:rPr>
          <w:rFonts w:ascii="Times New Roman" w:hAnsi="Times New Roman" w:cs="Times New Roman"/>
        </w:rPr>
        <w:t>derived from the Landsat 4-5 Thematic Mapper (TM) images at 3</w:t>
      </w:r>
      <w:r w:rsidR="00A51F1F">
        <w:rPr>
          <w:rFonts w:ascii="Times New Roman" w:hAnsi="Times New Roman" w:cs="Times New Roman"/>
        </w:rPr>
        <w:t>0 m</w:t>
      </w:r>
      <w:r w:rsidR="004F7DAA" w:rsidRPr="004F7DAA">
        <w:rPr>
          <w:rFonts w:ascii="Times New Roman" w:hAnsi="Times New Roman" w:cs="Times New Roman"/>
        </w:rPr>
        <w:t xml:space="preserve"> x 3</w:t>
      </w:r>
      <w:r w:rsidR="00A51F1F">
        <w:rPr>
          <w:rFonts w:ascii="Times New Roman" w:hAnsi="Times New Roman" w:cs="Times New Roman"/>
        </w:rPr>
        <w:t>0 m</w:t>
      </w:r>
      <w:r w:rsidR="004F7DAA" w:rsidRPr="004F7DAA">
        <w:rPr>
          <w:rFonts w:ascii="Times New Roman" w:hAnsi="Times New Roman" w:cs="Times New Roman"/>
        </w:rPr>
        <w:t xml:space="preserve"> resolution</w:t>
      </w:r>
      <w:r w:rsidR="00AB3796">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&lt;EndNote&gt;&lt;Cite&gt;&lt;Author&gt;US Geology Survey&lt;/Author&gt;&lt;Year&gt;2011&lt;/Year&gt;&lt;RecNum&gt;973&lt;/RecNum&gt;&lt;record&gt;&lt;rec-number&gt;973&lt;/rec-number&gt;&lt;ref-type name="Electronic Source"&gt;12&lt;/ref-type&gt;&lt;contributors&gt;&lt;authors&gt;&lt;author&gt;US Geology Survey,&lt;/author&gt;&lt;/authors&gt;&lt;/contributors&gt;&lt;titles&gt;&lt;title&gt;Global Visualization Viewer&lt;/title&gt;&lt;/titles&gt;&lt;volume&gt;2012&lt;/volume&gt;&lt;number&gt;15 January &lt;/number&gt;&lt;dates&gt;&lt;year&gt;2011&lt;/year&gt;&lt;/dates&gt;&lt;pub-location&gt;Sioux Falls, SD&lt;/pub-location&gt;&lt;publisher&gt;US Geology Survey,&lt;/publisher&gt;&lt;urls&gt;&lt;related-urls&gt;&lt;url&gt;https://lpdaac.usgs.gov/get_data/glovis &lt;/url&gt;&lt;/related-urls&gt;&lt;/urls&gt;&lt;/record&gt;&lt;/Cite&gt;&lt;/EndNote&gt;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(US Geology Survey 2011)</w:t>
      </w:r>
      <w:r w:rsidR="00381E2C" w:rsidRPr="004F7DAA">
        <w:rPr>
          <w:rFonts w:ascii="Times New Roman" w:hAnsi="Times New Roman" w:cs="Times New Roman"/>
        </w:rPr>
        <w:fldChar w:fldCharType="end"/>
      </w:r>
      <w:r w:rsidR="00AB3796">
        <w:rPr>
          <w:rFonts w:ascii="Times New Roman" w:hAnsi="Times New Roman" w:cs="Times New Roman"/>
        </w:rPr>
        <w:t>.</w:t>
      </w:r>
      <w:r w:rsidR="004F7DAA" w:rsidRPr="004F7DAA">
        <w:rPr>
          <w:rFonts w:ascii="Times New Roman" w:hAnsi="Times New Roman" w:cs="Times New Roman"/>
        </w:rPr>
        <w:t xml:space="preserve"> NDVI is an indicator of greenness based on land surface reflectance of visible (red) and near-infrared parts of spectrum</w:t>
      </w:r>
      <w:r w:rsidR="00AB3796">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&lt;EndNote&gt;&lt;Cite&gt;&lt;Author&gt;Weier&lt;/Author&gt;&lt;Year&gt;2011&lt;/Year&gt;&lt;RecNum&gt;799&lt;/RecNum&gt;&lt;record&gt;&lt;rec-number&gt;799&lt;/rec-number&gt;&lt;ref-type name="Electronic Source"&gt;12&lt;/ref-type&gt;&lt;contributors&gt;&lt;authors&gt;&lt;author&gt;John Weier &lt;/author&gt;&lt;author&gt;David Herring&lt;/author&gt;&lt;/authors&gt;&lt;/contributors&gt;&lt;titles&gt;&lt;title&gt;Measuring vegetation (NDVI &amp;amp; EVI)&lt;/title&gt;&lt;/titles&gt;&lt;number&gt;17 November, 2013&lt;/number&gt;&lt;dates&gt;&lt;year&gt;2011&lt;/year&gt;&lt;/dates&gt;&lt;pub-location&gt;Greenbelt, Md.&lt;/pub-location&gt;&lt;publisher&gt;NASA&lt;/publisher&gt;&lt;urls&gt;&lt;related-urls&gt;&lt;url&gt;http://earthobservatory.nasa.gov/Features/MeasuringVegetation/&lt;/url&gt;&lt;/related-urls&gt;&lt;/urls&gt;&lt;/record&gt;&lt;/Cite&gt;&lt;/EndNote&gt;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(Weier and Herring 2011)</w:t>
      </w:r>
      <w:r w:rsidR="00381E2C" w:rsidRPr="004F7DAA">
        <w:rPr>
          <w:rFonts w:ascii="Times New Roman" w:hAnsi="Times New Roman" w:cs="Times New Roman"/>
        </w:rPr>
        <w:fldChar w:fldCharType="end"/>
      </w:r>
      <w:r w:rsidR="00AB3796">
        <w:rPr>
          <w:rFonts w:ascii="Times New Roman" w:hAnsi="Times New Roman" w:cs="Times New Roman"/>
        </w:rPr>
        <w:t>.</w:t>
      </w:r>
      <w:r w:rsidR="004F7DAA" w:rsidRPr="004F7DAA">
        <w:rPr>
          <w:rFonts w:ascii="Times New Roman" w:hAnsi="Times New Roman" w:cs="Times New Roman"/>
        </w:rPr>
        <w:t xml:space="preserve"> It ranges between -1 and 1 with higher numbers indicating more greenness. To achieve maximum exposure contrast, we looked for available cloud-free Landsat TM images during the period between May and August (i.e. the maximum vegetation period of the year for our study region) of 2006-2011 (the relevant years to our study period) from the NASA’s Earth Observing System Data and Information System (EOSDIS) website. </w:t>
      </w:r>
      <w:r w:rsidR="004F7DAA" w:rsidRPr="007F60AC">
        <w:rPr>
          <w:rFonts w:ascii="Times New Roman" w:hAnsi="Times New Roman" w:cs="Times New Roman"/>
        </w:rPr>
        <w:t>Based on this search we generated our NDVI map using the image obtained on 10</w:t>
      </w:r>
      <w:r w:rsidR="004F7DAA" w:rsidRPr="007F60AC">
        <w:rPr>
          <w:rFonts w:ascii="Times New Roman" w:hAnsi="Times New Roman" w:cs="Times New Roman"/>
          <w:vertAlign w:val="superscript"/>
        </w:rPr>
        <w:t>th</w:t>
      </w:r>
      <w:r w:rsidR="004F7DAA" w:rsidRPr="007F60AC">
        <w:rPr>
          <w:rFonts w:ascii="Times New Roman" w:hAnsi="Times New Roman" w:cs="Times New Roman"/>
        </w:rPr>
        <w:t xml:space="preserve"> June 2006 (</w:t>
      </w:r>
      <w:r w:rsidR="00565FBA" w:rsidRPr="007F60AC">
        <w:rPr>
          <w:rFonts w:ascii="Times New Roman" w:hAnsi="Times New Roman" w:cs="Times New Roman"/>
        </w:rPr>
        <w:t>Supplementary</w:t>
      </w:r>
      <w:r w:rsidR="004F7DAA" w:rsidRPr="007F60AC">
        <w:rPr>
          <w:rFonts w:ascii="Times New Roman" w:hAnsi="Times New Roman" w:cs="Times New Roman"/>
        </w:rPr>
        <w:t xml:space="preserve"> Figure S1).</w:t>
      </w:r>
      <w:r w:rsidR="004F7DAA" w:rsidRPr="004F7DAA">
        <w:rPr>
          <w:rFonts w:ascii="Times New Roman" w:hAnsi="Times New Roman" w:cs="Times New Roman"/>
        </w:rPr>
        <w:t xml:space="preserve"> </w:t>
      </w:r>
    </w:p>
    <w:p w:rsidR="007136E7" w:rsidRPr="00B223A5" w:rsidRDefault="007136E7">
      <w:pPr>
        <w:spacing w:after="0"/>
        <w:rPr>
          <w:rFonts w:ascii="Times New Roman" w:hAnsi="Times New Roman" w:cs="Times New Roman"/>
        </w:rPr>
      </w:pPr>
    </w:p>
    <w:p w:rsidR="00214C40" w:rsidRDefault="007533CC">
      <w:pPr>
        <w:spacing w:after="0"/>
        <w:rPr>
          <w:rFonts w:ascii="Times New Roman" w:hAnsi="Times New Roman" w:cs="Times New Roman"/>
        </w:rPr>
      </w:pPr>
      <w:r w:rsidRPr="00DB6CE5">
        <w:rPr>
          <w:rFonts w:asciiTheme="majorBidi" w:hAnsiTheme="majorBidi" w:cstheme="majorBidi"/>
        </w:rPr>
        <w:t xml:space="preserve">Each </w:t>
      </w:r>
      <w:r w:rsidR="00425557">
        <w:rPr>
          <w:rFonts w:asciiTheme="majorBidi" w:hAnsiTheme="majorBidi" w:cstheme="majorBidi"/>
        </w:rPr>
        <w:t>maternal</w:t>
      </w:r>
      <w:r w:rsidRPr="00DB6CE5">
        <w:rPr>
          <w:rFonts w:asciiTheme="majorBidi" w:hAnsiTheme="majorBidi" w:cstheme="majorBidi"/>
        </w:rPr>
        <w:t xml:space="preserve"> address</w:t>
      </w:r>
      <w:r w:rsidR="00425557">
        <w:rPr>
          <w:rFonts w:asciiTheme="majorBidi" w:hAnsiTheme="majorBidi" w:cstheme="majorBidi"/>
        </w:rPr>
        <w:t xml:space="preserve"> of residence</w:t>
      </w:r>
      <w:r w:rsidRPr="00DB6CE5">
        <w:rPr>
          <w:rFonts w:asciiTheme="majorBidi" w:hAnsiTheme="majorBidi" w:cstheme="majorBidi"/>
        </w:rPr>
        <w:t xml:space="preserve"> was coordinated on the National Grid, with </w:t>
      </w:r>
      <w:r>
        <w:rPr>
          <w:rFonts w:asciiTheme="majorBidi" w:hAnsiTheme="majorBidi" w:cstheme="majorBidi"/>
        </w:rPr>
        <w:t>e</w:t>
      </w:r>
      <w:r w:rsidRPr="00DB6CE5">
        <w:rPr>
          <w:rFonts w:asciiTheme="majorBidi" w:hAnsiTheme="majorBidi" w:cstheme="majorBidi"/>
        </w:rPr>
        <w:t>astings and northings quoted to a resolution of 0.1 m. This was done for addresses w</w:t>
      </w:r>
      <w:r w:rsidR="00B47B72">
        <w:rPr>
          <w:rFonts w:asciiTheme="majorBidi" w:hAnsiTheme="majorBidi" w:cstheme="majorBidi"/>
        </w:rPr>
        <w:t>h</w:t>
      </w:r>
      <w:r w:rsidRPr="00DB6CE5">
        <w:rPr>
          <w:rFonts w:asciiTheme="majorBidi" w:hAnsiTheme="majorBidi" w:cstheme="majorBidi"/>
        </w:rPr>
        <w:t>ere we found an exact match either ‘automatic’ or ‘manually’</w:t>
      </w:r>
      <w:r>
        <w:rPr>
          <w:rFonts w:asciiTheme="majorBidi" w:hAnsiTheme="majorBidi" w:cstheme="majorBidi"/>
        </w:rPr>
        <w:t xml:space="preserve"> with only a</w:t>
      </w:r>
      <w:r w:rsidRPr="00DB6CE5">
        <w:rPr>
          <w:rFonts w:asciiTheme="majorBidi" w:hAnsiTheme="majorBidi" w:cstheme="majorBidi"/>
        </w:rPr>
        <w:t xml:space="preserve"> </w:t>
      </w:r>
      <w:r>
        <w:rPr>
          <w:rFonts w:asciiTheme="majorBidi" w:hAnsiTheme="majorBidi" w:cstheme="majorBidi"/>
        </w:rPr>
        <w:t>tiny</w:t>
      </w:r>
      <w:r w:rsidRPr="00DB6CE5">
        <w:rPr>
          <w:rFonts w:asciiTheme="majorBidi" w:hAnsiTheme="majorBidi" w:cstheme="majorBidi"/>
        </w:rPr>
        <w:t xml:space="preserve"> percentage</w:t>
      </w:r>
      <w:r>
        <w:rPr>
          <w:rFonts w:asciiTheme="majorBidi" w:hAnsiTheme="majorBidi" w:cstheme="majorBidi"/>
        </w:rPr>
        <w:t xml:space="preserve"> (0.01%) of the addresses for which we c</w:t>
      </w:r>
      <w:r w:rsidRPr="00DB6CE5">
        <w:rPr>
          <w:rFonts w:asciiTheme="majorBidi" w:hAnsiTheme="majorBidi" w:cstheme="majorBidi"/>
        </w:rPr>
        <w:t>ould not found a match</w:t>
      </w:r>
      <w:r>
        <w:rPr>
          <w:rFonts w:asciiTheme="majorBidi" w:hAnsiTheme="majorBidi" w:cstheme="majorBidi"/>
        </w:rPr>
        <w:t>.</w:t>
      </w:r>
      <w:r w:rsidRPr="00DB6CE5">
        <w:rPr>
          <w:rFonts w:asciiTheme="majorBidi" w:hAnsiTheme="majorBidi" w:cstheme="majorBidi"/>
        </w:rPr>
        <w:t xml:space="preserve"> </w:t>
      </w:r>
      <w:r w:rsidR="00C147C9" w:rsidRPr="00C147C9">
        <w:rPr>
          <w:rFonts w:ascii="Times New Roman" w:hAnsi="Times New Roman" w:cs="Times New Roman"/>
        </w:rPr>
        <w:t>For each woman, surrounding greenness was abstracted as the average of NDVI in buffers of</w:t>
      </w:r>
      <w:r w:rsidR="00762075">
        <w:rPr>
          <w:rFonts w:ascii="Times New Roman" w:hAnsi="Times New Roman" w:cs="Times New Roman"/>
        </w:rPr>
        <w:t xml:space="preserve"> 50 m,</w:t>
      </w:r>
      <w:r w:rsidR="00C147C9" w:rsidRPr="00C147C9">
        <w:rPr>
          <w:rFonts w:ascii="Times New Roman" w:hAnsi="Times New Roman" w:cs="Times New Roman"/>
        </w:rPr>
        <w:t xml:space="preserve"> 10</w:t>
      </w:r>
      <w:r w:rsidR="00A51F1F">
        <w:rPr>
          <w:rFonts w:ascii="Times New Roman" w:hAnsi="Times New Roman" w:cs="Times New Roman"/>
        </w:rPr>
        <w:t>0 m</w:t>
      </w:r>
      <w:r w:rsidR="00791EF2">
        <w:rPr>
          <w:rFonts w:ascii="Times New Roman" w:hAnsi="Times New Roman" w:cs="Times New Roman"/>
        </w:rPr>
        <w:t>, 250 m</w:t>
      </w:r>
      <w:r w:rsidR="00DA7D9D">
        <w:rPr>
          <w:rFonts w:ascii="Times New Roman" w:hAnsi="Times New Roman" w:cs="Times New Roman"/>
        </w:rPr>
        <w:t>, 500 m, an</w:t>
      </w:r>
      <w:r w:rsidR="00146ABB">
        <w:rPr>
          <w:rFonts w:ascii="Times New Roman" w:hAnsi="Times New Roman" w:cs="Times New Roman"/>
        </w:rPr>
        <w:t xml:space="preserve">d 1000 m </w:t>
      </w:r>
      <w:r w:rsidR="00DA7D9D">
        <w:rPr>
          <w:rFonts w:ascii="Times New Roman" w:hAnsi="Times New Roman" w:cs="Times New Roman"/>
        </w:rPr>
        <w:t xml:space="preserve"> around her geocoded address of residence at the time of </w:t>
      </w:r>
      <w:r w:rsidR="00DA7D9D">
        <w:rPr>
          <w:rFonts w:ascii="Times New Roman" w:hAnsi="Times New Roman" w:cs="Times New Roman"/>
        </w:rPr>
        <w:lastRenderedPageBreak/>
        <w:t>recruitment</w:t>
      </w:r>
      <w:r w:rsidR="005618BC" w:rsidRPr="005618BC">
        <w:rPr>
          <w:rFonts w:ascii="Times New Roman" w:hAnsi="Times New Roman" w:cs="Times New Roman"/>
        </w:rPr>
        <w:t xml:space="preserve"> </w:t>
      </w:r>
      <w:r w:rsidR="00381E2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Cite&gt;&lt;Author&gt;Dadvand &lt;/Author&gt;&lt;Year&gt;2012&lt;/Year&gt;&lt;RecNum&gt;974&lt;/RecNum&gt;&lt;record&gt;&lt;rec-number&gt;974&lt;/rec-number&gt;&lt;ref-type name="Journal Article"&gt;17&lt;/ref-type&gt;&lt;contributors&gt;&lt;authors&gt;&lt;author&gt;Dadvand , P. &lt;/author&gt;&lt;author&gt;de Nazelle, A. &lt;/author&gt;&lt;author&gt;Margarita Triguero-Mas &lt;/author&gt;&lt;author&gt;Anna Schembari &lt;/author&gt;&lt;author&gt;Marta Cirach &lt;/author&gt;&lt;author&gt;Elmira Amoly &lt;/author&gt;&lt;author&gt;Francesc Figueras &lt;/author&gt;&lt;author&gt;Xavier Basagaña  &lt;/author&gt;&lt;author&gt;Bart Ostro&lt;/author&gt;&lt;author&gt;Mark Nieuwenhuijsen &lt;/author&gt;&lt;/authors&gt;&lt;/contributors&gt;&lt;titles&gt;&lt;title&gt;Surrounding Greenness and Exposure to Air Pollution During Pregnancy: An Analysis of Personal Monitoring Data &lt;/title&gt;&lt;secondary-title&gt;Environ Health Perspect&lt;/secondary-title&gt;&lt;/titles&gt;&lt;periodical&gt;&lt;full-title&gt;Environ Health Perspect&lt;/full-title&gt;&lt;/periodical&gt;&lt;pages&gt;1286-90&lt;/pages&gt;&lt;volume&gt;120&lt;/volume&gt;&lt;number&gt;9&lt;/number&gt;&lt;dates&gt;&lt;year&gt;2012&lt;/year&gt;&lt;/dates&gt;&lt;urls&gt;&lt;/urls&gt;&lt;/record&gt;&lt;/Cite&gt;&lt;Cite&gt;&lt;Author&gt;Donovan&lt;/Author&gt;&lt;Year&gt;2011&lt;/Year&gt;&lt;RecNum&gt;970&lt;/RecNum&gt;&lt;record&gt;&lt;rec-number&gt;970&lt;/rec-number&gt;&lt;ref-type name="Journal Article"&gt;17&lt;/ref-type&gt;&lt;contributors&gt;&lt;authors&gt;&lt;author&gt;Donovan, G. H.&lt;/author&gt;&lt;author&gt;Michael, Y. L.&lt;/author&gt;&lt;author&gt;Butry, D. T.&lt;/author&gt;&lt;author&gt;Sullivan, A. D.&lt;/author&gt;&lt;author&gt;Chase, J. M.&lt;/author&gt;&lt;/authors&gt;&lt;/contributors&gt;&lt;auth-address&gt;USDA Forest Service, PNW Research Station, Portland 97205, OR, United States&amp;#xD;Drexel University School of Public Health, Philadelphia 19102, PA, United States&amp;#xD;National Institute of Standards and Technology, Gaithersburg 20899, MD, United States&amp;#xD;Multnomah County Health Department, Portland 97204, OR, United States&lt;/auth-address&gt;&lt;titles&gt;&lt;title&gt;Urban trees and the risk of poor birth outcomes&lt;/title&gt;&lt;secondary-title&gt;Health Place&lt;/secondary-title&gt;&lt;/titles&gt;&lt;periodical&gt;&lt;full-title&gt;Health Place&lt;/full-title&gt;&lt;/periodical&gt;&lt;pages&gt;390-393&lt;/pages&gt;&lt;volume&gt;17&lt;/volume&gt;&lt;number&gt;1&lt;/number&gt;&lt;keywords&gt;&lt;keyword&gt;Preterm birth&lt;/keyword&gt;&lt;keyword&gt;Reproductive health&lt;/keyword&gt;&lt;keyword&gt;Small for gestational age&lt;/keyword&gt;&lt;keyword&gt;Urban trees&lt;/keyword&gt;&lt;/keywords&gt;&lt;dates&gt;&lt;year&gt;2011&lt;/year&gt;&lt;/dates&gt;&lt;urls&gt;&lt;related-urls&gt;&lt;url&gt;http://www.scopus.com/inward/record.url?eid=2-s2.0-78751575801&amp;amp;partnerID=40&amp;amp;md5=676fdbb8dad52df6ed390da8203a7734 &lt;/url&gt;&lt;/related-urls&gt;&lt;/urls&gt;&lt;/record&gt;&lt;/Cite&gt;&lt;Cite&gt;&lt;Author&gt;Laurent&lt;/Author&gt;&lt;Year&gt;2013&lt;/Year&gt;&lt;RecNum&gt;1330&lt;/RecNum&gt;&lt;record&gt;&lt;rec-number&gt;1330&lt;/rec-number&gt;&lt;ref-type name="Journal Article"&gt;17&lt;/ref-type&gt;&lt;contributors&gt;&lt;authors&gt;&lt;author&gt;Laurent, Olivier&lt;/author&gt;&lt;author&gt;Wu, Jun&lt;/author&gt;&lt;author&gt;Li, Lianfa&lt;/author&gt;&lt;author&gt;Milesi, Cristina&lt;/author&gt;&lt;/authors&gt;&lt;/contributors&gt;&lt;titles&gt;&lt;title&gt;Green spaces and pregnancy outcomes in Southern California&lt;/title&gt;&lt;secondary-title&gt;Health Place&lt;/secondary-title&gt;&lt;/titles&gt;&lt;periodical&gt;&lt;full-title&gt;Health Place&lt;/full-title&gt;&lt;/periodical&gt;&lt;pages&gt;190-195&lt;/pages&gt;&lt;volume&gt;24&lt;/volume&gt;&lt;dates&gt;&lt;year&gt;2013&lt;/year&gt;&lt;/dates&gt;&lt;isbn&gt;1353-8292&lt;/isbn&gt;&lt;urls&gt;&lt;/urls&gt;&lt;/record&gt;&lt;/Cite&gt;&lt;Cite&gt;&lt;Author&gt;Lovasi&lt;/Author&gt;&lt;Year&gt;2013&lt;/Year&gt;&lt;RecNum&gt;1222&lt;/RecNum&gt;&lt;record&gt;&lt;rec-number&gt;1222&lt;/rec-number&gt;&lt;ref-type name="Journal Article"&gt;17&lt;/ref-type&gt;&lt;contributors&gt;&lt;authors&gt;&lt;author&gt;Lovasi, Gina S.&lt;/author&gt;&lt;author&gt;O&amp;apos;Neil-Dunne, Jarlath P. M.&lt;/author&gt;&lt;author&gt;Lu, Jacqueline W. T.&lt;/author&gt;&lt;author&gt;Sheehan, Daniel&lt;/author&gt;&lt;author&gt;Perzanowski, Matthew S.&lt;/author&gt;&lt;author&gt;MacFaden, Sean W.&lt;/author&gt;&lt;author&gt;King, Kristen L.&lt;/author&gt;&lt;author&gt;Matte, Thomas&lt;/author&gt;&lt;author&gt;Miller, Rachel L.&lt;/author&gt;&lt;author&gt;Hoepner, Lori A.&lt;/author&gt;&lt;/authors&gt;&lt;/contributors&gt;&lt;titles&gt;&lt;title&gt;Urban Tree Canopy and Asthma, Wheeze, Rhinitis, and Allergic Sensitization to Tree Pollen in a New York City Birth Cohort&lt;/title&gt;&lt;secondary-title&gt;Environ Health Perspect &lt;/secondary-title&gt;&lt;/titles&gt;&lt;periodical&gt;&lt;full-title&gt;Environ Health Perspect&lt;/full-title&gt;&lt;/periodical&gt;&lt;volume&gt;doi:10.1289/ehp.1205513&lt;/volume&gt;&lt;dates&gt;&lt;year&gt;2013&lt;/year&gt;&lt;/dates&gt;&lt;isbn&gt;0091-6765&lt;/isbn&gt;&lt;urls&gt;&lt;/urls&gt;&lt;/record&gt;&lt;/Cite&gt;&lt;Cite&gt;&lt;Author&gt;Lovasi&lt;/Author&gt;&lt;Year&gt;2011&lt;/Year&gt;&lt;RecNum&gt;1223&lt;/RecNum&gt;&lt;record&gt;&lt;rec-number&gt;1223&lt;/rec-number&gt;&lt;ref-type name="Journal Article"&gt;17&lt;/ref-type&gt;&lt;contributors&gt;&lt;authors&gt;&lt;author&gt;Lovasi, GinaS&lt;/author&gt;&lt;author&gt;Jacobson, JudithS&lt;/author&gt;&lt;author&gt;Quinn, JamesW&lt;/author&gt;&lt;author&gt;Neckerman, KathrynM&lt;/author&gt;&lt;author&gt;Ashby-Thompson, MaxineN&lt;/author&gt;&lt;author&gt;Rundle, Andrew&lt;/author&gt;&lt;/authors&gt;&lt;/contributors&gt;&lt;titles&gt;&lt;title&gt;Is the Environment Near Home and School Associated with Physical Activity and Adiposity of Urban Preschool Children?&lt;/title&gt;&lt;secondary-title&gt;J Urban Health&lt;/secondary-title&gt;&lt;/titles&gt;&lt;periodical&gt;&lt;full-title&gt;J Urban Health&lt;/full-title&gt;&lt;/periodical&gt;&lt;pages&gt;1143-1157&lt;/pages&gt;&lt;volume&gt;88&lt;/volume&gt;&lt;number&gt;6&lt;/number&gt;&lt;keywords&gt;&lt;keyword&gt;Built environment&lt;/keyword&gt;&lt;keyword&gt;Safety&lt;/keyword&gt;&lt;keyword&gt;Physical activity&lt;/keyword&gt;&lt;keyword&gt;Accelerometer&lt;/keyword&gt;&lt;keyword&gt;Overweight&lt;/keyword&gt;&lt;keyword&gt;Obesity&lt;/keyword&gt;&lt;/keywords&gt;&lt;dates&gt;&lt;year&gt;2011&lt;/year&gt;&lt;/dates&gt;&lt;publisher&gt;Springer US&lt;/publisher&gt;&lt;urls&gt;&lt;related-urls&gt;&lt;url&gt;http://dx.doi.org/10.1007/s11524-011-9604-3 &lt;/url&gt;&lt;/related-urls&gt;&lt;/urls&gt;&lt;/record&gt;&lt;/Cite&gt;&lt;Cite&gt;&lt;Author&gt;Markevych&lt;/Author&gt;&lt;Year&gt;2014&lt;/Year&gt;&lt;RecNum&gt;1364&lt;/RecNum&gt;&lt;record&gt;&lt;rec-number&gt;1364&lt;/rec-number&gt;&lt;ref-type name="Journal Article"&gt;17&lt;/ref-type&gt;&lt;contributors&gt;&lt;authors&gt;&lt;author&gt;Markevych, Iana&lt;/author&gt;&lt;author&gt;Fuertes, Elaine&lt;/author&gt;&lt;author&gt;Tiesler, Carla M. T.&lt;/author&gt;&lt;author&gt;Birk, Matthias&lt;/author&gt;&lt;author&gt;Bauer, Carl-Peter&lt;/author&gt;&lt;author&gt;Koletzko, Sibylle&lt;/author&gt;&lt;author&gt;von Berg, Andrea&lt;/author&gt;&lt;author&gt;Berdel, Dietrich&lt;/author&gt;&lt;author&gt;Heinrich, Joachim&lt;/author&gt;&lt;/authors&gt;&lt;/contributors&gt;&lt;titles&gt;&lt;title&gt;Surrounding greenness and birth weight: Results from the GINIplus and LISAplus birth cohorts in Munich&lt;/title&gt;&lt;secondary-title&gt;Health place&lt;/secondary-title&gt;&lt;/titles&gt;&lt;periodical&gt;&lt;full-title&gt;Health Place&lt;/full-title&gt;&lt;/periodical&gt;&lt;pages&gt;39-46&lt;/pages&gt;&lt;volume&gt;26&lt;/volume&gt;&lt;dates&gt;&lt;year&gt;2014&lt;/year&gt;&lt;/dates&gt;&lt;isbn&gt;1353-8292&lt;/isbn&gt;&lt;urls&gt;&lt;/urls&gt;&lt;/record&gt;&lt;/Cite&gt;&lt;/EndNote&gt;</w:instrText>
      </w:r>
      <w:r w:rsidR="00381E2C">
        <w:rPr>
          <w:rFonts w:ascii="Times New Roman" w:hAnsi="Times New Roman" w:cs="Times New Roman"/>
        </w:rPr>
        <w:fldChar w:fldCharType="separate"/>
      </w:r>
      <w:r w:rsidR="006C6EDD">
        <w:rPr>
          <w:rFonts w:ascii="Times New Roman" w:hAnsi="Times New Roman" w:cs="Times New Roman"/>
        </w:rPr>
        <w:t>(Dadvand et al. 2012a; Dadvand  et al. 2012; Dadvand et al. 2012b; Donovan et al. 2011; Laurent et al. 2013; Lovasi et al. 2011; Lovasi et al. 2013; Markevych et al. 2014)</w:t>
      </w:r>
      <w:r w:rsidR="00381E2C">
        <w:rPr>
          <w:rFonts w:ascii="Times New Roman" w:hAnsi="Times New Roman" w:cs="Times New Roman"/>
        </w:rPr>
        <w:fldChar w:fldCharType="end"/>
      </w:r>
      <w:r w:rsidR="00C147C9" w:rsidRPr="005B4C9D">
        <w:rPr>
          <w:rFonts w:ascii="Times New Roman" w:hAnsi="Times New Roman" w:cs="Times New Roman"/>
        </w:rPr>
        <w:t>.</w:t>
      </w:r>
      <w:r w:rsidR="004C5574">
        <w:rPr>
          <w:rFonts w:ascii="Times New Roman" w:hAnsi="Times New Roman" w:cs="Times New Roman"/>
        </w:rPr>
        <w:t xml:space="preserve"> </w:t>
      </w:r>
      <w:r w:rsidR="004C5574" w:rsidRPr="004C5574">
        <w:rPr>
          <w:rFonts w:ascii="Times New Roman" w:hAnsi="Times New Roman" w:cs="Times New Roman"/>
        </w:rPr>
        <w:t xml:space="preserve">We used different buffer sizes to abstract residential surrounding greenness in order to explore the consistency of our findings across different buffer sizes and robustness of our findings to our selection of buffer size. Furthermore, we hypothesized that immediate surrounding greenness (e.g. in a </w:t>
      </w:r>
      <w:r w:rsidR="001B4303">
        <w:rPr>
          <w:rFonts w:ascii="Times New Roman" w:hAnsi="Times New Roman" w:cs="Times New Roman"/>
        </w:rPr>
        <w:t xml:space="preserve">50 m or </w:t>
      </w:r>
      <w:r w:rsidR="004C5574" w:rsidRPr="004C5574">
        <w:rPr>
          <w:rFonts w:ascii="Times New Roman" w:hAnsi="Times New Roman" w:cs="Times New Roman"/>
        </w:rPr>
        <w:t>100</w:t>
      </w:r>
      <w:r w:rsidR="001B4303">
        <w:rPr>
          <w:rFonts w:ascii="Times New Roman" w:hAnsi="Times New Roman" w:cs="Times New Roman"/>
        </w:rPr>
        <w:t xml:space="preserve"> </w:t>
      </w:r>
      <w:r w:rsidR="004C5574" w:rsidRPr="004C5574">
        <w:rPr>
          <w:rFonts w:ascii="Times New Roman" w:hAnsi="Times New Roman" w:cs="Times New Roman"/>
        </w:rPr>
        <w:t xml:space="preserve">m buffer) could be more relevant to mechanisms like psychological restoration (because of visual access to greenness) and reduction in environmental exposure (e.g. air pollution, heat, and noise); whereas, greenness in larger buffer sizes could be more associated with other mechanisms like increase in physical activity. These measures of residential surrounding greenness using NDVI has been shown to strongly correlate with perception of the greenness of corresponding residential areas </w:t>
      </w:r>
      <w:r w:rsidR="00381E2C" w:rsidRPr="004C5574">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&lt;EndNote&gt;&lt;Cite&gt;&lt;Author&gt;Rhew&lt;/Author&gt;&lt;Year&gt;2011&lt;/Year&gt;&lt;RecNum&gt;1358&lt;/RecNum&gt;&lt;record&gt;&lt;rec-number&gt;1358&lt;/rec-number&gt;&lt;ref-type name="Journal Article"&gt;17&lt;/ref-type&gt;&lt;contributors&gt;&lt;authors&gt;&lt;author&gt;Rhew, Isaac C.&lt;/author&gt;&lt;author&gt;Vander Stoep, Ann&lt;/author&gt;&lt;author&gt;Kearney, Anne&lt;/author&gt;&lt;author&gt;Smith, Nicholas L.&lt;/author&gt;&lt;author&gt;Dunbar, Matthew D.&lt;/author&gt;&lt;/authors&gt;&lt;/contributors&gt;&lt;titles&gt;&lt;title&gt;Validation of the Normalized Difference Vegetation Index as a measure of neighborhood greenness&lt;/title&gt;&lt;secondary-title&gt;Ann Epidemiol&lt;/secondary-title&gt;&lt;/titles&gt;&lt;periodical&gt;&lt;full-title&gt;Ann Epidemiol&lt;/full-title&gt;&lt;/periodical&gt;&lt;pages&gt;946-952&lt;/pages&gt;&lt;volume&gt;21&lt;/volume&gt;&lt;number&gt;12&lt;/number&gt;&lt;dates&gt;&lt;year&gt;2011&lt;/year&gt;&lt;/dates&gt;&lt;isbn&gt;1047-2797&lt;/isbn&gt;&lt;urls&gt;&lt;/urls&gt;&lt;/record&gt;&lt;/Cite&gt;&lt;/EndNote&gt;</w:instrText>
      </w:r>
      <w:r w:rsidR="00381E2C" w:rsidRPr="004C5574">
        <w:rPr>
          <w:rFonts w:ascii="Times New Roman" w:hAnsi="Times New Roman" w:cs="Times New Roman"/>
        </w:rPr>
        <w:fldChar w:fldCharType="separate"/>
      </w:r>
      <w:r w:rsidR="004C5574" w:rsidRPr="004C5574">
        <w:rPr>
          <w:rFonts w:ascii="Times New Roman" w:hAnsi="Times New Roman" w:cs="Times New Roman"/>
        </w:rPr>
        <w:t>(Rhew et al. 2011)</w:t>
      </w:r>
      <w:r w:rsidR="00381E2C" w:rsidRPr="004C5574">
        <w:rPr>
          <w:rFonts w:ascii="Times New Roman" w:hAnsi="Times New Roman" w:cs="Times New Roman"/>
        </w:rPr>
        <w:fldChar w:fldCharType="end"/>
      </w:r>
      <w:r w:rsidR="004C5574" w:rsidRPr="004C5574">
        <w:rPr>
          <w:rFonts w:ascii="Times New Roman" w:hAnsi="Times New Roman" w:cs="Times New Roman"/>
        </w:rPr>
        <w:t xml:space="preserve"> and be associated with more use of green spaces and physical activity </w:t>
      </w:r>
      <w:r w:rsidR="00381E2C" w:rsidRPr="004C5574">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&lt;EndNote&gt;&lt;Cite&gt;&lt;Author&gt;Grigsby-Toussaint&lt;/Author&gt;&lt;Year&gt;2011&lt;/Year&gt;&lt;RecNum&gt;1356&lt;/RecNum&gt;&lt;record&gt;&lt;rec-number&gt;1356&lt;/rec-number&gt;&lt;ref-type name="Journal Article"&gt;17&lt;/ref-type&gt;&lt;contributors&gt;&lt;authors&gt;&lt;author&gt;Grigsby-Toussaint, Diana S.&lt;/author&gt;&lt;author&gt;Chi, Sang-Hyun&lt;/author&gt;&lt;author&gt;Fiese, Barbara H.&lt;/author&gt;&lt;/authors&gt;&lt;/contributors&gt;&lt;titles&gt;&lt;title&gt;Where they live, how they play: Neighborhood greenness and outdoor physical activity among preschoolers&lt;/title&gt;&lt;secondary-title&gt;Int J Health Geogr&lt;/secondary-title&gt;&lt;/titles&gt;&lt;periodical&gt;&lt;full-title&gt;Int J Health Geogr&lt;/full-title&gt;&lt;/periodical&gt;&lt;pages&gt;66&lt;/pages&gt;&lt;volume&gt;10&lt;/volume&gt;&lt;dates&gt;&lt;year&gt;2011&lt;/year&gt;&lt;/dates&gt;&lt;urls&gt;&lt;/urls&gt;&lt;/record&gt;&lt;/Cite&gt;&lt;Cite&gt;&lt;Author&gt;Almanza&lt;/Author&gt;&lt;Year&gt;2012&lt;/Year&gt;&lt;RecNum&gt;1354&lt;/RecNum&gt;&lt;record&gt;&lt;rec-number&gt;1354&lt;/rec-number&gt;&lt;ref-type name="Journal Article"&gt;17&lt;/ref-type&gt;&lt;contributors&gt;&lt;authors&gt;&lt;author&gt;Almanza, Estela&lt;/author&gt;&lt;author&gt;Jerrett, Michael&lt;/author&gt;&lt;author&gt;Dunton, Genevieve&lt;/author&gt;&lt;author&gt;Seto, Edmund&lt;/author&gt;&lt;author&gt;Ann Pentz, Mary&lt;/author&gt;&lt;/authors&gt;&lt;/contributors&gt;&lt;titles&gt;&lt;title&gt;A study of community design, greenness, and physical activity in children using satellite, GPS and accelerometer data&lt;/title&gt;&lt;secondary-title&gt;Health place&lt;/secondary-title&gt;&lt;/titles&gt;&lt;periodical&gt;&lt;full-title&gt;Health Place&lt;/full-title&gt;&lt;/periodical&gt;&lt;pages&gt;46-54&lt;/pages&gt;&lt;volume&gt;18&lt;/volume&gt;&lt;number&gt;1&lt;/number&gt;&lt;dates&gt;&lt;year&gt;2012&lt;/year&gt;&lt;/dates&gt;&lt;isbn&gt;1353-8292&lt;/isbn&gt;&lt;urls&gt;&lt;/urls&gt;&lt;/record&gt;&lt;/Cite&gt;&lt;/EndNote&gt;</w:instrText>
      </w:r>
      <w:r w:rsidR="00381E2C" w:rsidRPr="004C5574">
        <w:rPr>
          <w:rFonts w:ascii="Times New Roman" w:hAnsi="Times New Roman" w:cs="Times New Roman"/>
        </w:rPr>
        <w:fldChar w:fldCharType="separate"/>
      </w:r>
      <w:r w:rsidR="004C5574" w:rsidRPr="004C5574">
        <w:rPr>
          <w:rFonts w:ascii="Times New Roman" w:hAnsi="Times New Roman" w:cs="Times New Roman"/>
        </w:rPr>
        <w:t>(Almanza et al. 2012; Grigsby-Toussaint et al. 2011)</w:t>
      </w:r>
      <w:r w:rsidR="00381E2C" w:rsidRPr="004C5574">
        <w:rPr>
          <w:rFonts w:ascii="Times New Roman" w:hAnsi="Times New Roman" w:cs="Times New Roman"/>
        </w:rPr>
        <w:fldChar w:fldCharType="end"/>
      </w:r>
      <w:r w:rsidR="004C5574" w:rsidRPr="004C5574">
        <w:rPr>
          <w:rFonts w:ascii="Times New Roman" w:hAnsi="Times New Roman" w:cs="Times New Roman"/>
        </w:rPr>
        <w:t>.</w:t>
      </w:r>
      <w:r w:rsidR="00C147C9" w:rsidRPr="005B4C9D">
        <w:rPr>
          <w:rFonts w:ascii="Times New Roman" w:hAnsi="Times New Roman" w:cs="Times New Roman"/>
        </w:rPr>
        <w:t xml:space="preserve"> </w:t>
      </w:r>
    </w:p>
    <w:p w:rsidR="007136E7" w:rsidRPr="005B4C9D" w:rsidRDefault="007136E7">
      <w:pPr>
        <w:spacing w:after="0"/>
        <w:rPr>
          <w:rFonts w:ascii="Times New Roman" w:hAnsi="Times New Roman" w:cs="Times New Roman"/>
        </w:rPr>
      </w:pPr>
    </w:p>
    <w:p w:rsidR="007136E7" w:rsidRPr="00F03138" w:rsidRDefault="00F03138">
      <w:pPr>
        <w:spacing w:after="0"/>
        <w:rPr>
          <w:rFonts w:ascii="Times New Roman" w:hAnsi="Times New Roman" w:cs="Times New Roman"/>
          <w:bCs/>
        </w:rPr>
      </w:pPr>
      <w:r w:rsidRPr="00F03138">
        <w:rPr>
          <w:rFonts w:ascii="Times New Roman" w:hAnsi="Times New Roman" w:cs="Times New Roman"/>
          <w:bCs/>
        </w:rPr>
        <w:t xml:space="preserve">2.4. </w:t>
      </w:r>
      <w:r w:rsidR="007F0BE8" w:rsidRPr="00F03138">
        <w:rPr>
          <w:rFonts w:ascii="Times New Roman" w:hAnsi="Times New Roman" w:cs="Times New Roman"/>
          <w:bCs/>
        </w:rPr>
        <w:t>Regression models</w:t>
      </w:r>
    </w:p>
    <w:p w:rsidR="007136E7" w:rsidRPr="00F03138" w:rsidRDefault="00F03138">
      <w:pPr>
        <w:spacing w:after="0"/>
        <w:rPr>
          <w:rFonts w:ascii="Times New Roman" w:hAnsi="Times New Roman" w:cs="Times New Roman"/>
          <w:iCs/>
        </w:rPr>
      </w:pPr>
      <w:r w:rsidRPr="00F03138">
        <w:rPr>
          <w:rFonts w:ascii="Times New Roman" w:hAnsi="Times New Roman" w:cs="Times New Roman"/>
          <w:iCs/>
        </w:rPr>
        <w:t xml:space="preserve">2.4.1. </w:t>
      </w:r>
      <w:r w:rsidR="004F7DAA" w:rsidRPr="00F03138">
        <w:rPr>
          <w:rFonts w:ascii="Times New Roman" w:hAnsi="Times New Roman" w:cs="Times New Roman"/>
          <w:iCs/>
        </w:rPr>
        <w:t>Main effect</w:t>
      </w:r>
    </w:p>
    <w:p w:rsidR="00214C40" w:rsidRDefault="001D78B9">
      <w:pPr>
        <w:spacing w:after="0"/>
        <w:rPr>
          <w:rFonts w:ascii="Times New Roman" w:hAnsi="Times New Roman" w:cs="Times New Roman"/>
        </w:rPr>
      </w:pPr>
      <w:r w:rsidRPr="007F60AC">
        <w:rPr>
          <w:rFonts w:ascii="Times New Roman" w:hAnsi="Times New Roman" w:cs="Times New Roman"/>
        </w:rPr>
        <w:t xml:space="preserve">In our dataset, there were 784 women with two pregnancies and 15 with three pregnancies included in the main effect analyses. </w:t>
      </w:r>
      <w:r>
        <w:rPr>
          <w:rFonts w:ascii="Times New Roman" w:hAnsi="Times New Roman" w:cs="Times New Roman"/>
        </w:rPr>
        <w:t xml:space="preserve">To account for this, </w:t>
      </w:r>
      <w:r w:rsidRPr="00FE3356">
        <w:rPr>
          <w:rFonts w:ascii="Times New Roman" w:hAnsi="Times New Roman" w:cs="Times New Roman"/>
          <w:lang w:val="en-US"/>
        </w:rPr>
        <w:t>we constructed mixed-effect models with the study participants as the random effect</w:t>
      </w:r>
      <w:r>
        <w:rPr>
          <w:rFonts w:ascii="Times New Roman" w:hAnsi="Times New Roman" w:cs="Times New Roman"/>
          <w:lang w:val="en-US"/>
        </w:rPr>
        <w:t xml:space="preserve">, </w:t>
      </w:r>
      <w:r w:rsidRPr="004F7DAA">
        <w:rPr>
          <w:rFonts w:ascii="Times New Roman" w:hAnsi="Times New Roman" w:cs="Times New Roman"/>
        </w:rPr>
        <w:t>birth weight as the outcome</w:t>
      </w:r>
      <w:r>
        <w:rPr>
          <w:rFonts w:ascii="Times New Roman" w:hAnsi="Times New Roman" w:cs="Times New Roman"/>
        </w:rPr>
        <w:t>,</w:t>
      </w:r>
      <w:r w:rsidRPr="004F7DAA">
        <w:rPr>
          <w:rFonts w:ascii="Times New Roman" w:hAnsi="Times New Roman" w:cs="Times New Roman"/>
        </w:rPr>
        <w:t xml:space="preserve"> and residential surrounding greenness</w:t>
      </w:r>
      <w:r>
        <w:rPr>
          <w:rFonts w:ascii="Times New Roman" w:hAnsi="Times New Roman" w:cs="Times New Roman"/>
        </w:rPr>
        <w:t xml:space="preserve"> as predictor</w:t>
      </w:r>
      <w:r w:rsidRPr="00FE3356">
        <w:rPr>
          <w:rFonts w:ascii="Times New Roman" w:hAnsi="Times New Roman" w:cs="Times New Roman"/>
          <w:lang w:val="en-US"/>
        </w:rPr>
        <w:t xml:space="preserve">. </w:t>
      </w:r>
      <w:r w:rsidR="004F7DAA" w:rsidRPr="004F7DAA">
        <w:rPr>
          <w:rFonts w:ascii="Times New Roman" w:hAnsi="Times New Roman" w:cs="Times New Roman"/>
        </w:rPr>
        <w:t>The analyses were adjusted for gestational age at delivery (weeks, linear</w:t>
      </w:r>
      <w:r w:rsidR="006C6EDD">
        <w:rPr>
          <w:rFonts w:ascii="Times New Roman" w:hAnsi="Times New Roman" w:cs="Times New Roman"/>
        </w:rPr>
        <w:t>,</w:t>
      </w:r>
      <w:r w:rsidR="004F7DAA" w:rsidRPr="004F7DAA">
        <w:rPr>
          <w:rFonts w:ascii="Times New Roman" w:hAnsi="Times New Roman" w:cs="Times New Roman"/>
        </w:rPr>
        <w:t xml:space="preserve"> quadratic </w:t>
      </w:r>
      <w:r w:rsidR="00AE52F3">
        <w:rPr>
          <w:rFonts w:ascii="Times New Roman" w:hAnsi="Times New Roman" w:cs="Times New Roman"/>
        </w:rPr>
        <w:t xml:space="preserve">and cubic </w:t>
      </w:r>
      <w:r w:rsidR="004F7DAA" w:rsidRPr="004F7DAA">
        <w:rPr>
          <w:rFonts w:ascii="Times New Roman" w:hAnsi="Times New Roman" w:cs="Times New Roman"/>
        </w:rPr>
        <w:t>terms), maternal age (&lt;20</w:t>
      </w:r>
      <w:r w:rsidR="00132E60">
        <w:rPr>
          <w:rFonts w:ascii="Times New Roman" w:hAnsi="Times New Roman" w:cs="Times New Roman"/>
        </w:rPr>
        <w:t xml:space="preserve">, </w:t>
      </w:r>
      <w:r w:rsidR="004F7DAA" w:rsidRPr="004F7DAA">
        <w:rPr>
          <w:rFonts w:ascii="Times New Roman" w:hAnsi="Times New Roman" w:cs="Times New Roman"/>
        </w:rPr>
        <w:t>20-25</w:t>
      </w:r>
      <w:r w:rsidR="00132E60">
        <w:rPr>
          <w:rFonts w:ascii="Times New Roman" w:hAnsi="Times New Roman" w:cs="Times New Roman"/>
        </w:rPr>
        <w:t xml:space="preserve">, </w:t>
      </w:r>
      <w:r w:rsidR="004F7DAA" w:rsidRPr="004F7DAA">
        <w:rPr>
          <w:rFonts w:ascii="Times New Roman" w:hAnsi="Times New Roman" w:cs="Times New Roman"/>
        </w:rPr>
        <w:t>25-30</w:t>
      </w:r>
      <w:r w:rsidR="00132E60">
        <w:rPr>
          <w:rFonts w:ascii="Times New Roman" w:hAnsi="Times New Roman" w:cs="Times New Roman"/>
        </w:rPr>
        <w:t xml:space="preserve">, </w:t>
      </w:r>
      <w:r w:rsidR="004F7DAA" w:rsidRPr="004F7DAA">
        <w:rPr>
          <w:rFonts w:ascii="Times New Roman" w:hAnsi="Times New Roman" w:cs="Times New Roman"/>
        </w:rPr>
        <w:t>30-35</w:t>
      </w:r>
      <w:r w:rsidR="00132E60">
        <w:rPr>
          <w:rFonts w:ascii="Times New Roman" w:hAnsi="Times New Roman" w:cs="Times New Roman"/>
        </w:rPr>
        <w:t xml:space="preserve">, </w:t>
      </w:r>
      <w:r w:rsidR="004F7DAA" w:rsidRPr="004F7DAA">
        <w:rPr>
          <w:rFonts w:ascii="Times New Roman" w:hAnsi="Times New Roman" w:cs="Times New Roman"/>
        </w:rPr>
        <w:t>35-40</w:t>
      </w:r>
      <w:r w:rsidR="00132E60">
        <w:rPr>
          <w:rFonts w:ascii="Times New Roman" w:hAnsi="Times New Roman" w:cs="Times New Roman"/>
        </w:rPr>
        <w:t xml:space="preserve">, </w:t>
      </w:r>
      <w:r w:rsidR="004F7DAA" w:rsidRPr="004F7DAA">
        <w:rPr>
          <w:rFonts w:ascii="Times New Roman" w:hAnsi="Times New Roman" w:cs="Times New Roman"/>
        </w:rPr>
        <w:t>&gt;40 years old), ethnicity (</w:t>
      </w:r>
      <w:r w:rsidR="00D23C99">
        <w:rPr>
          <w:rFonts w:ascii="Times New Roman" w:hAnsi="Times New Roman" w:cs="Times New Roman"/>
        </w:rPr>
        <w:t>White British</w:t>
      </w:r>
      <w:r w:rsidR="00132E60">
        <w:rPr>
          <w:rFonts w:ascii="Times New Roman" w:hAnsi="Times New Roman" w:cs="Times New Roman"/>
        </w:rPr>
        <w:t xml:space="preserve">, </w:t>
      </w:r>
      <w:r w:rsidR="004F7DAA" w:rsidRPr="004F7DAA">
        <w:rPr>
          <w:rFonts w:ascii="Times New Roman" w:hAnsi="Times New Roman" w:cs="Times New Roman"/>
        </w:rPr>
        <w:t>Pakistani</w:t>
      </w:r>
      <w:r w:rsidR="00132E60">
        <w:rPr>
          <w:rFonts w:ascii="Times New Roman" w:hAnsi="Times New Roman" w:cs="Times New Roman"/>
        </w:rPr>
        <w:t xml:space="preserve">, </w:t>
      </w:r>
      <w:r w:rsidR="004F7DAA" w:rsidRPr="004F7DAA">
        <w:rPr>
          <w:rFonts w:ascii="Times New Roman" w:hAnsi="Times New Roman" w:cs="Times New Roman"/>
        </w:rPr>
        <w:t>other), education (less than five GCSEs</w:t>
      </w:r>
      <w:r w:rsidR="00132E60">
        <w:rPr>
          <w:rFonts w:ascii="Times New Roman" w:hAnsi="Times New Roman" w:cs="Times New Roman"/>
        </w:rPr>
        <w:t xml:space="preserve">, </w:t>
      </w:r>
      <w:r w:rsidR="004F7DAA" w:rsidRPr="004F7DAA">
        <w:rPr>
          <w:rFonts w:ascii="Times New Roman" w:hAnsi="Times New Roman" w:cs="Times New Roman"/>
        </w:rPr>
        <w:t>Five GCSE or A level equivalent</w:t>
      </w:r>
      <w:r w:rsidR="00132E60">
        <w:rPr>
          <w:rFonts w:ascii="Times New Roman" w:hAnsi="Times New Roman" w:cs="Times New Roman"/>
        </w:rPr>
        <w:t xml:space="preserve">, </w:t>
      </w:r>
      <w:r w:rsidR="004F7DAA" w:rsidRPr="004F7DAA">
        <w:rPr>
          <w:rFonts w:ascii="Times New Roman" w:hAnsi="Times New Roman" w:cs="Times New Roman"/>
        </w:rPr>
        <w:t>higher than A level equivalent</w:t>
      </w:r>
      <w:r w:rsidR="00132E60">
        <w:rPr>
          <w:rFonts w:ascii="Times New Roman" w:hAnsi="Times New Roman" w:cs="Times New Roman"/>
        </w:rPr>
        <w:t xml:space="preserve">, </w:t>
      </w:r>
      <w:r w:rsidR="004F7DAA" w:rsidRPr="004F7DAA">
        <w:rPr>
          <w:rFonts w:ascii="Times New Roman" w:hAnsi="Times New Roman" w:cs="Times New Roman"/>
        </w:rPr>
        <w:t xml:space="preserve">other), body mass index, tobacco smoking during </w:t>
      </w:r>
      <w:r w:rsidR="004F7DAA" w:rsidRPr="004F7DAA">
        <w:rPr>
          <w:rFonts w:ascii="Times New Roman" w:hAnsi="Times New Roman" w:cs="Times New Roman"/>
        </w:rPr>
        <w:lastRenderedPageBreak/>
        <w:t>pregnancy (yes</w:t>
      </w:r>
      <w:r w:rsidR="00132E60">
        <w:rPr>
          <w:rFonts w:ascii="Times New Roman" w:hAnsi="Times New Roman" w:cs="Times New Roman"/>
        </w:rPr>
        <w:t xml:space="preserve">, </w:t>
      </w:r>
      <w:r w:rsidR="004F7DAA" w:rsidRPr="004F7DAA">
        <w:rPr>
          <w:rFonts w:ascii="Times New Roman" w:hAnsi="Times New Roman" w:cs="Times New Roman"/>
        </w:rPr>
        <w:t>no), exposure to environmental tobacco smoke during pregnancy (yes</w:t>
      </w:r>
      <w:r w:rsidR="00132E60">
        <w:rPr>
          <w:rFonts w:ascii="Times New Roman" w:hAnsi="Times New Roman" w:cs="Times New Roman"/>
        </w:rPr>
        <w:t xml:space="preserve">, </w:t>
      </w:r>
      <w:r w:rsidR="004F7DAA" w:rsidRPr="004F7DAA">
        <w:rPr>
          <w:rFonts w:ascii="Times New Roman" w:hAnsi="Times New Roman" w:cs="Times New Roman"/>
        </w:rPr>
        <w:t>no), neighbourhood SES, parity (zero</w:t>
      </w:r>
      <w:r w:rsidR="00132E60">
        <w:rPr>
          <w:rFonts w:ascii="Times New Roman" w:hAnsi="Times New Roman" w:cs="Times New Roman"/>
        </w:rPr>
        <w:t xml:space="preserve">, </w:t>
      </w:r>
      <w:r w:rsidR="004F7DAA" w:rsidRPr="004F7DAA">
        <w:rPr>
          <w:rFonts w:ascii="Times New Roman" w:hAnsi="Times New Roman" w:cs="Times New Roman"/>
        </w:rPr>
        <w:t>one</w:t>
      </w:r>
      <w:r w:rsidR="00132E60">
        <w:rPr>
          <w:rFonts w:ascii="Times New Roman" w:hAnsi="Times New Roman" w:cs="Times New Roman"/>
        </w:rPr>
        <w:t xml:space="preserve">, </w:t>
      </w:r>
      <w:r w:rsidR="004F7DAA" w:rsidRPr="004F7DAA">
        <w:rPr>
          <w:rFonts w:ascii="Times New Roman" w:hAnsi="Times New Roman" w:cs="Times New Roman"/>
        </w:rPr>
        <w:t>two or more), alcohol consumption during pregnancy (yes</w:t>
      </w:r>
      <w:r w:rsidR="00132E60">
        <w:rPr>
          <w:rFonts w:ascii="Times New Roman" w:hAnsi="Times New Roman" w:cs="Times New Roman"/>
        </w:rPr>
        <w:t xml:space="preserve">, </w:t>
      </w:r>
      <w:r w:rsidR="004F7DAA" w:rsidRPr="004F7DAA">
        <w:rPr>
          <w:rFonts w:ascii="Times New Roman" w:hAnsi="Times New Roman" w:cs="Times New Roman"/>
        </w:rPr>
        <w:t>no), parity, conception year, and conception season (</w:t>
      </w:r>
      <w:r w:rsidR="00AD2580">
        <w:rPr>
          <w:rFonts w:ascii="Times New Roman" w:hAnsi="Times New Roman" w:cs="Times New Roman"/>
        </w:rPr>
        <w:t>spring</w:t>
      </w:r>
      <w:r w:rsidR="009D5B16">
        <w:rPr>
          <w:rFonts w:ascii="Times New Roman" w:hAnsi="Times New Roman" w:cs="Times New Roman"/>
        </w:rPr>
        <w:t xml:space="preserve">, </w:t>
      </w:r>
      <w:r w:rsidR="004F7DAA" w:rsidRPr="004F7DAA">
        <w:rPr>
          <w:rFonts w:ascii="Times New Roman" w:hAnsi="Times New Roman" w:cs="Times New Roman"/>
        </w:rPr>
        <w:t>summer</w:t>
      </w:r>
      <w:r w:rsidR="00132E60">
        <w:rPr>
          <w:rFonts w:ascii="Times New Roman" w:hAnsi="Times New Roman" w:cs="Times New Roman"/>
        </w:rPr>
        <w:t xml:space="preserve">, </w:t>
      </w:r>
      <w:r w:rsidR="00AD2580">
        <w:rPr>
          <w:rFonts w:ascii="Times New Roman" w:hAnsi="Times New Roman" w:cs="Times New Roman"/>
        </w:rPr>
        <w:t>autumn</w:t>
      </w:r>
      <w:r w:rsidR="009D5B16">
        <w:rPr>
          <w:rFonts w:ascii="Times New Roman" w:hAnsi="Times New Roman" w:cs="Times New Roman"/>
        </w:rPr>
        <w:t xml:space="preserve">, or </w:t>
      </w:r>
      <w:r w:rsidR="004F7DAA" w:rsidRPr="004F7DAA">
        <w:rPr>
          <w:rFonts w:ascii="Times New Roman" w:hAnsi="Times New Roman" w:cs="Times New Roman"/>
        </w:rPr>
        <w:t>winter).</w:t>
      </w:r>
    </w:p>
    <w:p w:rsidR="007136E7" w:rsidRPr="00B223A5" w:rsidRDefault="007136E7">
      <w:pPr>
        <w:pStyle w:val="ListParagraph"/>
        <w:spacing w:after="0"/>
        <w:ind w:left="426"/>
        <w:rPr>
          <w:rFonts w:ascii="Times New Roman" w:hAnsi="Times New Roman" w:cs="Times New Roman"/>
        </w:rPr>
      </w:pPr>
    </w:p>
    <w:p w:rsidR="00354FCA" w:rsidRDefault="004F7DAA">
      <w:pPr>
        <w:spacing w:after="0"/>
        <w:rPr>
          <w:rFonts w:ascii="Times New Roman" w:hAnsi="Times New Roman" w:cs="Times New Roman"/>
        </w:rPr>
      </w:pPr>
      <w:r w:rsidRPr="004F7DAA">
        <w:rPr>
          <w:rFonts w:ascii="Times New Roman" w:hAnsi="Times New Roman" w:cs="Times New Roman"/>
        </w:rPr>
        <w:t xml:space="preserve">We used maternal education as a surrogate measure </w:t>
      </w:r>
      <w:r w:rsidR="003825BE">
        <w:rPr>
          <w:rFonts w:ascii="Times New Roman" w:hAnsi="Times New Roman" w:cs="Times New Roman"/>
        </w:rPr>
        <w:t>of</w:t>
      </w:r>
      <w:r w:rsidRPr="004F7DAA">
        <w:rPr>
          <w:rFonts w:ascii="Times New Roman" w:hAnsi="Times New Roman" w:cs="Times New Roman"/>
        </w:rPr>
        <w:t xml:space="preserve"> individual SES as it has been shown to be a main determinant of pregnancy outcomes that reliably correlates with other measures of SES and has been widely used in perinatal studies</w:t>
      </w:r>
      <w:r w:rsidR="008E51CB">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&lt;EndNote&gt;&lt;Cite&gt;&lt;Author&gt;Woodruff&lt;/Author&gt;&lt;Year&gt;2010&lt;/Year&gt;&lt;RecNum&gt;918&lt;/RecNum&gt;&lt;record&gt;&lt;rec-number&gt;918&lt;/rec-number&gt;&lt;ref-type name="Journal Article"&gt;17&lt;/ref-type&gt;&lt;contributors&gt;&lt;authors&gt;&lt;author&gt;Woodruff, T. J.&lt;/author&gt;&lt;author&gt;Parker, J. D.&lt;/author&gt;&lt;author&gt;Adams, K.&lt;/author&gt;&lt;author&gt;Bell, M. L.&lt;/author&gt;&lt;author&gt;Gehring, U.&lt;/author&gt;&lt;author&gt;Glinianaia, S.&lt;/author&gt;&lt;author&gt;Ha, E. H.&lt;/author&gt;&lt;author&gt;Jalaludin, B.&lt;/author&gt;&lt;author&gt;Slama, R.&lt;/author&gt;&lt;/authors&gt;&lt;/contributors&gt;&lt;titles&gt;&lt;title&gt;International collaboration on air pollution and pregnancy outcomes (ICAPPO)&lt;/title&gt;&lt;secondary-title&gt;Int J Environ Res Public Health&lt;/secondary-title&gt;&lt;/titles&gt;&lt;periodical&gt;&lt;full-title&gt;Int J Environ Res Public Health&lt;/full-title&gt;&lt;/periodical&gt;&lt;pages&gt;2638-2652&lt;/pages&gt;&lt;volume&gt;7&lt;/volume&gt;&lt;number&gt;6&lt;/number&gt;&lt;dates&gt;&lt;year&gt;2010&lt;/year&gt;&lt;/dates&gt;&lt;urls&gt;&lt;/urls&gt;&lt;/record&gt;&lt;/Cite&gt;&lt;/EndNote&gt;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(Woodruff et al. 2010)</w:t>
      </w:r>
      <w:r w:rsidR="00381E2C" w:rsidRPr="004F7DAA">
        <w:rPr>
          <w:rFonts w:ascii="Times New Roman" w:hAnsi="Times New Roman" w:cs="Times New Roman"/>
        </w:rPr>
        <w:fldChar w:fldCharType="end"/>
      </w:r>
      <w:r w:rsidR="008E51CB">
        <w:rPr>
          <w:rFonts w:ascii="Times New Roman" w:hAnsi="Times New Roman" w:cs="Times New Roman"/>
        </w:rPr>
        <w:t>.</w:t>
      </w:r>
      <w:r w:rsidRPr="004F7DAA">
        <w:rPr>
          <w:rFonts w:ascii="Times New Roman" w:hAnsi="Times New Roman" w:cs="Times New Roman"/>
        </w:rPr>
        <w:t xml:space="preserve"> We applied</w:t>
      </w:r>
      <w:r w:rsidR="003825BE">
        <w:rPr>
          <w:rFonts w:ascii="Times New Roman" w:hAnsi="Times New Roman" w:cs="Times New Roman"/>
        </w:rPr>
        <w:t xml:space="preserve"> the</w:t>
      </w:r>
      <w:r w:rsidRPr="004F7DAA">
        <w:rPr>
          <w:rFonts w:ascii="Times New Roman" w:hAnsi="Times New Roman" w:cs="Times New Roman"/>
        </w:rPr>
        <w:t xml:space="preserve"> </w:t>
      </w:r>
      <w:r w:rsidR="00146055">
        <w:rPr>
          <w:rFonts w:ascii="Times New Roman" w:hAnsi="Times New Roman" w:cs="Times New Roman"/>
        </w:rPr>
        <w:t xml:space="preserve">tertiles of the </w:t>
      </w:r>
      <w:r w:rsidRPr="004F7DAA">
        <w:rPr>
          <w:rFonts w:ascii="Times New Roman" w:hAnsi="Times New Roman" w:cs="Times New Roman"/>
        </w:rPr>
        <w:t>Index of Multiple Deprivation 2010 (IMD 2010) at lower level super output area (LSOA) level as an indicator of neighbourhood SES</w:t>
      </w:r>
      <w:r w:rsidR="008E51CB">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&lt;EndNote&gt;&lt;Cite&gt;&lt;Author&gt;McLennan&lt;/Author&gt;&lt;Year&gt;2011&lt;/Year&gt;&lt;RecNum&gt;1323&lt;/RecNum&gt;&lt;record&gt;&lt;rec-number&gt;1323&lt;/rec-number&gt;&lt;ref-type name="Electronic Source"&gt;12&lt;/ref-type&gt;&lt;contributors&gt;&lt;authors&gt;&lt;author&gt;David McLennan &lt;/author&gt;&lt;author&gt;Helen Barnes &lt;/author&gt;&lt;author&gt;Michael Noble&lt;/author&gt;&lt;author&gt;Joanna Davies &lt;/author&gt;&lt;author&gt;Elisabeth Garratt&lt;/author&gt;&lt;/authors&gt;&lt;secondary-authors&gt;&lt;author&gt;Chris Dibben&lt;/author&gt;&lt;/secondary-authors&gt;&lt;/contributors&gt;&lt;titles&gt;&lt;title&gt;The English Indices of Deprivation 2010&lt;/title&gt;&lt;/titles&gt;&lt;volume&gt;2013&lt;/volume&gt;&lt;number&gt;July 2&lt;/number&gt;&lt;dates&gt;&lt;year&gt;2011&lt;/year&gt;&lt;/dates&gt;&lt;pub-location&gt;London&lt;/pub-location&gt;&lt;publisher&gt;Department for Communities and Local Government&lt;/publisher&gt;&lt;urls&gt;&lt;related-urls&gt;&lt;url&gt;https://www.gov.uk/government/uploads/system/uploads/attachment_data/file/6320/1870718.pdf&lt;/url&gt;&lt;/related-urls&gt;&lt;/urls&gt;&lt;/record&gt;&lt;/Cite&gt;&lt;/EndNote&gt;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(McLennan et al. 2011)</w:t>
      </w:r>
      <w:r w:rsidR="00381E2C" w:rsidRPr="004F7DAA">
        <w:rPr>
          <w:rFonts w:ascii="Times New Roman" w:hAnsi="Times New Roman" w:cs="Times New Roman"/>
        </w:rPr>
        <w:fldChar w:fldCharType="end"/>
      </w:r>
      <w:r w:rsidR="008E51CB">
        <w:rPr>
          <w:rFonts w:ascii="Times New Roman" w:hAnsi="Times New Roman" w:cs="Times New Roman"/>
        </w:rPr>
        <w:t>.</w:t>
      </w:r>
      <w:r w:rsidRPr="004F7DAA">
        <w:rPr>
          <w:rFonts w:ascii="Times New Roman" w:hAnsi="Times New Roman" w:cs="Times New Roman"/>
        </w:rPr>
        <w:t xml:space="preserve"> </w:t>
      </w:r>
      <w:r w:rsidR="00AB3295" w:rsidRPr="00AB3295">
        <w:rPr>
          <w:rFonts w:ascii="Times New Roman" w:hAnsi="Times New Roman" w:cs="Times New Roman"/>
        </w:rPr>
        <w:t xml:space="preserve">In UK </w:t>
      </w:r>
      <w:r w:rsidR="00311F7A">
        <w:rPr>
          <w:rFonts w:ascii="Times New Roman" w:hAnsi="Times New Roman" w:cs="Times New Roman"/>
        </w:rPr>
        <w:t xml:space="preserve">the </w:t>
      </w:r>
      <w:r w:rsidR="00AB3295" w:rsidRPr="00AB3295">
        <w:rPr>
          <w:rFonts w:ascii="Times New Roman" w:hAnsi="Times New Roman" w:cs="Times New Roman"/>
        </w:rPr>
        <w:t xml:space="preserve">census, Output Areas are the lowest geographical level for reporting census statistics. LSOA are generated by merging Output Areas (typically four to six Output Areas) while taking measures of proximity and social homogeneity into account. For the </w:t>
      </w:r>
      <w:r w:rsidR="00311F7A">
        <w:rPr>
          <w:rFonts w:ascii="Times New Roman" w:hAnsi="Times New Roman" w:cs="Times New Roman"/>
        </w:rPr>
        <w:t>Census of</w:t>
      </w:r>
      <w:r w:rsidR="00AB3295" w:rsidRPr="00AB3295">
        <w:rPr>
          <w:rFonts w:ascii="Times New Roman" w:hAnsi="Times New Roman" w:cs="Times New Roman"/>
        </w:rPr>
        <w:t xml:space="preserve"> 2011, LSOAs in England and Wales on average had 672 households with a population of 1614 </w:t>
      </w:r>
      <w:r w:rsidR="00381E2C" w:rsidRPr="00AB3295">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&lt;EndNote&gt;&lt;Cite&gt;&lt;Author&gt;Office for National Statistics&lt;/Author&gt;&lt;Year&gt;2012&lt;/Year&gt;&lt;RecNum&gt;1324&lt;/RecNum&gt;&lt;record&gt;&lt;rec-number&gt;1324&lt;/rec-number&gt;&lt;ref-type name="Electronic Source"&gt;12&lt;/ref-type&gt;&lt;contributors&gt;&lt;authors&gt;&lt;author&gt;Office for National Statistics,&lt;/author&gt;&lt;/authors&gt;&lt;/contributors&gt;&lt;titles&gt;&lt;title&gt;2011 Census, Population and Household Estimates for Small Areas in England and Wales&lt;/title&gt;&lt;/titles&gt;&lt;volume&gt;2013&lt;/volume&gt;&lt;number&gt;July 2&lt;/number&gt;&lt;dates&gt;&lt;year&gt;2012&lt;/year&gt;&lt;/dates&gt;&lt;pub-location&gt;Newport &lt;/pub-location&gt;&lt;publisher&gt;Office for National Statistics &lt;/publisher&gt;&lt;urls&gt;&lt;related-urls&gt;&lt;url&gt;http://www.ons.gov.uk/ons/dcp171778_288463.pdf&lt;/url&gt;&lt;/related-urls&gt;&lt;/urls&gt;&lt;/record&gt;&lt;/Cite&gt;&lt;/EndNote&gt;</w:instrText>
      </w:r>
      <w:r w:rsidR="00381E2C" w:rsidRPr="00AB3295">
        <w:rPr>
          <w:rFonts w:ascii="Times New Roman" w:hAnsi="Times New Roman" w:cs="Times New Roman"/>
        </w:rPr>
        <w:fldChar w:fldCharType="separate"/>
      </w:r>
      <w:r w:rsidR="00AB3295" w:rsidRPr="00AB3295">
        <w:rPr>
          <w:rFonts w:ascii="Times New Roman" w:hAnsi="Times New Roman" w:cs="Times New Roman"/>
        </w:rPr>
        <w:t>(Office for National Statistics 2012)</w:t>
      </w:r>
      <w:r w:rsidR="00381E2C" w:rsidRPr="00AB3295">
        <w:rPr>
          <w:rFonts w:ascii="Times New Roman" w:hAnsi="Times New Roman" w:cs="Times New Roman"/>
        </w:rPr>
        <w:fldChar w:fldCharType="end"/>
      </w:r>
      <w:r w:rsidR="00AB3295" w:rsidRPr="00AB3295">
        <w:rPr>
          <w:rFonts w:ascii="Times New Roman" w:hAnsi="Times New Roman" w:cs="Times New Roman"/>
        </w:rPr>
        <w:t xml:space="preserve">. </w:t>
      </w:r>
      <w:r w:rsidRPr="004F7DAA">
        <w:rPr>
          <w:rFonts w:ascii="Times New Roman" w:hAnsi="Times New Roman" w:cs="Times New Roman"/>
        </w:rPr>
        <w:t>IMD is based on seven domains, namely income deprivation, employment deprivation, health deprivation and disability, education skills and training deprivation, barriers to housing and services, living environment deprivation, and crime</w:t>
      </w:r>
      <w:r w:rsidR="008E51CB">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&lt;EndNote&gt;&lt;Cite&gt;&lt;Author&gt;McLennan&lt;/Author&gt;&lt;Year&gt;2011&lt;/Year&gt;&lt;RecNum&gt;1323&lt;/RecNum&gt;&lt;record&gt;&lt;rec-number&gt;1323&lt;/rec-number&gt;&lt;ref-type name="Electronic Source"&gt;12&lt;/ref-type&gt;&lt;contributors&gt;&lt;authors&gt;&lt;author&gt;David McLennan &lt;/author&gt;&lt;author&gt;Helen Barnes &lt;/author&gt;&lt;author&gt;Michael Noble&lt;/author&gt;&lt;author&gt;Joanna Davies &lt;/author&gt;&lt;author&gt;Elisabeth Garratt&lt;/author&gt;&lt;/authors&gt;&lt;secondary-authors&gt;&lt;author&gt;Chris Dibben&lt;/author&gt;&lt;/secondary-authors&gt;&lt;/contributors&gt;&lt;titles&gt;&lt;title&gt;The English Indices of Deprivation 2010&lt;/title&gt;&lt;/titles&gt;&lt;volume&gt;2013&lt;/volume&gt;&lt;number&gt;July 2&lt;/number&gt;&lt;dates&gt;&lt;year&gt;2011&lt;/year&gt;&lt;/dates&gt;&lt;pub-location&gt;London&lt;/pub-location&gt;&lt;publisher&gt;Department for Communities and Local Government&lt;/publisher&gt;&lt;urls&gt;&lt;related-urls&gt;&lt;url&gt;https://www.gov.uk/government/uploads/system/uploads/attachment_data/file/6320/1870718.pdf&lt;/url&gt;&lt;/related-urls&gt;&lt;/urls&gt;&lt;/record&gt;&lt;/Cite&gt;&lt;/EndNote&gt;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(McLennan et al. 2011)</w:t>
      </w:r>
      <w:r w:rsidR="00381E2C" w:rsidRPr="004F7DAA">
        <w:rPr>
          <w:rFonts w:ascii="Times New Roman" w:hAnsi="Times New Roman" w:cs="Times New Roman"/>
        </w:rPr>
        <w:fldChar w:fldCharType="end"/>
      </w:r>
      <w:r w:rsidR="008E51CB">
        <w:rPr>
          <w:rFonts w:ascii="Times New Roman" w:hAnsi="Times New Roman" w:cs="Times New Roman"/>
        </w:rPr>
        <w:t>.</w:t>
      </w:r>
      <w:r w:rsidRPr="004F7DAA">
        <w:rPr>
          <w:rFonts w:ascii="Times New Roman" w:hAnsi="Times New Roman" w:cs="Times New Roman"/>
        </w:rPr>
        <w:t xml:space="preserve"> The score for each domain is calculated from a number of indicators (38 indicators in total) and the IMD score is then abstracted by weighted aggregation of these domain scores</w:t>
      </w:r>
      <w:r w:rsidR="008E51CB">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&lt;EndNote&gt;&lt;Cite&gt;&lt;Author&gt;McLennan&lt;/Author&gt;&lt;Year&gt;2011&lt;/Year&gt;&lt;RecNum&gt;1323&lt;/RecNum&gt;&lt;record&gt;&lt;rec-number&gt;1323&lt;/rec-number&gt;&lt;ref-type name="Electronic Source"&gt;12&lt;/ref-type&gt;&lt;contributors&gt;&lt;authors&gt;&lt;author&gt;David McLennan &lt;/author&gt;&lt;author&gt;Helen Barnes &lt;/author&gt;&lt;author&gt;Michael Noble&lt;/author&gt;&lt;author&gt;Joanna Davies &lt;/author&gt;&lt;author&gt;Elisabeth Garratt&lt;/author&gt;&lt;/authors&gt;&lt;secondary-authors&gt;&lt;author&gt;Chris Dibben&lt;/author&gt;&lt;/secondary-authors&gt;&lt;/contributors&gt;&lt;titles&gt;&lt;title&gt;The English Indices of Deprivation 2010&lt;/title&gt;&lt;/titles&gt;&lt;volume&gt;2013&lt;/volume&gt;&lt;number&gt;July 2&lt;/number&gt;&lt;dates&gt;&lt;year&gt;2011&lt;/year&gt;&lt;/dates&gt;&lt;pub-location&gt;London&lt;/pub-location&gt;&lt;publisher&gt;Department for Communities and Local Government&lt;/publisher&gt;&lt;urls&gt;&lt;related-urls&gt;&lt;url&gt;https://www.gov.uk/government/uploads/system/uploads/attachment_data/file/6320/1870718.pdf&lt;/url&gt;&lt;/related-urls&gt;&lt;/urls&gt;&lt;/record&gt;&lt;/Cite&gt;&lt;/EndNote&gt;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(McLennan et al. 2011)</w:t>
      </w:r>
      <w:r w:rsidR="00381E2C" w:rsidRPr="004F7DAA">
        <w:rPr>
          <w:rFonts w:ascii="Times New Roman" w:hAnsi="Times New Roman" w:cs="Times New Roman"/>
        </w:rPr>
        <w:fldChar w:fldCharType="end"/>
      </w:r>
      <w:r w:rsidR="008E51CB">
        <w:rPr>
          <w:rFonts w:ascii="Times New Roman" w:hAnsi="Times New Roman" w:cs="Times New Roman"/>
        </w:rPr>
        <w:t>.</w:t>
      </w:r>
      <w:r w:rsidRPr="004F7DAA">
        <w:rPr>
          <w:rFonts w:ascii="Times New Roman" w:hAnsi="Times New Roman" w:cs="Times New Roman"/>
        </w:rPr>
        <w:t xml:space="preserve"> </w:t>
      </w:r>
    </w:p>
    <w:p w:rsidR="007136E7" w:rsidRPr="00B223A5" w:rsidRDefault="007136E7">
      <w:pPr>
        <w:spacing w:after="0"/>
        <w:rPr>
          <w:rFonts w:ascii="Times New Roman" w:hAnsi="Times New Roman" w:cs="Times New Roman"/>
        </w:rPr>
      </w:pPr>
    </w:p>
    <w:p w:rsidR="007136E7" w:rsidRPr="00B223A5" w:rsidRDefault="004F7DAA">
      <w:pPr>
        <w:spacing w:after="0"/>
        <w:rPr>
          <w:rFonts w:ascii="Times New Roman" w:hAnsi="Times New Roman" w:cs="Times New Roman"/>
        </w:rPr>
      </w:pPr>
      <w:r w:rsidRPr="004F7DAA">
        <w:rPr>
          <w:rFonts w:ascii="Times New Roman" w:hAnsi="Times New Roman" w:cs="Times New Roman"/>
        </w:rPr>
        <w:t>To facilitate the comparison of estimated associations for the surrounding greenness across different buffer sizes, we reported the results for one inter-quartile range (IQR) increase in average NDVI in each buffer size based on all study populati</w:t>
      </w:r>
      <w:r w:rsidR="00F71B45">
        <w:rPr>
          <w:rFonts w:ascii="Times New Roman" w:hAnsi="Times New Roman" w:cs="Times New Roman"/>
        </w:rPr>
        <w:t>on</w:t>
      </w:r>
      <w:r w:rsidR="00503467">
        <w:rPr>
          <w:rFonts w:ascii="Times New Roman" w:hAnsi="Times New Roman" w:cs="Times New Roman"/>
        </w:rPr>
        <w:t>.</w:t>
      </w:r>
    </w:p>
    <w:p w:rsidR="007136E7" w:rsidRPr="00B223A5" w:rsidRDefault="007136E7">
      <w:pPr>
        <w:spacing w:after="0"/>
        <w:rPr>
          <w:rFonts w:ascii="Times New Roman" w:hAnsi="Times New Roman" w:cs="Times New Roman"/>
          <w:b/>
          <w:sz w:val="22"/>
        </w:rPr>
      </w:pPr>
    </w:p>
    <w:p w:rsidR="00146055" w:rsidRPr="00F03138" w:rsidRDefault="00F03138" w:rsidP="00A843C4">
      <w:pPr>
        <w:spacing w:after="0"/>
        <w:rPr>
          <w:rFonts w:ascii="Times New Roman" w:hAnsi="Times New Roman" w:cs="Times New Roman"/>
          <w:bCs/>
          <w:iCs/>
        </w:rPr>
      </w:pPr>
      <w:r w:rsidRPr="00F03138">
        <w:rPr>
          <w:rFonts w:ascii="Times New Roman" w:hAnsi="Times New Roman" w:cs="Times New Roman"/>
          <w:bCs/>
          <w:iCs/>
        </w:rPr>
        <w:t xml:space="preserve">2.4.2. </w:t>
      </w:r>
      <w:r w:rsidR="00775777" w:rsidRPr="00F03138">
        <w:rPr>
          <w:rFonts w:ascii="Times New Roman" w:hAnsi="Times New Roman" w:cs="Times New Roman"/>
          <w:bCs/>
          <w:iCs/>
        </w:rPr>
        <w:t>Effect modification by</w:t>
      </w:r>
      <w:r w:rsidR="004F7DAA" w:rsidRPr="00F03138">
        <w:rPr>
          <w:rFonts w:ascii="Times New Roman" w:hAnsi="Times New Roman" w:cs="Times New Roman"/>
          <w:bCs/>
          <w:iCs/>
        </w:rPr>
        <w:t xml:space="preserve"> ethnicity, individual, and neighbourhood SES</w:t>
      </w:r>
    </w:p>
    <w:p w:rsidR="007136E7" w:rsidRPr="00E872CD" w:rsidRDefault="00146055">
      <w:pPr>
        <w:spacing w:after="0"/>
        <w:rPr>
          <w:rFonts w:ascii="Times New Roman" w:hAnsi="Times New Roman" w:cs="Times New Roman"/>
        </w:rPr>
      </w:pPr>
      <w:r>
        <w:rPr>
          <w:rFonts w:ascii="Times New Roman" w:hAnsi="Times New Roman" w:cs="Times New Roman"/>
        </w:rPr>
        <w:t>We</w:t>
      </w:r>
      <w:r w:rsidR="007C0FAB" w:rsidRPr="002E3245">
        <w:rPr>
          <w:rFonts w:ascii="Times New Roman" w:hAnsi="Times New Roman" w:cs="Times New Roman"/>
        </w:rPr>
        <w:t xml:space="preserve"> first checked the statistical significance of the multiplicative interaction term of residential surrounding greenness with ethnicity, maternal education, and tertiles of IMD (one at a time) by comparing fully-adjusted models with and without interaction term using likelihood ratio test. We then stratified the fully-adjusted models </w:t>
      </w:r>
      <w:r w:rsidR="001A5A11">
        <w:rPr>
          <w:rFonts w:ascii="Times New Roman" w:hAnsi="Times New Roman" w:cs="Times New Roman"/>
        </w:rPr>
        <w:t xml:space="preserve">(as described in 2.4.1) </w:t>
      </w:r>
      <w:r w:rsidR="007C0FAB" w:rsidRPr="002E3245">
        <w:rPr>
          <w:rFonts w:ascii="Times New Roman" w:hAnsi="Times New Roman" w:cs="Times New Roman"/>
        </w:rPr>
        <w:t>separately by ethnicity, maternal education, and neighbourhood SE</w:t>
      </w:r>
      <w:r w:rsidR="00F71B45">
        <w:rPr>
          <w:rFonts w:ascii="Times New Roman" w:hAnsi="Times New Roman" w:cs="Times New Roman"/>
        </w:rPr>
        <w:t>S</w:t>
      </w:r>
      <w:r w:rsidR="00682201">
        <w:rPr>
          <w:rFonts w:ascii="Times New Roman" w:hAnsi="Times New Roman" w:cs="Times New Roman"/>
        </w:rPr>
        <w:t>.</w:t>
      </w:r>
    </w:p>
    <w:p w:rsidR="007136E7" w:rsidRPr="00B223A5" w:rsidRDefault="007136E7">
      <w:pPr>
        <w:spacing w:after="0"/>
        <w:rPr>
          <w:rFonts w:ascii="Times New Roman" w:hAnsi="Times New Roman" w:cs="Times New Roman"/>
        </w:rPr>
      </w:pPr>
    </w:p>
    <w:p w:rsidR="007136E7" w:rsidRPr="001A5A11" w:rsidRDefault="001A5A11" w:rsidP="009F12C2">
      <w:pPr>
        <w:spacing w:after="0"/>
        <w:rPr>
          <w:rFonts w:ascii="Times New Roman" w:hAnsi="Times New Roman" w:cs="Times New Roman"/>
          <w:iCs/>
        </w:rPr>
      </w:pPr>
      <w:r w:rsidRPr="001A5A11">
        <w:rPr>
          <w:rFonts w:ascii="Times New Roman" w:hAnsi="Times New Roman" w:cs="Times New Roman"/>
          <w:iCs/>
        </w:rPr>
        <w:t xml:space="preserve">2.4.3. </w:t>
      </w:r>
      <w:r w:rsidR="009F12C2" w:rsidRPr="009F12C2">
        <w:rPr>
          <w:rFonts w:ascii="Times New Roman" w:hAnsi="Times New Roman" w:cs="Times New Roman"/>
          <w:iCs/>
        </w:rPr>
        <w:t>Associations with access to green space</w:t>
      </w:r>
    </w:p>
    <w:p w:rsidR="004470A2" w:rsidRDefault="00503467">
      <w:pPr>
        <w:spacing w:after="0"/>
        <w:rPr>
          <w:rFonts w:ascii="Times New Roman" w:hAnsi="Times New Roman" w:cs="Times New Roman"/>
        </w:rPr>
      </w:pPr>
      <w:r>
        <w:rPr>
          <w:rFonts w:ascii="Times New Roman" w:hAnsi="Times New Roman" w:cs="Times New Roman"/>
        </w:rPr>
        <w:t>W</w:t>
      </w:r>
      <w:r w:rsidR="004F7DAA" w:rsidRPr="004F7DAA">
        <w:rPr>
          <w:rFonts w:ascii="Times New Roman" w:hAnsi="Times New Roman" w:cs="Times New Roman"/>
        </w:rPr>
        <w:t xml:space="preserve">e explored the association </w:t>
      </w:r>
      <w:r w:rsidR="005B004C">
        <w:rPr>
          <w:rFonts w:ascii="Times New Roman" w:hAnsi="Times New Roman" w:cs="Times New Roman"/>
        </w:rPr>
        <w:t xml:space="preserve">between residential </w:t>
      </w:r>
      <w:r w:rsidR="00682201">
        <w:rPr>
          <w:rFonts w:ascii="Times New Roman" w:hAnsi="Times New Roman" w:cs="Times New Roman"/>
        </w:rPr>
        <w:t xml:space="preserve">proximity </w:t>
      </w:r>
      <w:r w:rsidR="005B004C">
        <w:rPr>
          <w:rFonts w:ascii="Times New Roman" w:hAnsi="Times New Roman" w:cs="Times New Roman"/>
        </w:rPr>
        <w:t>to</w:t>
      </w:r>
      <w:r w:rsidR="004F7DAA" w:rsidRPr="004F7DAA">
        <w:rPr>
          <w:rFonts w:ascii="Times New Roman" w:hAnsi="Times New Roman" w:cs="Times New Roman"/>
        </w:rPr>
        <w:t xml:space="preserve"> green spaces (a surrogate for access to green spaces</w:t>
      </w:r>
      <w:r w:rsidR="008E51CB">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&lt;EndNote&gt;&lt;Cite&gt;&lt;Author&gt;Expert Group on the urban environment&lt;/Author&gt;&lt;Year&gt;2001&lt;/Year&gt;&lt;RecNum&gt;1246&lt;/RecNum&gt;&lt;record&gt;&lt;rec-number&gt;1246&lt;/rec-number&gt;&lt;ref-type name="Electronic Source"&gt;12&lt;/ref-type&gt;&lt;contributors&gt;&lt;authors&gt;&lt;author&gt;Expert Group on the urban environment,&lt;/author&gt;&lt;/authors&gt;&lt;/contributors&gt;&lt;titles&gt;&lt;title&gt;Towards a Local Sustainability Profile - European Common Indicators&lt;/title&gt;&lt;/titles&gt;&lt;volume&gt;2013&lt;/volume&gt;&lt;number&gt;January 7&lt;/number&gt;&lt;dates&gt;&lt;year&gt;2001&lt;/year&gt;&lt;/dates&gt;&lt;pub-location&gt;Luxembourg&lt;/pub-location&gt;&lt;publisher&gt;Office for Official Publications of the European Communities&lt;/publisher&gt;&lt;urls&gt;&lt;related-urls&gt;&lt;url&gt;http://ec.europa.eu/environment/urban/pdf/local_sustainability_en.pdf&lt;/url&gt;&lt;/related-urls&gt;&lt;pdf-urls&gt;&lt;url&gt;http://ec.europa.eu/environment/urban/pdf/local_sustainability_en.pdf&lt;/url&gt;&lt;/pdf-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(Expert Group on the urban environment 2001)</w:t>
      </w:r>
      <w:r w:rsidR="00381E2C" w:rsidRPr="004F7DAA">
        <w:rPr>
          <w:rFonts w:ascii="Times New Roman" w:hAnsi="Times New Roman" w:cs="Times New Roman"/>
        </w:rPr>
        <w:fldChar w:fldCharType="end"/>
      </w:r>
      <w:r w:rsidR="004F7DAA" w:rsidRPr="004F7DAA">
        <w:rPr>
          <w:rFonts w:ascii="Times New Roman" w:hAnsi="Times New Roman" w:cs="Times New Roman"/>
        </w:rPr>
        <w:t xml:space="preserve">) </w:t>
      </w:r>
      <w:r w:rsidR="005B004C">
        <w:rPr>
          <w:rFonts w:ascii="Times New Roman" w:hAnsi="Times New Roman" w:cs="Times New Roman"/>
        </w:rPr>
        <w:t>and</w:t>
      </w:r>
      <w:r w:rsidR="004F7DAA" w:rsidRPr="004F7DAA">
        <w:rPr>
          <w:rFonts w:ascii="Times New Roman" w:hAnsi="Times New Roman" w:cs="Times New Roman"/>
        </w:rPr>
        <w:t xml:space="preserve"> birth weight. According to the European Commission recommendation for access to green spaces we defined residential proximity to green spaces as living within 30</w:t>
      </w:r>
      <w:r w:rsidR="00A51F1F">
        <w:rPr>
          <w:rFonts w:ascii="Times New Roman" w:hAnsi="Times New Roman" w:cs="Times New Roman"/>
        </w:rPr>
        <w:t>0 m</w:t>
      </w:r>
      <w:r w:rsidR="004F7DAA" w:rsidRPr="004F7DAA">
        <w:rPr>
          <w:rFonts w:ascii="Times New Roman" w:hAnsi="Times New Roman" w:cs="Times New Roman"/>
        </w:rPr>
        <w:t xml:space="preserve"> of a green space with an area of equal or more than 500</w:t>
      </w:r>
      <w:r w:rsidR="00A51F1F">
        <w:rPr>
          <w:rFonts w:ascii="Times New Roman" w:hAnsi="Times New Roman" w:cs="Times New Roman"/>
        </w:rPr>
        <w:t>0 m</w:t>
      </w:r>
      <w:r w:rsidR="004F7DAA" w:rsidRPr="004F7DAA">
        <w:rPr>
          <w:rFonts w:ascii="Times New Roman" w:hAnsi="Times New Roman" w:cs="Times New Roman"/>
          <w:vertAlign w:val="superscript"/>
        </w:rPr>
        <w:t>2</w:t>
      </w:r>
      <w:r w:rsidR="008E51CB">
        <w:rPr>
          <w:rFonts w:ascii="Times New Roman" w:hAnsi="Times New Roman" w:cs="Times New Roman"/>
        </w:rPr>
        <w:t xml:space="preserve"> </w:t>
      </w:r>
      <w:r w:rsidR="00381E2C" w:rsidRPr="004F7DAA">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&lt;EndNote&gt;&lt;Cite&gt;&lt;Author&gt;Expert Group on the urban environment&lt;/Author&gt;&lt;Year&gt;2001&lt;/Year&gt;&lt;RecNum&gt;1246&lt;/RecNum&gt;&lt;record&gt;&lt;rec-number&gt;1246&lt;/rec-number&gt;&lt;ref-type name="Electronic Source"&gt;12&lt;/ref-type&gt;&lt;contributors&gt;&lt;authors&gt;&lt;author&gt;Expert Group on the urban environment,&lt;/author&gt;&lt;/authors&gt;&lt;/contributors&gt;&lt;titles&gt;&lt;title&gt;Towards a Local Sustainability Profile - European Common Indicators&lt;/title&gt;&lt;/titles&gt;&lt;volume&gt;2013&lt;/volume&gt;&lt;number&gt;January 7&lt;/number&gt;&lt;dates&gt;&lt;year&gt;2001&lt;/year&gt;&lt;/dates&gt;&lt;pub-location&gt;Luxembourg&lt;/pub-location&gt;&lt;publisher&gt;Office for Official Publications of the European Communities&lt;/publisher&gt;&lt;urls&gt;&lt;related-urls&gt;&lt;url&gt;http://ec.europa.eu/environment/urban/pdf/local_sustainability_en.pdf&lt;/url&gt;&lt;/related-urls&gt;&lt;pdf-urls&gt;&lt;url&gt;http://ec.europa.eu/environment/urban/pdf/local_sustainability_en.pdf&lt;/url&gt;&lt;/pdf-urls&gt;&lt;/urls&gt;&lt;/record&gt;&lt;/Cite&gt;&lt;/EndNote&gt;</w:instrText>
      </w:r>
      <w:r w:rsidR="00381E2C" w:rsidRPr="004F7DAA">
        <w:rPr>
          <w:rFonts w:ascii="Times New Roman" w:hAnsi="Times New Roman" w:cs="Times New Roman"/>
        </w:rPr>
        <w:fldChar w:fldCharType="separate"/>
      </w:r>
      <w:r w:rsidR="00B4416E">
        <w:rPr>
          <w:rFonts w:ascii="Times New Roman" w:hAnsi="Times New Roman" w:cs="Times New Roman"/>
        </w:rPr>
        <w:t>(Expert Group on the urban environment 2001)</w:t>
      </w:r>
      <w:r w:rsidR="00381E2C" w:rsidRPr="004F7DAA">
        <w:rPr>
          <w:rFonts w:ascii="Times New Roman" w:hAnsi="Times New Roman" w:cs="Times New Roman"/>
        </w:rPr>
        <w:fldChar w:fldCharType="end"/>
      </w:r>
      <w:r w:rsidR="008E51CB">
        <w:rPr>
          <w:rFonts w:ascii="Times New Roman" w:hAnsi="Times New Roman" w:cs="Times New Roman"/>
        </w:rPr>
        <w:t>.</w:t>
      </w:r>
      <w:r w:rsidR="004F7DAA" w:rsidRPr="004F7DAA">
        <w:rPr>
          <w:rFonts w:ascii="Times New Roman" w:hAnsi="Times New Roman" w:cs="Times New Roman"/>
        </w:rPr>
        <w:t xml:space="preserve"> We used </w:t>
      </w:r>
      <w:r w:rsidR="00AD2580" w:rsidRPr="00AD2580">
        <w:rPr>
          <w:rFonts w:ascii="Times New Roman" w:hAnsi="Times New Roman" w:cs="Times New Roman"/>
        </w:rPr>
        <w:t xml:space="preserve">Urban Atlas </w:t>
      </w:r>
      <w:r w:rsidR="00AD2580">
        <w:rPr>
          <w:rFonts w:ascii="Times New Roman" w:hAnsi="Times New Roman" w:cs="Times New Roman"/>
        </w:rPr>
        <w:t>(</w:t>
      </w:r>
      <w:r w:rsidR="00AD2580" w:rsidRPr="00AD2580">
        <w:rPr>
          <w:rFonts w:ascii="Times New Roman" w:hAnsi="Times New Roman" w:cs="Times New Roman"/>
        </w:rPr>
        <w:t>UK201L-Leeds, 2006</w:t>
      </w:r>
      <w:r w:rsidR="00AD2580">
        <w:rPr>
          <w:rFonts w:ascii="Times New Roman" w:hAnsi="Times New Roman" w:cs="Times New Roman"/>
        </w:rPr>
        <w:t>)</w:t>
      </w:r>
      <w:r w:rsidR="00AD2580" w:rsidRPr="00AD2580">
        <w:rPr>
          <w:rFonts w:ascii="Times New Roman" w:hAnsi="Times New Roman" w:cs="Times New Roman"/>
        </w:rPr>
        <w:t xml:space="preserve"> </w:t>
      </w:r>
      <w:r w:rsidR="004F7DAA" w:rsidRPr="004F7DAA">
        <w:rPr>
          <w:rFonts w:ascii="Times New Roman" w:hAnsi="Times New Roman" w:cs="Times New Roman"/>
        </w:rPr>
        <w:t>map</w:t>
      </w:r>
      <w:r w:rsidR="008E51CB">
        <w:rPr>
          <w:rFonts w:ascii="Times New Roman" w:hAnsi="Times New Roman" w:cs="Times New Roman"/>
        </w:rPr>
        <w:t xml:space="preserve"> </w:t>
      </w:r>
      <w:r w:rsidR="00381E2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&lt;EndNote&gt;&lt;Cite&gt;&lt;Author&gt;European Environment Agency&lt;/Author&gt;&lt;Year&gt;2007&lt;/Year&gt;&lt;RecNum&gt;1245&lt;/RecNum&gt;&lt;record&gt;&lt;rec-number&gt;1245&lt;/rec-number&gt;&lt;ref-type name="Electronic Source"&gt;12&lt;/ref-type&gt;&lt;contributors&gt;&lt;authors&gt;&lt;author&gt;European Environment Agency,&lt;/author&gt;&lt;/authors&gt;&lt;/contributors&gt;&lt;titles&gt;&lt;title&gt;Urban Atlas&lt;/title&gt;&lt;/titles&gt;&lt;volume&gt;2013&lt;/volume&gt;&lt;number&gt;February 10&lt;/number&gt;&lt;dates&gt;&lt;year&gt;2007&lt;/year&gt;&lt;/dates&gt;&lt;pub-location&gt;Copenhagen&lt;/pub-location&gt;&lt;publisher&gt;European Environment Agency,&lt;/publisher&gt;&lt;urls&gt;&lt;related-urls&gt;&lt;url&gt;http://www.eea.europa.eu/data-and-maps/data/urban-atlas&lt;/url&gt;&lt;/related-urls&gt;&lt;pdf-urls&gt;&lt;url&gt;http://www.eea.europa.eu/data-and-maps/data/urban-atlas&lt;/url&gt;&lt;/pdf-urls&gt;&lt;/urls&gt;&lt;/record&gt;&lt;/Cite&gt;&lt;/EndNote&gt;</w:instrText>
      </w:r>
      <w:r w:rsidR="00381E2C">
        <w:rPr>
          <w:rFonts w:ascii="Times New Roman" w:hAnsi="Times New Roman" w:cs="Times New Roman"/>
        </w:rPr>
        <w:fldChar w:fldCharType="separate"/>
      </w:r>
      <w:r w:rsidR="00B4416E">
        <w:rPr>
          <w:rFonts w:ascii="Times New Roman" w:hAnsi="Times New Roman" w:cs="Times New Roman"/>
        </w:rPr>
        <w:t>(European Environment Agency 2007)</w:t>
      </w:r>
      <w:r w:rsidR="00381E2C">
        <w:rPr>
          <w:rFonts w:ascii="Times New Roman" w:hAnsi="Times New Roman" w:cs="Times New Roman"/>
        </w:rPr>
        <w:fldChar w:fldCharType="end"/>
      </w:r>
      <w:r w:rsidR="004F7DAA" w:rsidRPr="004F7DAA">
        <w:rPr>
          <w:rFonts w:ascii="Times New Roman" w:hAnsi="Times New Roman" w:cs="Times New Roman"/>
        </w:rPr>
        <w:t xml:space="preserve"> to identify green spaces</w:t>
      </w:r>
      <w:r w:rsidR="00EC05A3">
        <w:rPr>
          <w:rFonts w:ascii="Times New Roman" w:hAnsi="Times New Roman" w:cs="Times New Roman"/>
        </w:rPr>
        <w:t xml:space="preserve"> </w:t>
      </w:r>
      <w:r w:rsidR="00EC05A3" w:rsidRPr="004F7DAA">
        <w:rPr>
          <w:rFonts w:ascii="Times New Roman" w:hAnsi="Times New Roman" w:cs="Times New Roman"/>
        </w:rPr>
        <w:t>with an area of equal or more than 500</w:t>
      </w:r>
      <w:r w:rsidR="00EC05A3">
        <w:rPr>
          <w:rFonts w:ascii="Times New Roman" w:hAnsi="Times New Roman" w:cs="Times New Roman"/>
        </w:rPr>
        <w:t>0 m</w:t>
      </w:r>
      <w:r w:rsidR="00EC05A3" w:rsidRPr="004F7DAA">
        <w:rPr>
          <w:rFonts w:ascii="Times New Roman" w:hAnsi="Times New Roman" w:cs="Times New Roman"/>
          <w:vertAlign w:val="superscript"/>
        </w:rPr>
        <w:t>2</w:t>
      </w:r>
      <w:r w:rsidR="004F7DAA" w:rsidRPr="004F7DAA">
        <w:rPr>
          <w:rFonts w:ascii="Times New Roman" w:hAnsi="Times New Roman" w:cs="Times New Roman"/>
        </w:rPr>
        <w:t xml:space="preserve">. </w:t>
      </w:r>
      <w:r w:rsidR="005C4583" w:rsidRPr="005C4583">
        <w:rPr>
          <w:rFonts w:ascii="Times New Roman" w:hAnsi="Times New Roman" w:cs="Times New Roman"/>
        </w:rPr>
        <w:t>The satellite images used for developing Urban Atlas maps had a resolution of 1:12000 and the map the maps present elements with areas ≥ 2 500 m</w:t>
      </w:r>
      <w:r w:rsidR="005C4583" w:rsidRPr="005C4583">
        <w:rPr>
          <w:rFonts w:ascii="Times New Roman" w:hAnsi="Times New Roman" w:cs="Times New Roman"/>
          <w:vertAlign w:val="superscript"/>
        </w:rPr>
        <w:t>2</w:t>
      </w:r>
      <w:r w:rsidR="005C4583" w:rsidRPr="005C4583">
        <w:rPr>
          <w:rFonts w:ascii="Times New Roman" w:hAnsi="Times New Roman" w:cs="Times New Roman"/>
        </w:rPr>
        <w:t>.</w:t>
      </w:r>
      <w:r w:rsidR="005C4583">
        <w:rPr>
          <w:rFonts w:ascii="Times New Roman" w:hAnsi="Times New Roman" w:cs="Times New Roman"/>
        </w:rPr>
        <w:t xml:space="preserve"> </w:t>
      </w:r>
      <w:r w:rsidR="004F7DAA" w:rsidRPr="004F7DAA">
        <w:rPr>
          <w:rFonts w:ascii="Times New Roman" w:hAnsi="Times New Roman" w:cs="Times New Roman"/>
        </w:rPr>
        <w:t>We repeated the main effect analysis</w:t>
      </w:r>
      <w:r w:rsidR="001A5A11">
        <w:rPr>
          <w:rFonts w:ascii="Times New Roman" w:hAnsi="Times New Roman" w:cs="Times New Roman"/>
        </w:rPr>
        <w:t xml:space="preserve"> (as described in 2.4.1)</w:t>
      </w:r>
      <w:r w:rsidR="004F7DAA" w:rsidRPr="004F7DAA">
        <w:rPr>
          <w:rFonts w:ascii="Times New Roman" w:hAnsi="Times New Roman" w:cs="Times New Roman"/>
        </w:rPr>
        <w:t xml:space="preserve"> using the indicator of residential proximity to a green space as the exposure variable instead of residential surrounding greenness.</w:t>
      </w:r>
    </w:p>
    <w:p w:rsidR="003D0DAF" w:rsidRDefault="003D0DAF">
      <w:pPr>
        <w:spacing w:after="0"/>
        <w:rPr>
          <w:rFonts w:ascii="Times New Roman" w:hAnsi="Times New Roman" w:cs="Times New Roman"/>
          <w:b/>
          <w:bCs/>
        </w:rPr>
      </w:pPr>
    </w:p>
    <w:p w:rsidR="007136E7" w:rsidRPr="00B223A5" w:rsidRDefault="001A5A11">
      <w:pPr>
        <w:spacing w:after="0"/>
        <w:rPr>
          <w:rFonts w:ascii="Times New Roman" w:hAnsi="Times New Roman" w:cs="Times New Roman"/>
          <w:b/>
          <w:bCs/>
        </w:rPr>
      </w:pPr>
      <w:r>
        <w:rPr>
          <w:rFonts w:ascii="Times New Roman" w:hAnsi="Times New Roman" w:cs="Times New Roman"/>
          <w:b/>
          <w:bCs/>
        </w:rPr>
        <w:t>3. Results</w:t>
      </w:r>
    </w:p>
    <w:p w:rsidR="007136E7" w:rsidRPr="00B223A5" w:rsidRDefault="007136E7">
      <w:pPr>
        <w:spacing w:after="0"/>
        <w:rPr>
          <w:rFonts w:ascii="Times New Roman" w:hAnsi="Times New Roman" w:cs="Times New Roman"/>
        </w:rPr>
      </w:pPr>
    </w:p>
    <w:p w:rsidR="007136E7" w:rsidRPr="001A5A11" w:rsidRDefault="001A5A11">
      <w:pPr>
        <w:spacing w:after="0"/>
        <w:rPr>
          <w:rFonts w:ascii="Times New Roman" w:hAnsi="Times New Roman" w:cs="Times New Roman"/>
          <w:bCs/>
        </w:rPr>
      </w:pPr>
      <w:r w:rsidRPr="001A5A11">
        <w:rPr>
          <w:rFonts w:ascii="Times New Roman" w:hAnsi="Times New Roman" w:cs="Times New Roman"/>
          <w:bCs/>
        </w:rPr>
        <w:t xml:space="preserve">3.1. </w:t>
      </w:r>
      <w:r w:rsidR="004F7DAA" w:rsidRPr="001A5A11">
        <w:rPr>
          <w:rFonts w:ascii="Times New Roman" w:hAnsi="Times New Roman" w:cs="Times New Roman"/>
          <w:bCs/>
        </w:rPr>
        <w:t>Study Population</w:t>
      </w:r>
    </w:p>
    <w:p w:rsidR="007136E7" w:rsidRPr="007F60AC" w:rsidRDefault="007136E7">
      <w:pPr>
        <w:spacing w:after="0"/>
        <w:rPr>
          <w:rFonts w:ascii="Times New Roman" w:hAnsi="Times New Roman" w:cs="Times New Roman"/>
        </w:rPr>
      </w:pPr>
    </w:p>
    <w:p w:rsidR="007136E7" w:rsidRPr="007F60AC" w:rsidRDefault="004F7DAA" w:rsidP="00F121C4">
      <w:pPr>
        <w:spacing w:after="0"/>
        <w:rPr>
          <w:rFonts w:ascii="Times New Roman" w:hAnsi="Times New Roman" w:cs="Times New Roman"/>
        </w:rPr>
      </w:pPr>
      <w:r w:rsidRPr="007F60AC">
        <w:rPr>
          <w:rFonts w:ascii="Times New Roman" w:hAnsi="Times New Roman" w:cs="Times New Roman"/>
        </w:rPr>
        <w:lastRenderedPageBreak/>
        <w:t>Of 11 396 pregnancies</w:t>
      </w:r>
      <w:r w:rsidR="00297758" w:rsidRPr="007F60AC">
        <w:rPr>
          <w:rFonts w:ascii="Times New Roman" w:hAnsi="Times New Roman" w:cs="Times New Roman"/>
        </w:rPr>
        <w:t xml:space="preserve"> with completed</w:t>
      </w:r>
      <w:r w:rsidRPr="007F60AC">
        <w:rPr>
          <w:rFonts w:ascii="Times New Roman" w:hAnsi="Times New Roman" w:cs="Times New Roman"/>
        </w:rPr>
        <w:t xml:space="preserve"> baseline questionnaires, 62 were stillbirth, 142 were multiple pregnancies, 345 did not have data on birth weight or gestational age at delivery, 49 </w:t>
      </w:r>
      <w:r w:rsidR="003052C5" w:rsidRPr="007F60AC">
        <w:rPr>
          <w:rFonts w:ascii="Times New Roman" w:hAnsi="Times New Roman" w:cs="Times New Roman"/>
        </w:rPr>
        <w:t xml:space="preserve">were </w:t>
      </w:r>
      <w:r w:rsidRPr="007F60AC">
        <w:rPr>
          <w:rFonts w:ascii="Times New Roman" w:hAnsi="Times New Roman" w:cs="Times New Roman"/>
        </w:rPr>
        <w:t xml:space="preserve">missing data on ethnicity, and 30 had missing data on education who were excluded from the analyses. Consequently, there were </w:t>
      </w:r>
      <w:r w:rsidR="00CD3E97">
        <w:rPr>
          <w:rFonts w:ascii="Times New Roman" w:hAnsi="Times New Roman" w:cs="Times New Roman"/>
        </w:rPr>
        <w:t>10,780</w:t>
      </w:r>
      <w:r w:rsidR="00486EC9" w:rsidRPr="007F60AC">
        <w:rPr>
          <w:rFonts w:ascii="Times New Roman" w:hAnsi="Times New Roman" w:cs="Times New Roman"/>
        </w:rPr>
        <w:t xml:space="preserve"> pregnancies</w:t>
      </w:r>
      <w:r w:rsidRPr="007F60AC">
        <w:rPr>
          <w:rFonts w:ascii="Times New Roman" w:hAnsi="Times New Roman" w:cs="Times New Roman"/>
        </w:rPr>
        <w:t xml:space="preserve"> available for the analyses. Descriptive statistics of the characteristics of all included pregnancies as well as each ethnic category are presented in Table 1. </w:t>
      </w:r>
      <w:r w:rsidR="00F121C4" w:rsidRPr="007F60AC">
        <w:rPr>
          <w:rFonts w:ascii="Times New Roman" w:hAnsi="Times New Roman" w:cs="Times New Roman"/>
        </w:rPr>
        <w:t>While t</w:t>
      </w:r>
      <w:r w:rsidR="00707074" w:rsidRPr="007F60AC">
        <w:rPr>
          <w:rFonts w:ascii="Times New Roman" w:hAnsi="Times New Roman" w:cs="Times New Roman"/>
        </w:rPr>
        <w:t>he pattern of education level was similar in participants of White British and Pakistani origin</w:t>
      </w:r>
      <w:r w:rsidR="00F121C4" w:rsidRPr="007F60AC">
        <w:rPr>
          <w:rFonts w:ascii="Times New Roman" w:hAnsi="Times New Roman" w:cs="Times New Roman"/>
        </w:rPr>
        <w:t xml:space="preserve">, </w:t>
      </w:r>
      <w:r w:rsidR="00707074" w:rsidRPr="007F60AC">
        <w:rPr>
          <w:rFonts w:ascii="Times New Roman" w:hAnsi="Times New Roman" w:cs="Times New Roman"/>
        </w:rPr>
        <w:t xml:space="preserve">White British participants tended to reside in less deprived neighbourhoods compared with </w:t>
      </w:r>
      <w:r w:rsidR="00F121C4" w:rsidRPr="007F60AC">
        <w:rPr>
          <w:rFonts w:ascii="Times New Roman" w:hAnsi="Times New Roman" w:cs="Times New Roman"/>
        </w:rPr>
        <w:t>those of</w:t>
      </w:r>
      <w:r w:rsidR="00707074" w:rsidRPr="007F60AC">
        <w:rPr>
          <w:rFonts w:ascii="Times New Roman" w:hAnsi="Times New Roman" w:cs="Times New Roman"/>
        </w:rPr>
        <w:t xml:space="preserve"> Pakistani origin</w:t>
      </w:r>
      <w:r w:rsidR="00F121C4" w:rsidRPr="007F60AC">
        <w:rPr>
          <w:rFonts w:ascii="Times New Roman" w:hAnsi="Times New Roman" w:cs="Times New Roman"/>
        </w:rPr>
        <w:t xml:space="preserve"> (Table 1)</w:t>
      </w:r>
      <w:r w:rsidR="00707074" w:rsidRPr="007F60AC">
        <w:rPr>
          <w:rFonts w:ascii="Times New Roman" w:hAnsi="Times New Roman" w:cs="Times New Roman"/>
        </w:rPr>
        <w:t xml:space="preserve">. </w:t>
      </w:r>
      <w:r w:rsidRPr="007F60AC">
        <w:rPr>
          <w:rFonts w:ascii="Times New Roman" w:hAnsi="Times New Roman" w:cs="Times New Roman"/>
        </w:rPr>
        <w:t xml:space="preserve">The median birth weight for </w:t>
      </w:r>
      <w:r w:rsidR="00D23C99" w:rsidRPr="007F60AC">
        <w:rPr>
          <w:rFonts w:ascii="Times New Roman" w:hAnsi="Times New Roman" w:cs="Times New Roman"/>
        </w:rPr>
        <w:t>White British</w:t>
      </w:r>
      <w:r w:rsidRPr="007F60AC">
        <w:rPr>
          <w:rFonts w:ascii="Times New Roman" w:hAnsi="Times New Roman" w:cs="Times New Roman"/>
        </w:rPr>
        <w:t xml:space="preserve"> </w:t>
      </w:r>
      <w:r w:rsidR="00D23C99" w:rsidRPr="007F60AC">
        <w:rPr>
          <w:rFonts w:ascii="Times New Roman" w:hAnsi="Times New Roman" w:cs="Times New Roman"/>
        </w:rPr>
        <w:t>participant</w:t>
      </w:r>
      <w:r w:rsidRPr="007F60AC">
        <w:rPr>
          <w:rFonts w:ascii="Times New Roman" w:hAnsi="Times New Roman" w:cs="Times New Roman"/>
        </w:rPr>
        <w:t xml:space="preserve">s was higher (Wilcoxon rank-sum test p-value &lt;0.001) than that of </w:t>
      </w:r>
      <w:r w:rsidR="00D23C99" w:rsidRPr="007F60AC">
        <w:rPr>
          <w:rFonts w:ascii="Times New Roman" w:hAnsi="Times New Roman" w:cs="Times New Roman"/>
        </w:rPr>
        <w:t>participant</w:t>
      </w:r>
      <w:r w:rsidRPr="007F60AC">
        <w:rPr>
          <w:rFonts w:ascii="Times New Roman" w:hAnsi="Times New Roman" w:cs="Times New Roman"/>
        </w:rPr>
        <w:t xml:space="preserve">s with Pakistani origin (Table 2). </w:t>
      </w:r>
      <w:r w:rsidR="00346BF0" w:rsidRPr="007F60AC">
        <w:rPr>
          <w:rFonts w:ascii="Times New Roman" w:hAnsi="Times New Roman" w:cs="Times New Roman"/>
        </w:rPr>
        <w:t>Participants</w:t>
      </w:r>
      <w:r w:rsidRPr="007F60AC">
        <w:rPr>
          <w:rFonts w:ascii="Times New Roman" w:hAnsi="Times New Roman" w:cs="Times New Roman"/>
        </w:rPr>
        <w:t xml:space="preserve"> with lower educational qualifications and those residing in the most deprived neighbourhoods had generally lower birth weight (trend test p-values&lt;0.001) (Table 2). </w:t>
      </w:r>
      <w:r w:rsidR="004B1D4A" w:rsidRPr="007F60AC">
        <w:rPr>
          <w:rFonts w:asciiTheme="majorBidi" w:hAnsiTheme="majorBidi" w:cstheme="majorBidi"/>
          <w:szCs w:val="24"/>
        </w:rPr>
        <w:t xml:space="preserve">The polychoric correlation coefficient between tertiles of IMD score and maternal education was -0.22 suggesting that </w:t>
      </w:r>
      <w:r w:rsidR="004B1D4A" w:rsidRPr="007F60AC">
        <w:rPr>
          <w:rFonts w:ascii="Times New Roman" w:hAnsi="Times New Roman" w:cs="Times New Roman"/>
        </w:rPr>
        <w:t>participants with lower educational qualifications generally resided in more deprived neighbourhoods.</w:t>
      </w:r>
    </w:p>
    <w:p w:rsidR="007136E7" w:rsidRPr="007F60AC" w:rsidRDefault="007136E7">
      <w:pPr>
        <w:spacing w:after="0"/>
        <w:rPr>
          <w:rFonts w:ascii="Times New Roman" w:hAnsi="Times New Roman" w:cs="Times New Roman"/>
        </w:rPr>
      </w:pPr>
    </w:p>
    <w:p w:rsidR="007136E7" w:rsidRPr="001A5A11" w:rsidRDefault="001A5A11">
      <w:pPr>
        <w:spacing w:after="0"/>
        <w:rPr>
          <w:rFonts w:ascii="Times New Roman" w:hAnsi="Times New Roman" w:cs="Times New Roman"/>
          <w:bCs/>
          <w:iCs/>
        </w:rPr>
      </w:pPr>
      <w:r w:rsidRPr="001A5A11">
        <w:rPr>
          <w:rFonts w:ascii="Times New Roman" w:hAnsi="Times New Roman" w:cs="Times New Roman"/>
          <w:bCs/>
          <w:iCs/>
        </w:rPr>
        <w:t xml:space="preserve">3.2. </w:t>
      </w:r>
      <w:r w:rsidR="004F7DAA" w:rsidRPr="001A5A11">
        <w:rPr>
          <w:rFonts w:ascii="Times New Roman" w:hAnsi="Times New Roman" w:cs="Times New Roman"/>
          <w:bCs/>
          <w:iCs/>
        </w:rPr>
        <w:t>Residential Surrounding Greenness</w:t>
      </w:r>
    </w:p>
    <w:p w:rsidR="007136E7" w:rsidRPr="007F60AC" w:rsidRDefault="007136E7">
      <w:pPr>
        <w:spacing w:after="0"/>
        <w:rPr>
          <w:rFonts w:ascii="Times New Roman" w:hAnsi="Times New Roman" w:cs="Times New Roman"/>
        </w:rPr>
      </w:pPr>
    </w:p>
    <w:p w:rsidR="00214C40" w:rsidRDefault="004F7DAA">
      <w:pPr>
        <w:spacing w:after="0"/>
        <w:rPr>
          <w:rFonts w:ascii="Times New Roman" w:hAnsi="Times New Roman" w:cs="Times New Roman"/>
        </w:rPr>
      </w:pPr>
      <w:r w:rsidRPr="007F60AC">
        <w:rPr>
          <w:rFonts w:ascii="Times New Roman" w:hAnsi="Times New Roman" w:cs="Times New Roman"/>
        </w:rPr>
        <w:t xml:space="preserve">The median (IQR) of the average NDVI across buffers of </w:t>
      </w:r>
      <w:r w:rsidR="006E5CD8">
        <w:rPr>
          <w:rFonts w:ascii="Times New Roman" w:hAnsi="Times New Roman" w:cs="Times New Roman"/>
        </w:rPr>
        <w:t xml:space="preserve">50 m, </w:t>
      </w:r>
      <w:r w:rsidRPr="007F60AC">
        <w:rPr>
          <w:rFonts w:ascii="Times New Roman" w:hAnsi="Times New Roman" w:cs="Times New Roman"/>
        </w:rPr>
        <w:t>10</w:t>
      </w:r>
      <w:r w:rsidR="00A51F1F">
        <w:rPr>
          <w:rFonts w:ascii="Times New Roman" w:hAnsi="Times New Roman" w:cs="Times New Roman"/>
        </w:rPr>
        <w:t>0 m</w:t>
      </w:r>
      <w:r w:rsidRPr="007F60AC">
        <w:rPr>
          <w:rFonts w:ascii="Times New Roman" w:hAnsi="Times New Roman" w:cs="Times New Roman"/>
        </w:rPr>
        <w:t>, 25</w:t>
      </w:r>
      <w:r w:rsidR="00A51F1F">
        <w:rPr>
          <w:rFonts w:ascii="Times New Roman" w:hAnsi="Times New Roman" w:cs="Times New Roman"/>
        </w:rPr>
        <w:t>0 m</w:t>
      </w:r>
      <w:r w:rsidRPr="007F60AC">
        <w:rPr>
          <w:rFonts w:ascii="Times New Roman" w:hAnsi="Times New Roman" w:cs="Times New Roman"/>
        </w:rPr>
        <w:t>, 50</w:t>
      </w:r>
      <w:r w:rsidR="00A51F1F">
        <w:rPr>
          <w:rFonts w:ascii="Times New Roman" w:hAnsi="Times New Roman" w:cs="Times New Roman"/>
        </w:rPr>
        <w:t>0 m</w:t>
      </w:r>
      <w:r w:rsidR="006E5CD8">
        <w:rPr>
          <w:rFonts w:ascii="Times New Roman" w:hAnsi="Times New Roman" w:cs="Times New Roman"/>
        </w:rPr>
        <w:t>, and 1000 m</w:t>
      </w:r>
      <w:r w:rsidRPr="007F60AC">
        <w:rPr>
          <w:rFonts w:ascii="Times New Roman" w:hAnsi="Times New Roman" w:cs="Times New Roman"/>
        </w:rPr>
        <w:t xml:space="preserve"> for all </w:t>
      </w:r>
      <w:r w:rsidR="00D23C99" w:rsidRPr="007F60AC">
        <w:rPr>
          <w:rFonts w:ascii="Times New Roman" w:hAnsi="Times New Roman" w:cs="Times New Roman"/>
        </w:rPr>
        <w:t>participant</w:t>
      </w:r>
      <w:r w:rsidRPr="007F60AC">
        <w:rPr>
          <w:rFonts w:ascii="Times New Roman" w:hAnsi="Times New Roman" w:cs="Times New Roman"/>
        </w:rPr>
        <w:t xml:space="preserve">s </w:t>
      </w:r>
      <w:r w:rsidR="007E5F16" w:rsidRPr="007F60AC">
        <w:rPr>
          <w:rFonts w:ascii="Times New Roman" w:hAnsi="Times New Roman" w:cs="Times New Roman"/>
        </w:rPr>
        <w:t>and by</w:t>
      </w:r>
      <w:r w:rsidRPr="007F60AC">
        <w:rPr>
          <w:rFonts w:ascii="Times New Roman" w:hAnsi="Times New Roman" w:cs="Times New Roman"/>
        </w:rPr>
        <w:t xml:space="preserve"> strata of ethnicity, education, and neighbourhood SES are presented in Table 2. The median of residential surrounding greenness for </w:t>
      </w:r>
      <w:r w:rsidR="00D23C99" w:rsidRPr="007F60AC">
        <w:rPr>
          <w:rFonts w:ascii="Times New Roman" w:hAnsi="Times New Roman" w:cs="Times New Roman"/>
        </w:rPr>
        <w:t>White British</w:t>
      </w:r>
      <w:r w:rsidRPr="007F60AC">
        <w:rPr>
          <w:rFonts w:ascii="Times New Roman" w:hAnsi="Times New Roman" w:cs="Times New Roman"/>
        </w:rPr>
        <w:t xml:space="preserve"> </w:t>
      </w:r>
      <w:r w:rsidR="00D23C99" w:rsidRPr="007F60AC">
        <w:rPr>
          <w:rFonts w:ascii="Times New Roman" w:hAnsi="Times New Roman" w:cs="Times New Roman"/>
        </w:rPr>
        <w:t>participant</w:t>
      </w:r>
      <w:r w:rsidRPr="007F60AC">
        <w:rPr>
          <w:rFonts w:ascii="Times New Roman" w:hAnsi="Times New Roman" w:cs="Times New Roman"/>
        </w:rPr>
        <w:t xml:space="preserve">s was higher (Wilcoxon rank-sum test p-value &lt;0.001) than that of </w:t>
      </w:r>
      <w:r w:rsidR="00D23C99" w:rsidRPr="007F60AC">
        <w:rPr>
          <w:rFonts w:ascii="Times New Roman" w:hAnsi="Times New Roman" w:cs="Times New Roman"/>
        </w:rPr>
        <w:t>participant</w:t>
      </w:r>
      <w:r w:rsidRPr="007F60AC">
        <w:rPr>
          <w:rFonts w:ascii="Times New Roman" w:hAnsi="Times New Roman" w:cs="Times New Roman"/>
        </w:rPr>
        <w:t xml:space="preserve">s of Pakistani origin in all buffer sizes. </w:t>
      </w:r>
      <w:r w:rsidR="00DA7D9D">
        <w:rPr>
          <w:rFonts w:ascii="Times New Roman" w:hAnsi="Times New Roman" w:cs="Times New Roman"/>
        </w:rPr>
        <w:t xml:space="preserve">We observed a trend in residential surrounding greenness across strata of maternal education and </w:t>
      </w:r>
      <w:r w:rsidR="00DA7D9D">
        <w:rPr>
          <w:rFonts w:ascii="Times New Roman" w:hAnsi="Times New Roman" w:cs="Times New Roman"/>
        </w:rPr>
        <w:lastRenderedPageBreak/>
        <w:t>neighbourhood SES with higher residential surrounding greenness (in all buffers) for participants with better education or residing in less deprived neighbourhoods (all trend test p-values&lt;0.001) (Table 2). T</w:t>
      </w:r>
      <w:r w:rsidR="00EC05A3" w:rsidRPr="00EC05A3">
        <w:rPr>
          <w:rFonts w:ascii="Times New Roman" w:hAnsi="Times New Roman" w:cs="Times New Roman"/>
        </w:rPr>
        <w:t xml:space="preserve">he Spearman’s correlation coefficient between IMD score and residential surrounding greenness in buffers of </w:t>
      </w:r>
      <w:r w:rsidR="006E5CD8">
        <w:rPr>
          <w:rFonts w:ascii="Times New Roman" w:hAnsi="Times New Roman" w:cs="Times New Roman"/>
        </w:rPr>
        <w:t xml:space="preserve">50 m, 100m, 250m, </w:t>
      </w:r>
      <w:r w:rsidR="00EC05A3" w:rsidRPr="00EC05A3">
        <w:rPr>
          <w:rFonts w:ascii="Times New Roman" w:hAnsi="Times New Roman" w:cs="Times New Roman"/>
        </w:rPr>
        <w:t>500m</w:t>
      </w:r>
      <w:r w:rsidR="006E5CD8">
        <w:rPr>
          <w:rFonts w:ascii="Times New Roman" w:hAnsi="Times New Roman" w:cs="Times New Roman"/>
        </w:rPr>
        <w:t>, and 1000 m</w:t>
      </w:r>
      <w:r w:rsidR="00EC05A3" w:rsidRPr="00EC05A3">
        <w:rPr>
          <w:rFonts w:ascii="Times New Roman" w:hAnsi="Times New Roman" w:cs="Times New Roman"/>
        </w:rPr>
        <w:t xml:space="preserve"> was </w:t>
      </w:r>
      <w:r w:rsidR="00792868">
        <w:rPr>
          <w:rFonts w:ascii="Times New Roman" w:hAnsi="Times New Roman" w:cs="Times New Roman"/>
        </w:rPr>
        <w:t>-0.25, -0.28, -0.3</w:t>
      </w:r>
      <w:r w:rsidR="00571D02">
        <w:rPr>
          <w:rFonts w:ascii="Times New Roman" w:hAnsi="Times New Roman" w:cs="Times New Roman"/>
        </w:rPr>
        <w:t>7</w:t>
      </w:r>
      <w:r w:rsidR="00EC05A3" w:rsidRPr="00EC05A3">
        <w:rPr>
          <w:rFonts w:ascii="Times New Roman" w:hAnsi="Times New Roman" w:cs="Times New Roman"/>
        </w:rPr>
        <w:t xml:space="preserve">, </w:t>
      </w:r>
      <w:r w:rsidR="00792868">
        <w:rPr>
          <w:rFonts w:ascii="Times New Roman" w:hAnsi="Times New Roman" w:cs="Times New Roman"/>
        </w:rPr>
        <w:t>-0.4</w:t>
      </w:r>
      <w:r w:rsidR="00571D02">
        <w:rPr>
          <w:rFonts w:ascii="Times New Roman" w:hAnsi="Times New Roman" w:cs="Times New Roman"/>
        </w:rPr>
        <w:t>4</w:t>
      </w:r>
      <w:r w:rsidR="00792868">
        <w:rPr>
          <w:rFonts w:ascii="Times New Roman" w:hAnsi="Times New Roman" w:cs="Times New Roman"/>
        </w:rPr>
        <w:t>, and -0.51,</w:t>
      </w:r>
      <w:r w:rsidR="00EC05A3" w:rsidRPr="00EC05A3">
        <w:rPr>
          <w:rFonts w:ascii="Times New Roman" w:hAnsi="Times New Roman" w:cs="Times New Roman"/>
        </w:rPr>
        <w:t xml:space="preserve"> respectively.</w:t>
      </w:r>
    </w:p>
    <w:p w:rsidR="007136E7" w:rsidRPr="007F60AC" w:rsidRDefault="007136E7">
      <w:pPr>
        <w:spacing w:after="0"/>
        <w:rPr>
          <w:rFonts w:ascii="Times New Roman" w:hAnsi="Times New Roman" w:cs="Times New Roman"/>
          <w:b/>
          <w:bCs/>
        </w:rPr>
      </w:pPr>
    </w:p>
    <w:p w:rsidR="007136E7" w:rsidRPr="001A5A11" w:rsidRDefault="001A5A11">
      <w:pPr>
        <w:spacing w:after="0"/>
        <w:rPr>
          <w:rFonts w:ascii="Times New Roman" w:hAnsi="Times New Roman" w:cs="Times New Roman"/>
          <w:bCs/>
        </w:rPr>
      </w:pPr>
      <w:r w:rsidRPr="001A5A11">
        <w:rPr>
          <w:rFonts w:ascii="Times New Roman" w:hAnsi="Times New Roman" w:cs="Times New Roman"/>
          <w:bCs/>
        </w:rPr>
        <w:t xml:space="preserve">3.3. </w:t>
      </w:r>
      <w:r w:rsidR="002B6DD0" w:rsidRPr="001A5A11">
        <w:rPr>
          <w:rFonts w:ascii="Times New Roman" w:hAnsi="Times New Roman" w:cs="Times New Roman"/>
          <w:bCs/>
        </w:rPr>
        <w:t>Regression Models</w:t>
      </w:r>
    </w:p>
    <w:p w:rsidR="007136E7" w:rsidRPr="007F60AC" w:rsidRDefault="007136E7">
      <w:pPr>
        <w:spacing w:after="0"/>
        <w:rPr>
          <w:rFonts w:ascii="Times New Roman" w:hAnsi="Times New Roman" w:cs="Times New Roman"/>
        </w:rPr>
      </w:pPr>
    </w:p>
    <w:p w:rsidR="007136E7" w:rsidRPr="001A5A11" w:rsidRDefault="001A5A11">
      <w:pPr>
        <w:spacing w:after="0"/>
        <w:rPr>
          <w:rFonts w:ascii="Times New Roman" w:hAnsi="Times New Roman" w:cs="Times New Roman"/>
          <w:iCs/>
        </w:rPr>
      </w:pPr>
      <w:r w:rsidRPr="001A5A11">
        <w:rPr>
          <w:rFonts w:ascii="Times New Roman" w:hAnsi="Times New Roman" w:cs="Times New Roman"/>
          <w:iCs/>
        </w:rPr>
        <w:t xml:space="preserve">3.3.1. </w:t>
      </w:r>
      <w:r w:rsidR="004F7DAA" w:rsidRPr="001A5A11">
        <w:rPr>
          <w:rFonts w:ascii="Times New Roman" w:hAnsi="Times New Roman" w:cs="Times New Roman"/>
          <w:iCs/>
        </w:rPr>
        <w:t>Main effect</w:t>
      </w:r>
    </w:p>
    <w:p w:rsidR="00214C40" w:rsidRDefault="002B5FE3">
      <w:pPr>
        <w:spacing w:after="0"/>
        <w:rPr>
          <w:rFonts w:ascii="Times New Roman" w:hAnsi="Times New Roman" w:cs="Times New Roman"/>
        </w:rPr>
      </w:pPr>
      <w:r>
        <w:rPr>
          <w:rFonts w:ascii="Times New Roman" w:hAnsi="Times New Roman" w:cs="Times New Roman"/>
        </w:rPr>
        <w:t xml:space="preserve">The </w:t>
      </w:r>
      <w:r>
        <w:rPr>
          <w:rFonts w:asciiTheme="majorBidi" w:hAnsiTheme="majorBidi" w:cstheme="majorBidi"/>
        </w:rPr>
        <w:t xml:space="preserve">plots of fitted values against standardized residuals in un-adjusted as well as fully-adjusted models are presented in Supplementary Figure S2. </w:t>
      </w:r>
      <w:r w:rsidR="00367665">
        <w:rPr>
          <w:rFonts w:asciiTheme="majorBidi" w:hAnsiTheme="majorBidi" w:cstheme="majorBidi"/>
        </w:rPr>
        <w:t>The fully-</w:t>
      </w:r>
      <w:r w:rsidR="00367665" w:rsidRPr="00367665">
        <w:rPr>
          <w:rFonts w:asciiTheme="majorBidi" w:hAnsiTheme="majorBidi" w:cstheme="majorBidi"/>
        </w:rPr>
        <w:t>adjusted plots suggest</w:t>
      </w:r>
      <w:r w:rsidR="00367665">
        <w:rPr>
          <w:rFonts w:asciiTheme="majorBidi" w:hAnsiTheme="majorBidi" w:cstheme="majorBidi"/>
        </w:rPr>
        <w:t>ed</w:t>
      </w:r>
      <w:r w:rsidR="00367665" w:rsidRPr="00367665">
        <w:rPr>
          <w:rFonts w:asciiTheme="majorBidi" w:hAnsiTheme="majorBidi" w:cstheme="majorBidi"/>
        </w:rPr>
        <w:t xml:space="preserve"> that the residual variance is smaller at fitted values</w:t>
      </w:r>
      <w:r w:rsidR="0096528E">
        <w:rPr>
          <w:rFonts w:asciiTheme="majorBidi" w:hAnsiTheme="majorBidi" w:cstheme="majorBidi"/>
        </w:rPr>
        <w:t xml:space="preserve"> for birth weights</w:t>
      </w:r>
      <w:r w:rsidR="00367665" w:rsidRPr="00367665">
        <w:rPr>
          <w:rFonts w:asciiTheme="majorBidi" w:hAnsiTheme="majorBidi" w:cstheme="majorBidi"/>
        </w:rPr>
        <w:t xml:space="preserve"> below 2,</w:t>
      </w:r>
      <w:r w:rsidR="00367665">
        <w:rPr>
          <w:rFonts w:asciiTheme="majorBidi" w:hAnsiTheme="majorBidi" w:cstheme="majorBidi"/>
        </w:rPr>
        <w:t>5</w:t>
      </w:r>
      <w:r w:rsidR="0096528E">
        <w:rPr>
          <w:rFonts w:asciiTheme="majorBidi" w:hAnsiTheme="majorBidi" w:cstheme="majorBidi"/>
        </w:rPr>
        <w:t>00g that included only a small proportion of points (7%)</w:t>
      </w:r>
      <w:r w:rsidR="00367665">
        <w:rPr>
          <w:rFonts w:asciiTheme="majorBidi" w:hAnsiTheme="majorBidi" w:cstheme="majorBidi"/>
        </w:rPr>
        <w:t xml:space="preserve">. To account for this, we used </w:t>
      </w:r>
      <w:r w:rsidR="001B67E0" w:rsidRPr="001B67E0">
        <w:rPr>
          <w:rFonts w:asciiTheme="majorBidi" w:hAnsiTheme="majorBidi" w:cstheme="majorBidi"/>
        </w:rPr>
        <w:t xml:space="preserve">a robust estimation of standard errors </w:t>
      </w:r>
      <w:r w:rsidR="001B67E0">
        <w:rPr>
          <w:rFonts w:asciiTheme="majorBidi" w:hAnsiTheme="majorBidi" w:cstheme="majorBidi"/>
        </w:rPr>
        <w:t xml:space="preserve">when fitting our models. </w:t>
      </w:r>
      <w:r w:rsidR="004F7DAA" w:rsidRPr="007F60AC">
        <w:rPr>
          <w:rFonts w:ascii="Times New Roman" w:hAnsi="Times New Roman" w:cs="Times New Roman"/>
        </w:rPr>
        <w:t xml:space="preserve">In the fully-adjusted model, </w:t>
      </w:r>
      <w:r w:rsidR="00E145B5">
        <w:rPr>
          <w:rFonts w:ascii="Times New Roman" w:hAnsi="Times New Roman" w:cs="Times New Roman"/>
        </w:rPr>
        <w:t>we observed positive associations between residential surrounding greenness and birth weight that were statistically significant for buffers of 100 m, 250 m, and 500 m and were nearly statistically significant for buffers of 50 m and 1000 m</w:t>
      </w:r>
      <w:r w:rsidR="004F7DAA" w:rsidRPr="007F60AC">
        <w:rPr>
          <w:rFonts w:ascii="Times New Roman" w:hAnsi="Times New Roman" w:cs="Times New Roman"/>
        </w:rPr>
        <w:t xml:space="preserve"> (Table 3). </w:t>
      </w:r>
      <w:r w:rsidR="00CF4215">
        <w:rPr>
          <w:rFonts w:ascii="Times New Roman" w:hAnsi="Times New Roman" w:cs="Times New Roman"/>
        </w:rPr>
        <w:t>The estimate</w:t>
      </w:r>
      <w:r w:rsidR="00740574">
        <w:rPr>
          <w:rFonts w:ascii="Times New Roman" w:hAnsi="Times New Roman" w:cs="Times New Roman"/>
        </w:rPr>
        <w:t xml:space="preserve">d associations for 10% increase </w:t>
      </w:r>
      <w:r w:rsidR="00CF4215">
        <w:rPr>
          <w:rFonts w:ascii="Times New Roman" w:hAnsi="Times New Roman" w:cs="Times New Roman"/>
        </w:rPr>
        <w:t>in average NDVI</w:t>
      </w:r>
      <w:r w:rsidR="00740574">
        <w:rPr>
          <w:rFonts w:ascii="Times New Roman" w:hAnsi="Times New Roman" w:cs="Times New Roman"/>
        </w:rPr>
        <w:t xml:space="preserve"> </w:t>
      </w:r>
      <w:r w:rsidR="00740574" w:rsidRPr="007F60AC">
        <w:rPr>
          <w:rFonts w:ascii="Times New Roman" w:hAnsi="Times New Roman" w:cs="Times New Roman"/>
        </w:rPr>
        <w:t xml:space="preserve">across </w:t>
      </w:r>
      <w:r w:rsidR="00AD1125">
        <w:rPr>
          <w:rFonts w:ascii="Times New Roman" w:hAnsi="Times New Roman" w:cs="Times New Roman"/>
        </w:rPr>
        <w:t xml:space="preserve">these </w:t>
      </w:r>
      <w:r w:rsidR="00740574" w:rsidRPr="007F60AC">
        <w:rPr>
          <w:rFonts w:ascii="Times New Roman" w:hAnsi="Times New Roman" w:cs="Times New Roman"/>
        </w:rPr>
        <w:t>buffer</w:t>
      </w:r>
      <w:r w:rsidR="00740574">
        <w:rPr>
          <w:rFonts w:ascii="Times New Roman" w:hAnsi="Times New Roman" w:cs="Times New Roman"/>
        </w:rPr>
        <w:t>s</w:t>
      </w:r>
      <w:r w:rsidR="00740574" w:rsidRPr="007F60AC">
        <w:rPr>
          <w:rFonts w:ascii="Times New Roman" w:hAnsi="Times New Roman" w:cs="Times New Roman"/>
        </w:rPr>
        <w:t xml:space="preserve"> surrounding maternal home address</w:t>
      </w:r>
      <w:r w:rsidR="00740574">
        <w:rPr>
          <w:rFonts w:ascii="Times New Roman" w:hAnsi="Times New Roman" w:cs="Times New Roman"/>
        </w:rPr>
        <w:t xml:space="preserve"> are presented in Supplementary Table S1.</w:t>
      </w:r>
    </w:p>
    <w:p w:rsidR="007136E7" w:rsidRPr="007F60AC" w:rsidRDefault="007136E7">
      <w:pPr>
        <w:spacing w:after="0"/>
        <w:rPr>
          <w:rFonts w:ascii="Times New Roman" w:hAnsi="Times New Roman" w:cs="Times New Roman"/>
        </w:rPr>
      </w:pPr>
    </w:p>
    <w:p w:rsidR="00540FE4" w:rsidRDefault="00DA7D9D">
      <w:pPr>
        <w:spacing w:after="0"/>
        <w:rPr>
          <w:rFonts w:ascii="Times New Roman" w:hAnsi="Times New Roman" w:cs="Times New Roman"/>
        </w:rPr>
      </w:pPr>
      <w:r>
        <w:rPr>
          <w:rFonts w:ascii="Times New Roman" w:hAnsi="Times New Roman" w:cs="Times New Roman"/>
        </w:rPr>
        <w:t xml:space="preserve">In our dataset, there were 784 women with two pregnancies and 15 with three pregnancies included in the main effect analyses. </w:t>
      </w:r>
      <w:r w:rsidR="005618BC" w:rsidRPr="005618BC">
        <w:rPr>
          <w:rFonts w:ascii="Times New Roman" w:hAnsi="Times New Roman" w:cs="Times New Roman"/>
        </w:rPr>
        <w:t>As a sensitivity analysis, we e</w:t>
      </w:r>
      <w:r>
        <w:rPr>
          <w:rFonts w:ascii="Times New Roman" w:hAnsi="Times New Roman" w:cs="Times New Roman"/>
        </w:rPr>
        <w:t>xclud</w:t>
      </w:r>
      <w:r w:rsidR="005618BC" w:rsidRPr="005618BC">
        <w:rPr>
          <w:rFonts w:ascii="Times New Roman" w:hAnsi="Times New Roman" w:cs="Times New Roman"/>
        </w:rPr>
        <w:t>ed</w:t>
      </w:r>
      <w:r>
        <w:rPr>
          <w:rFonts w:ascii="Times New Roman" w:hAnsi="Times New Roman" w:cs="Times New Roman"/>
        </w:rPr>
        <w:t xml:space="preserve"> the second and third pregnancies of these women</w:t>
      </w:r>
      <w:r w:rsidR="005618BC" w:rsidRPr="005618BC">
        <w:rPr>
          <w:rFonts w:ascii="Times New Roman" w:hAnsi="Times New Roman" w:cs="Times New Roman"/>
        </w:rPr>
        <w:t xml:space="preserve"> (i.e. 814 pregnancies)</w:t>
      </w:r>
      <w:r>
        <w:rPr>
          <w:rFonts w:ascii="Times New Roman" w:hAnsi="Times New Roman" w:cs="Times New Roman"/>
        </w:rPr>
        <w:t xml:space="preserve"> </w:t>
      </w:r>
      <w:r w:rsidR="005618BC" w:rsidRPr="005618BC">
        <w:rPr>
          <w:rFonts w:ascii="Times New Roman" w:hAnsi="Times New Roman" w:cs="Times New Roman"/>
        </w:rPr>
        <w:t>and conducted linear regression models with identical set of outcomes and predictors to the main effect analyses. As presented in Supplementary Table S</w:t>
      </w:r>
      <w:r w:rsidR="00CF4215">
        <w:rPr>
          <w:rFonts w:ascii="Times New Roman" w:hAnsi="Times New Roman" w:cs="Times New Roman"/>
        </w:rPr>
        <w:t>2</w:t>
      </w:r>
      <w:r w:rsidR="005618BC" w:rsidRPr="005618BC">
        <w:rPr>
          <w:rFonts w:ascii="Times New Roman" w:hAnsi="Times New Roman" w:cs="Times New Roman"/>
        </w:rPr>
        <w:t xml:space="preserve">, the results of this sensitivity </w:t>
      </w:r>
      <w:r w:rsidR="005618BC" w:rsidRPr="005618BC">
        <w:rPr>
          <w:rFonts w:ascii="Times New Roman" w:hAnsi="Times New Roman" w:cs="Times New Roman"/>
        </w:rPr>
        <w:lastRenderedPageBreak/>
        <w:t>analysis were in line with those of main effect analyses</w:t>
      </w:r>
      <w:r w:rsidR="00A54989">
        <w:rPr>
          <w:rFonts w:ascii="Times New Roman" w:hAnsi="Times New Roman" w:cs="Times New Roman"/>
        </w:rPr>
        <w:t>; however the associations were slightly stronger in this sensitivity analyses compared to those of main effect analyses</w:t>
      </w:r>
      <w:r w:rsidR="005618BC" w:rsidRPr="005618BC">
        <w:rPr>
          <w:rFonts w:ascii="Times New Roman" w:hAnsi="Times New Roman" w:cs="Times New Roman"/>
        </w:rPr>
        <w:t xml:space="preserve">. </w:t>
      </w:r>
    </w:p>
    <w:p w:rsidR="007136E7" w:rsidRPr="007F60AC" w:rsidRDefault="007136E7">
      <w:pPr>
        <w:spacing w:after="0"/>
        <w:rPr>
          <w:rFonts w:ascii="Times New Roman" w:hAnsi="Times New Roman" w:cs="Times New Roman"/>
        </w:rPr>
      </w:pPr>
    </w:p>
    <w:p w:rsidR="007136E7" w:rsidRPr="000471B0" w:rsidRDefault="000471B0">
      <w:pPr>
        <w:spacing w:after="0"/>
        <w:rPr>
          <w:rFonts w:ascii="Times New Roman" w:hAnsi="Times New Roman" w:cs="Times New Roman"/>
          <w:iCs/>
        </w:rPr>
      </w:pPr>
      <w:r w:rsidRPr="000471B0">
        <w:rPr>
          <w:rFonts w:ascii="Times New Roman" w:hAnsi="Times New Roman" w:cs="Times New Roman"/>
          <w:bCs/>
          <w:iCs/>
        </w:rPr>
        <w:t xml:space="preserve">3.3.2. </w:t>
      </w:r>
      <w:r w:rsidR="00775777" w:rsidRPr="000471B0">
        <w:rPr>
          <w:rFonts w:ascii="Times New Roman" w:hAnsi="Times New Roman" w:cs="Times New Roman"/>
          <w:bCs/>
          <w:iCs/>
        </w:rPr>
        <w:t xml:space="preserve">Effect modification by </w:t>
      </w:r>
      <w:r w:rsidR="004F7DAA" w:rsidRPr="000471B0">
        <w:rPr>
          <w:rFonts w:ascii="Times New Roman" w:hAnsi="Times New Roman" w:cs="Times New Roman"/>
          <w:iCs/>
        </w:rPr>
        <w:t>ethnicity, individual, and neighbourhood SES</w:t>
      </w:r>
    </w:p>
    <w:p w:rsidR="00540FE4" w:rsidRDefault="004F7DAA">
      <w:pPr>
        <w:spacing w:after="0"/>
        <w:rPr>
          <w:rFonts w:ascii="Times New Roman" w:hAnsi="Times New Roman" w:cs="Times New Roman"/>
        </w:rPr>
      </w:pPr>
      <w:r w:rsidRPr="007F60AC">
        <w:rPr>
          <w:rFonts w:ascii="Times New Roman" w:hAnsi="Times New Roman" w:cs="Times New Roman"/>
        </w:rPr>
        <w:t xml:space="preserve">The multiplicative interaction term was statistically significant (p-value&lt;0.05) for ethnicity </w:t>
      </w:r>
      <w:r w:rsidR="006F486B">
        <w:rPr>
          <w:rFonts w:ascii="Times New Roman" w:hAnsi="Times New Roman" w:cs="Times New Roman"/>
        </w:rPr>
        <w:t>for buffers of 250 m (p-value=</w:t>
      </w:r>
      <w:r w:rsidR="00FA3EBA">
        <w:rPr>
          <w:rFonts w:ascii="Times New Roman" w:hAnsi="Times New Roman" w:cs="Times New Roman"/>
        </w:rPr>
        <w:t>0.0</w:t>
      </w:r>
      <w:r w:rsidR="00D950C8">
        <w:rPr>
          <w:rFonts w:ascii="Times New Roman" w:hAnsi="Times New Roman" w:cs="Times New Roman"/>
        </w:rPr>
        <w:t>19</w:t>
      </w:r>
      <w:r w:rsidR="00FA3EBA">
        <w:rPr>
          <w:rFonts w:ascii="Times New Roman" w:hAnsi="Times New Roman" w:cs="Times New Roman"/>
        </w:rPr>
        <w:t>)</w:t>
      </w:r>
      <w:r w:rsidR="006F486B">
        <w:rPr>
          <w:rFonts w:ascii="Times New Roman" w:hAnsi="Times New Roman" w:cs="Times New Roman"/>
        </w:rPr>
        <w:t>, 500 m</w:t>
      </w:r>
      <w:r w:rsidR="00FA3EBA">
        <w:rPr>
          <w:rFonts w:ascii="Times New Roman" w:hAnsi="Times New Roman" w:cs="Times New Roman"/>
        </w:rPr>
        <w:t xml:space="preserve"> (p-value=0.02</w:t>
      </w:r>
      <w:r w:rsidR="00D950C8">
        <w:rPr>
          <w:rFonts w:ascii="Times New Roman" w:hAnsi="Times New Roman" w:cs="Times New Roman"/>
        </w:rPr>
        <w:t>1</w:t>
      </w:r>
      <w:r w:rsidR="00FA3EBA">
        <w:rPr>
          <w:rFonts w:ascii="Times New Roman" w:hAnsi="Times New Roman" w:cs="Times New Roman"/>
        </w:rPr>
        <w:t>)</w:t>
      </w:r>
      <w:r w:rsidR="006F486B">
        <w:rPr>
          <w:rFonts w:ascii="Times New Roman" w:hAnsi="Times New Roman" w:cs="Times New Roman"/>
        </w:rPr>
        <w:t>, and 1000 m</w:t>
      </w:r>
      <w:r w:rsidR="00FA3EBA">
        <w:rPr>
          <w:rFonts w:ascii="Times New Roman" w:hAnsi="Times New Roman" w:cs="Times New Roman"/>
        </w:rPr>
        <w:t xml:space="preserve"> (p-value=0.0</w:t>
      </w:r>
      <w:r w:rsidR="00D950C8">
        <w:rPr>
          <w:rFonts w:ascii="Times New Roman" w:hAnsi="Times New Roman" w:cs="Times New Roman"/>
        </w:rPr>
        <w:t>08</w:t>
      </w:r>
      <w:r w:rsidR="00FA3EBA">
        <w:rPr>
          <w:rFonts w:ascii="Times New Roman" w:hAnsi="Times New Roman" w:cs="Times New Roman"/>
        </w:rPr>
        <w:t>)</w:t>
      </w:r>
      <w:r w:rsidR="006F486B">
        <w:rPr>
          <w:rFonts w:ascii="Times New Roman" w:hAnsi="Times New Roman" w:cs="Times New Roman"/>
        </w:rPr>
        <w:t xml:space="preserve"> and nearly statistically significant for 100 m buffer (p-value: 0.0</w:t>
      </w:r>
      <w:r w:rsidR="00D950C8">
        <w:rPr>
          <w:rFonts w:ascii="Times New Roman" w:hAnsi="Times New Roman" w:cs="Times New Roman"/>
        </w:rPr>
        <w:t>89</w:t>
      </w:r>
      <w:r w:rsidR="006F486B">
        <w:rPr>
          <w:rFonts w:ascii="Times New Roman" w:hAnsi="Times New Roman" w:cs="Times New Roman"/>
        </w:rPr>
        <w:t>)</w:t>
      </w:r>
      <w:r w:rsidR="00FA3EBA">
        <w:rPr>
          <w:rFonts w:ascii="Times New Roman" w:hAnsi="Times New Roman" w:cs="Times New Roman"/>
        </w:rPr>
        <w:t>.</w:t>
      </w:r>
      <w:r w:rsidRPr="007F60AC">
        <w:rPr>
          <w:rFonts w:ascii="Times New Roman" w:hAnsi="Times New Roman" w:cs="Times New Roman"/>
        </w:rPr>
        <w:t xml:space="preserve"> </w:t>
      </w:r>
      <w:r w:rsidR="00FA3EBA">
        <w:rPr>
          <w:rFonts w:ascii="Times New Roman" w:hAnsi="Times New Roman" w:cs="Times New Roman"/>
        </w:rPr>
        <w:t>F</w:t>
      </w:r>
      <w:r w:rsidRPr="007F60AC">
        <w:rPr>
          <w:rFonts w:ascii="Times New Roman" w:hAnsi="Times New Roman" w:cs="Times New Roman"/>
        </w:rPr>
        <w:t xml:space="preserve">or maternal education </w:t>
      </w:r>
      <w:r w:rsidR="00FA3EBA">
        <w:rPr>
          <w:rFonts w:ascii="Times New Roman" w:hAnsi="Times New Roman" w:cs="Times New Roman"/>
        </w:rPr>
        <w:t>and</w:t>
      </w:r>
      <w:r w:rsidR="00701D08">
        <w:rPr>
          <w:rFonts w:ascii="Times New Roman" w:hAnsi="Times New Roman" w:cs="Times New Roman"/>
        </w:rPr>
        <w:t xml:space="preserve"> for</w:t>
      </w:r>
      <w:r w:rsidRPr="007F60AC">
        <w:rPr>
          <w:rFonts w:ascii="Times New Roman" w:hAnsi="Times New Roman" w:cs="Times New Roman"/>
        </w:rPr>
        <w:t xml:space="preserve"> neighbourhood SES </w:t>
      </w:r>
      <w:r w:rsidR="00FA3EBA">
        <w:rPr>
          <w:rFonts w:ascii="Times New Roman" w:hAnsi="Times New Roman" w:cs="Times New Roman"/>
        </w:rPr>
        <w:t>the multiplicative interaction term was not statistically significant for any of buffer sizes</w:t>
      </w:r>
      <w:r w:rsidRPr="007F60AC">
        <w:rPr>
          <w:rFonts w:ascii="Times New Roman" w:hAnsi="Times New Roman" w:cs="Times New Roman"/>
        </w:rPr>
        <w:t>.</w:t>
      </w:r>
    </w:p>
    <w:p w:rsidR="007136E7" w:rsidRPr="007F60AC" w:rsidRDefault="007136E7">
      <w:pPr>
        <w:spacing w:after="0"/>
        <w:rPr>
          <w:rFonts w:ascii="Times New Roman" w:hAnsi="Times New Roman" w:cs="Times New Roman"/>
        </w:rPr>
      </w:pPr>
    </w:p>
    <w:p w:rsidR="00214C40" w:rsidRDefault="004F7DAA">
      <w:pPr>
        <w:spacing w:after="0"/>
        <w:rPr>
          <w:rFonts w:ascii="Times New Roman" w:hAnsi="Times New Roman" w:cs="Times New Roman"/>
        </w:rPr>
      </w:pPr>
      <w:r w:rsidRPr="007F60AC">
        <w:rPr>
          <w:rFonts w:ascii="Times New Roman" w:hAnsi="Times New Roman" w:cs="Times New Roman"/>
        </w:rPr>
        <w:t xml:space="preserve">After stratifying the analysis according to ethnicity, </w:t>
      </w:r>
      <w:r w:rsidR="0070063D">
        <w:rPr>
          <w:rFonts w:ascii="Times New Roman" w:hAnsi="Times New Roman" w:cs="Times New Roman"/>
        </w:rPr>
        <w:t xml:space="preserve">there was a positive association between residential surrounding </w:t>
      </w:r>
      <w:r w:rsidR="00D87BBF">
        <w:rPr>
          <w:rFonts w:ascii="Times New Roman" w:hAnsi="Times New Roman" w:cs="Times New Roman"/>
        </w:rPr>
        <w:t>greenness and</w:t>
      </w:r>
      <w:r w:rsidRPr="007F60AC">
        <w:rPr>
          <w:rFonts w:ascii="Times New Roman" w:hAnsi="Times New Roman" w:cs="Times New Roman"/>
        </w:rPr>
        <w:t xml:space="preserve"> birth weight for offspring of </w:t>
      </w:r>
      <w:r w:rsidR="00D23C99" w:rsidRPr="007F60AC">
        <w:rPr>
          <w:rFonts w:ascii="Times New Roman" w:hAnsi="Times New Roman" w:cs="Times New Roman"/>
        </w:rPr>
        <w:t>White British</w:t>
      </w:r>
      <w:r w:rsidRPr="007F60AC">
        <w:rPr>
          <w:rFonts w:ascii="Times New Roman" w:hAnsi="Times New Roman" w:cs="Times New Roman"/>
        </w:rPr>
        <w:t xml:space="preserve"> </w:t>
      </w:r>
      <w:r w:rsidR="00D23C99" w:rsidRPr="007F60AC">
        <w:rPr>
          <w:rFonts w:ascii="Times New Roman" w:hAnsi="Times New Roman" w:cs="Times New Roman"/>
        </w:rPr>
        <w:t>participant</w:t>
      </w:r>
      <w:r w:rsidRPr="007F60AC">
        <w:rPr>
          <w:rFonts w:ascii="Times New Roman" w:hAnsi="Times New Roman" w:cs="Times New Roman"/>
        </w:rPr>
        <w:t>s</w:t>
      </w:r>
      <w:r w:rsidR="00D87BBF">
        <w:rPr>
          <w:rFonts w:ascii="Times New Roman" w:hAnsi="Times New Roman" w:cs="Times New Roman"/>
        </w:rPr>
        <w:t xml:space="preserve"> (for 500 m and 1000 m buffers the associations were nearly statistically significant)</w:t>
      </w:r>
      <w:r w:rsidRPr="007F60AC">
        <w:rPr>
          <w:rFonts w:ascii="Times New Roman" w:hAnsi="Times New Roman" w:cs="Times New Roman"/>
        </w:rPr>
        <w:t>, whereas, the association</w:t>
      </w:r>
      <w:r w:rsidR="00D87BBF">
        <w:rPr>
          <w:rFonts w:ascii="Times New Roman" w:hAnsi="Times New Roman" w:cs="Times New Roman"/>
        </w:rPr>
        <w:t>s</w:t>
      </w:r>
      <w:r w:rsidRPr="007F60AC">
        <w:rPr>
          <w:rFonts w:ascii="Times New Roman" w:hAnsi="Times New Roman" w:cs="Times New Roman"/>
        </w:rPr>
        <w:t xml:space="preserve"> for </w:t>
      </w:r>
      <w:r w:rsidR="00D23C99" w:rsidRPr="007F60AC">
        <w:rPr>
          <w:rFonts w:ascii="Times New Roman" w:hAnsi="Times New Roman" w:cs="Times New Roman"/>
        </w:rPr>
        <w:t>participant</w:t>
      </w:r>
      <w:r w:rsidRPr="007F60AC">
        <w:rPr>
          <w:rFonts w:ascii="Times New Roman" w:hAnsi="Times New Roman" w:cs="Times New Roman"/>
        </w:rPr>
        <w:t xml:space="preserve">s with Pakistani origin </w:t>
      </w:r>
      <w:r w:rsidR="00D87BBF" w:rsidRPr="007F60AC">
        <w:rPr>
          <w:rFonts w:ascii="Times New Roman" w:hAnsi="Times New Roman" w:cs="Times New Roman"/>
        </w:rPr>
        <w:t>w</w:t>
      </w:r>
      <w:r w:rsidR="00D87BBF">
        <w:rPr>
          <w:rFonts w:ascii="Times New Roman" w:hAnsi="Times New Roman" w:cs="Times New Roman"/>
        </w:rPr>
        <w:t>ere</w:t>
      </w:r>
      <w:r w:rsidR="00D87BBF" w:rsidRPr="007F60AC">
        <w:rPr>
          <w:rFonts w:ascii="Times New Roman" w:hAnsi="Times New Roman" w:cs="Times New Roman"/>
        </w:rPr>
        <w:t xml:space="preserve"> </w:t>
      </w:r>
      <w:r w:rsidRPr="007F60AC">
        <w:rPr>
          <w:rFonts w:ascii="Times New Roman" w:hAnsi="Times New Roman" w:cs="Times New Roman"/>
        </w:rPr>
        <w:t xml:space="preserve">almost null (Table 4). For the offspring of </w:t>
      </w:r>
      <w:r w:rsidR="00D23C99" w:rsidRPr="007F60AC">
        <w:rPr>
          <w:rFonts w:ascii="Times New Roman" w:hAnsi="Times New Roman" w:cs="Times New Roman"/>
        </w:rPr>
        <w:t>participant</w:t>
      </w:r>
      <w:r w:rsidRPr="007F60AC">
        <w:rPr>
          <w:rFonts w:ascii="Times New Roman" w:hAnsi="Times New Roman" w:cs="Times New Roman"/>
        </w:rPr>
        <w:t xml:space="preserve">s classified as other ethnicity, we found a </w:t>
      </w:r>
      <w:r w:rsidR="00E0445B" w:rsidRPr="007F60AC">
        <w:rPr>
          <w:rFonts w:ascii="Times New Roman" w:hAnsi="Times New Roman" w:cs="Times New Roman"/>
        </w:rPr>
        <w:t>positive</w:t>
      </w:r>
      <w:r w:rsidRPr="007F60AC">
        <w:rPr>
          <w:rFonts w:ascii="Times New Roman" w:hAnsi="Times New Roman" w:cs="Times New Roman"/>
        </w:rPr>
        <w:t xml:space="preserve"> association between birth weight and residential surrounding greenness </w:t>
      </w:r>
      <w:r w:rsidR="009D186D">
        <w:rPr>
          <w:rFonts w:ascii="Times New Roman" w:hAnsi="Times New Roman" w:cs="Times New Roman"/>
        </w:rPr>
        <w:t>that were statistically significant in 250 m</w:t>
      </w:r>
      <w:r w:rsidR="00D4774F">
        <w:rPr>
          <w:rFonts w:ascii="Times New Roman" w:hAnsi="Times New Roman" w:cs="Times New Roman"/>
        </w:rPr>
        <w:t>,</w:t>
      </w:r>
      <w:r w:rsidR="009D186D">
        <w:rPr>
          <w:rFonts w:ascii="Times New Roman" w:hAnsi="Times New Roman" w:cs="Times New Roman"/>
        </w:rPr>
        <w:t xml:space="preserve"> 500 m</w:t>
      </w:r>
      <w:r w:rsidR="00D4774F">
        <w:rPr>
          <w:rFonts w:ascii="Times New Roman" w:hAnsi="Times New Roman" w:cs="Times New Roman"/>
        </w:rPr>
        <w:t>, and 1000 m</w:t>
      </w:r>
      <w:r w:rsidR="009D186D">
        <w:rPr>
          <w:rFonts w:ascii="Times New Roman" w:hAnsi="Times New Roman" w:cs="Times New Roman"/>
        </w:rPr>
        <w:t xml:space="preserve"> buffers </w:t>
      </w:r>
      <w:r w:rsidRPr="007F60AC">
        <w:rPr>
          <w:rFonts w:ascii="Times New Roman" w:hAnsi="Times New Roman" w:cs="Times New Roman"/>
        </w:rPr>
        <w:t>(Table 4).</w:t>
      </w:r>
      <w:r w:rsidR="00DD1789">
        <w:rPr>
          <w:rFonts w:ascii="Times New Roman" w:hAnsi="Times New Roman" w:cs="Times New Roman"/>
        </w:rPr>
        <w:t xml:space="preserve"> </w:t>
      </w:r>
      <w:r w:rsidR="00DD1789" w:rsidRPr="003D3DED">
        <w:rPr>
          <w:rFonts w:ascii="Times New Roman" w:hAnsi="Times New Roman" w:cs="Times New Roman"/>
        </w:rPr>
        <w:t xml:space="preserve">This category included a wide range of ethnicities (Indians (N=412), Asian-other (N=251), white-other (N= 283), black African (N=215), mixed (N=166), and other (N= 281)) that lacked sufficient </w:t>
      </w:r>
      <w:r w:rsidR="00DD1789">
        <w:rPr>
          <w:rFonts w:ascii="Times New Roman" w:hAnsi="Times New Roman" w:cs="Times New Roman"/>
        </w:rPr>
        <w:t xml:space="preserve">statistical </w:t>
      </w:r>
      <w:r w:rsidR="00DD1789" w:rsidRPr="003D3DED">
        <w:rPr>
          <w:rFonts w:ascii="Times New Roman" w:hAnsi="Times New Roman" w:cs="Times New Roman"/>
        </w:rPr>
        <w:t>power for separate analyses.</w:t>
      </w:r>
    </w:p>
    <w:p w:rsidR="007136E7" w:rsidRPr="007F60AC" w:rsidRDefault="007136E7">
      <w:pPr>
        <w:spacing w:after="0"/>
        <w:rPr>
          <w:rFonts w:ascii="Times New Roman" w:hAnsi="Times New Roman" w:cs="Times New Roman"/>
        </w:rPr>
      </w:pPr>
    </w:p>
    <w:p w:rsidR="00354FCA" w:rsidRDefault="000D5751">
      <w:pPr>
        <w:spacing w:after="0"/>
        <w:rPr>
          <w:rFonts w:ascii="Times New Roman" w:hAnsi="Times New Roman" w:cs="Times New Roman"/>
        </w:rPr>
      </w:pPr>
      <w:r>
        <w:rPr>
          <w:rFonts w:ascii="Times New Roman" w:hAnsi="Times New Roman" w:cs="Times New Roman"/>
        </w:rPr>
        <w:t>For surrounding greenness in larger buffers of 500 m and 1000 m t</w:t>
      </w:r>
      <w:r w:rsidR="004F7DAA" w:rsidRPr="007F60AC">
        <w:rPr>
          <w:rFonts w:ascii="Times New Roman" w:hAnsi="Times New Roman" w:cs="Times New Roman"/>
        </w:rPr>
        <w:t>here was a trend in the associations across the strata of the maternal education</w:t>
      </w:r>
      <w:r>
        <w:rPr>
          <w:rFonts w:ascii="Times New Roman" w:hAnsi="Times New Roman" w:cs="Times New Roman"/>
        </w:rPr>
        <w:t xml:space="preserve"> as well as </w:t>
      </w:r>
      <w:r w:rsidRPr="007F60AC">
        <w:rPr>
          <w:rFonts w:ascii="Times New Roman" w:hAnsi="Times New Roman" w:cs="Times New Roman"/>
        </w:rPr>
        <w:t>neighbourhood SES</w:t>
      </w:r>
      <w:r w:rsidR="004F7DAA" w:rsidRPr="007F60AC">
        <w:rPr>
          <w:rFonts w:ascii="Times New Roman" w:hAnsi="Times New Roman" w:cs="Times New Roman"/>
        </w:rPr>
        <w:t xml:space="preserve"> with stronger associations found for offspring of </w:t>
      </w:r>
      <w:r w:rsidR="00D23C99" w:rsidRPr="007F60AC">
        <w:rPr>
          <w:rFonts w:ascii="Times New Roman" w:hAnsi="Times New Roman" w:cs="Times New Roman"/>
        </w:rPr>
        <w:t>participant</w:t>
      </w:r>
      <w:r w:rsidR="004F7DAA" w:rsidRPr="007F60AC">
        <w:rPr>
          <w:rFonts w:ascii="Times New Roman" w:hAnsi="Times New Roman" w:cs="Times New Roman"/>
        </w:rPr>
        <w:t>s with lower education levels</w:t>
      </w:r>
      <w:r>
        <w:rPr>
          <w:rFonts w:ascii="Times New Roman" w:hAnsi="Times New Roman" w:cs="Times New Roman"/>
        </w:rPr>
        <w:t xml:space="preserve"> and </w:t>
      </w:r>
      <w:r w:rsidR="00983ACD">
        <w:rPr>
          <w:rFonts w:ascii="Times New Roman" w:hAnsi="Times New Roman" w:cs="Times New Roman"/>
        </w:rPr>
        <w:t xml:space="preserve">for </w:t>
      </w:r>
      <w:r>
        <w:rPr>
          <w:rFonts w:ascii="Times New Roman" w:hAnsi="Times New Roman" w:cs="Times New Roman"/>
        </w:rPr>
        <w:t>those residing in more deprived neighbourhoods</w:t>
      </w:r>
      <w:r w:rsidR="003368AC">
        <w:rPr>
          <w:rFonts w:ascii="Times New Roman" w:hAnsi="Times New Roman" w:cs="Times New Roman"/>
        </w:rPr>
        <w:t xml:space="preserve"> with statistically </w:t>
      </w:r>
      <w:r w:rsidR="003368AC">
        <w:rPr>
          <w:rFonts w:ascii="Times New Roman" w:hAnsi="Times New Roman" w:cs="Times New Roman"/>
        </w:rPr>
        <w:lastRenderedPageBreak/>
        <w:t>significant associations only for those residing in the most deprived neighbourhoods</w:t>
      </w:r>
      <w:r w:rsidR="004F7DAA" w:rsidRPr="007F60AC">
        <w:rPr>
          <w:rFonts w:ascii="Times New Roman" w:hAnsi="Times New Roman" w:cs="Times New Roman"/>
        </w:rPr>
        <w:t xml:space="preserve"> (Table 4). </w:t>
      </w:r>
      <w:r w:rsidR="003368AC">
        <w:rPr>
          <w:rFonts w:ascii="Times New Roman" w:hAnsi="Times New Roman" w:cs="Times New Roman"/>
        </w:rPr>
        <w:t xml:space="preserve">Such trends were not observed </w:t>
      </w:r>
      <w:r w:rsidR="00E75273">
        <w:rPr>
          <w:rFonts w:ascii="Times New Roman" w:hAnsi="Times New Roman" w:cs="Times New Roman"/>
        </w:rPr>
        <w:t xml:space="preserve">for surrounding greenness in smaller buffers of 50 m, 100 m, and 250 m; however, the associations for those residing in the most deprived neighbourhoods were </w:t>
      </w:r>
      <w:r w:rsidR="0052232A">
        <w:rPr>
          <w:rFonts w:ascii="Times New Roman" w:hAnsi="Times New Roman" w:cs="Times New Roman"/>
        </w:rPr>
        <w:t xml:space="preserve">the </w:t>
      </w:r>
      <w:r w:rsidR="00E75273">
        <w:rPr>
          <w:rFonts w:ascii="Times New Roman" w:hAnsi="Times New Roman" w:cs="Times New Roman"/>
        </w:rPr>
        <w:t>strongest and statistically significant</w:t>
      </w:r>
      <w:r w:rsidR="004F7DAA" w:rsidRPr="007F60AC">
        <w:rPr>
          <w:rFonts w:ascii="Times New Roman" w:hAnsi="Times New Roman" w:cs="Times New Roman"/>
        </w:rPr>
        <w:t xml:space="preserve"> (Table 4).</w:t>
      </w:r>
    </w:p>
    <w:p w:rsidR="007136E7" w:rsidRPr="007F60AC" w:rsidRDefault="007136E7">
      <w:pPr>
        <w:spacing w:after="0"/>
        <w:rPr>
          <w:rFonts w:ascii="Times New Roman" w:hAnsi="Times New Roman" w:cs="Times New Roman"/>
        </w:rPr>
      </w:pPr>
    </w:p>
    <w:p w:rsidR="007136E7" w:rsidRPr="000471B0" w:rsidRDefault="000471B0" w:rsidP="009F12C2">
      <w:pPr>
        <w:spacing w:after="0"/>
        <w:rPr>
          <w:rFonts w:ascii="Times New Roman" w:hAnsi="Times New Roman" w:cs="Times New Roman"/>
          <w:iCs/>
        </w:rPr>
      </w:pPr>
      <w:r w:rsidRPr="000471B0">
        <w:rPr>
          <w:rFonts w:ascii="Times New Roman" w:hAnsi="Times New Roman" w:cs="Times New Roman"/>
          <w:iCs/>
        </w:rPr>
        <w:t xml:space="preserve">3.3.3. </w:t>
      </w:r>
      <w:r w:rsidR="009F12C2" w:rsidRPr="009F12C2">
        <w:rPr>
          <w:rFonts w:ascii="Times New Roman" w:hAnsi="Times New Roman" w:cs="Times New Roman"/>
          <w:iCs/>
        </w:rPr>
        <w:t>Associations with access to green space</w:t>
      </w:r>
    </w:p>
    <w:p w:rsidR="00214C40" w:rsidRDefault="009D0F24">
      <w:pPr>
        <w:spacing w:after="0"/>
        <w:rPr>
          <w:rFonts w:ascii="Times New Roman" w:hAnsi="Times New Roman" w:cs="Times New Roman"/>
        </w:rPr>
      </w:pPr>
      <w:r>
        <w:rPr>
          <w:rFonts w:ascii="Times New Roman" w:hAnsi="Times New Roman" w:cs="Times New Roman"/>
        </w:rPr>
        <w:t>Of 10</w:t>
      </w:r>
      <w:r w:rsidR="00902CA7">
        <w:rPr>
          <w:rFonts w:ascii="Times New Roman" w:hAnsi="Times New Roman" w:cs="Times New Roman"/>
        </w:rPr>
        <w:t xml:space="preserve"> </w:t>
      </w:r>
      <w:r>
        <w:rPr>
          <w:rFonts w:ascii="Times New Roman" w:hAnsi="Times New Roman" w:cs="Times New Roman"/>
        </w:rPr>
        <w:t>780 study participants, 6406 (59.4%) lived within 300m of a green space with an area ≥ 5000 m</w:t>
      </w:r>
      <w:r w:rsidR="005618BC" w:rsidRPr="005618BC">
        <w:rPr>
          <w:rFonts w:ascii="Times New Roman" w:hAnsi="Times New Roman" w:cs="Times New Roman"/>
          <w:vertAlign w:val="superscript"/>
        </w:rPr>
        <w:t>2</w:t>
      </w:r>
      <w:r>
        <w:rPr>
          <w:rFonts w:ascii="Times New Roman" w:hAnsi="Times New Roman" w:cs="Times New Roman"/>
        </w:rPr>
        <w:t xml:space="preserve">. </w:t>
      </w:r>
      <w:r w:rsidR="004F7DAA" w:rsidRPr="007F60AC">
        <w:rPr>
          <w:rFonts w:ascii="Times New Roman" w:hAnsi="Times New Roman" w:cs="Times New Roman"/>
        </w:rPr>
        <w:t>We observed an increase in birth weight for those living within 30</w:t>
      </w:r>
      <w:r w:rsidR="00A51F1F">
        <w:rPr>
          <w:rFonts w:ascii="Times New Roman" w:hAnsi="Times New Roman" w:cs="Times New Roman"/>
        </w:rPr>
        <w:t>0 m</w:t>
      </w:r>
      <w:r w:rsidR="004F7DAA" w:rsidRPr="007F60AC">
        <w:rPr>
          <w:rFonts w:ascii="Times New Roman" w:hAnsi="Times New Roman" w:cs="Times New Roman"/>
        </w:rPr>
        <w:t xml:space="preserve"> of </w:t>
      </w:r>
      <w:r>
        <w:rPr>
          <w:rFonts w:ascii="Times New Roman" w:hAnsi="Times New Roman" w:cs="Times New Roman"/>
        </w:rPr>
        <w:t>these</w:t>
      </w:r>
      <w:r w:rsidRPr="007F60AC">
        <w:rPr>
          <w:rFonts w:ascii="Times New Roman" w:hAnsi="Times New Roman" w:cs="Times New Roman"/>
        </w:rPr>
        <w:t xml:space="preserve"> </w:t>
      </w:r>
      <w:r w:rsidR="004F7DAA" w:rsidRPr="007F60AC">
        <w:rPr>
          <w:rFonts w:ascii="Times New Roman" w:hAnsi="Times New Roman" w:cs="Times New Roman"/>
        </w:rPr>
        <w:t>green space</w:t>
      </w:r>
      <w:r w:rsidR="00B95B82">
        <w:rPr>
          <w:rFonts w:ascii="Times New Roman" w:hAnsi="Times New Roman" w:cs="Times New Roman"/>
        </w:rPr>
        <w:t>s</w:t>
      </w:r>
      <w:r w:rsidR="004F7DAA" w:rsidRPr="007F60AC">
        <w:rPr>
          <w:rFonts w:ascii="Times New Roman" w:hAnsi="Times New Roman" w:cs="Times New Roman"/>
        </w:rPr>
        <w:t xml:space="preserve"> compared to those living further away; however the association </w:t>
      </w:r>
      <w:r>
        <w:rPr>
          <w:rFonts w:ascii="Times New Roman" w:hAnsi="Times New Roman" w:cs="Times New Roman"/>
        </w:rPr>
        <w:t>lost</w:t>
      </w:r>
      <w:r w:rsidR="004F7DAA" w:rsidRPr="007F60AC">
        <w:rPr>
          <w:rFonts w:ascii="Times New Roman" w:hAnsi="Times New Roman" w:cs="Times New Roman"/>
        </w:rPr>
        <w:t xml:space="preserve"> </w:t>
      </w:r>
      <w:r w:rsidR="00A92034">
        <w:rPr>
          <w:rFonts w:ascii="Times New Roman" w:hAnsi="Times New Roman" w:cs="Times New Roman"/>
        </w:rPr>
        <w:t xml:space="preserve">its </w:t>
      </w:r>
      <w:r w:rsidR="004F7DAA" w:rsidRPr="007F60AC">
        <w:rPr>
          <w:rFonts w:ascii="Times New Roman" w:hAnsi="Times New Roman" w:cs="Times New Roman"/>
        </w:rPr>
        <w:t>statistical significance</w:t>
      </w:r>
      <w:r>
        <w:rPr>
          <w:rFonts w:ascii="Times New Roman" w:hAnsi="Times New Roman" w:cs="Times New Roman"/>
        </w:rPr>
        <w:t xml:space="preserve"> after adjusting the analysis for relevant covariates</w:t>
      </w:r>
      <w:r w:rsidR="004F7DAA" w:rsidRPr="007F60AC">
        <w:rPr>
          <w:rFonts w:ascii="Times New Roman" w:hAnsi="Times New Roman" w:cs="Times New Roman"/>
        </w:rPr>
        <w:t>. The regression coefficient for residential proximity to</w:t>
      </w:r>
      <w:r w:rsidR="00E423C5" w:rsidRPr="007F60AC">
        <w:rPr>
          <w:rFonts w:ascii="Times New Roman" w:hAnsi="Times New Roman" w:cs="Times New Roman"/>
        </w:rPr>
        <w:t xml:space="preserve"> green</w:t>
      </w:r>
      <w:r w:rsidR="004F7DAA" w:rsidRPr="007F60AC">
        <w:rPr>
          <w:rFonts w:ascii="Times New Roman" w:hAnsi="Times New Roman" w:cs="Times New Roman"/>
        </w:rPr>
        <w:t xml:space="preserve"> spaces was </w:t>
      </w:r>
      <w:r w:rsidR="00937BE5">
        <w:rPr>
          <w:rFonts w:ascii="Times New Roman" w:hAnsi="Times New Roman" w:cs="Times New Roman"/>
        </w:rPr>
        <w:t>22.8 (95% CI: 1.</w:t>
      </w:r>
      <w:r w:rsidR="00214C40" w:rsidRPr="00214C40">
        <w:rPr>
          <w:rFonts w:ascii="Times New Roman" w:hAnsi="Times New Roman" w:cs="Times New Roman"/>
        </w:rPr>
        <w:t>26</w:t>
      </w:r>
      <w:r w:rsidR="00937BE5">
        <w:rPr>
          <w:rFonts w:ascii="Times New Roman" w:hAnsi="Times New Roman" w:cs="Times New Roman"/>
        </w:rPr>
        <w:t>, 44.3)</w:t>
      </w:r>
      <w:r w:rsidR="004F7DAA" w:rsidRPr="007F60AC">
        <w:rPr>
          <w:rFonts w:ascii="Times New Roman" w:hAnsi="Times New Roman" w:cs="Times New Roman"/>
        </w:rPr>
        <w:t xml:space="preserve"> and </w:t>
      </w:r>
      <w:r w:rsidR="003102DB">
        <w:rPr>
          <w:rFonts w:ascii="Times New Roman" w:hAnsi="Times New Roman" w:cs="Times New Roman"/>
        </w:rPr>
        <w:t xml:space="preserve">4.8 </w:t>
      </w:r>
      <w:r w:rsidR="004F7DAA" w:rsidRPr="007F60AC">
        <w:rPr>
          <w:rFonts w:ascii="Times New Roman" w:hAnsi="Times New Roman" w:cs="Times New Roman"/>
        </w:rPr>
        <w:t>(</w:t>
      </w:r>
      <w:r w:rsidR="00476B2D" w:rsidRPr="007F60AC">
        <w:rPr>
          <w:rFonts w:ascii="Times New Roman" w:hAnsi="Times New Roman" w:cs="Times New Roman"/>
        </w:rPr>
        <w:t xml:space="preserve">95% CI: </w:t>
      </w:r>
      <w:r w:rsidR="004F7DAA" w:rsidRPr="007F60AC">
        <w:rPr>
          <w:rFonts w:ascii="Times New Roman" w:hAnsi="Times New Roman" w:cs="Times New Roman"/>
        </w:rPr>
        <w:t>-</w:t>
      </w:r>
      <w:r w:rsidR="003102DB">
        <w:rPr>
          <w:rFonts w:ascii="Times New Roman" w:hAnsi="Times New Roman" w:cs="Times New Roman"/>
        </w:rPr>
        <w:t>12.</w:t>
      </w:r>
      <w:r w:rsidR="00660781">
        <w:rPr>
          <w:rFonts w:ascii="Times New Roman" w:hAnsi="Times New Roman" w:cs="Times New Roman"/>
        </w:rPr>
        <w:t>5</w:t>
      </w:r>
      <w:r w:rsidR="004F7DAA" w:rsidRPr="007F60AC">
        <w:rPr>
          <w:rFonts w:ascii="Times New Roman" w:hAnsi="Times New Roman" w:cs="Times New Roman"/>
        </w:rPr>
        <w:t xml:space="preserve">, </w:t>
      </w:r>
      <w:r w:rsidR="00216559">
        <w:rPr>
          <w:rFonts w:ascii="Times New Roman" w:hAnsi="Times New Roman" w:cs="Times New Roman"/>
        </w:rPr>
        <w:t>2</w:t>
      </w:r>
      <w:r w:rsidR="006C55D9">
        <w:rPr>
          <w:rFonts w:ascii="Times New Roman" w:hAnsi="Times New Roman" w:cs="Times New Roman"/>
        </w:rPr>
        <w:t>2</w:t>
      </w:r>
      <w:r w:rsidR="00216559">
        <w:rPr>
          <w:rFonts w:ascii="Times New Roman" w:hAnsi="Times New Roman" w:cs="Times New Roman"/>
        </w:rPr>
        <w:t>.</w:t>
      </w:r>
      <w:r w:rsidR="00660781">
        <w:rPr>
          <w:rFonts w:ascii="Times New Roman" w:hAnsi="Times New Roman" w:cs="Times New Roman"/>
        </w:rPr>
        <w:t>1</w:t>
      </w:r>
      <w:r w:rsidR="004F7DAA" w:rsidRPr="007F60AC">
        <w:rPr>
          <w:rFonts w:ascii="Times New Roman" w:hAnsi="Times New Roman" w:cs="Times New Roman"/>
        </w:rPr>
        <w:t xml:space="preserve">) in unadjusted and fully-adjusted models respectively. </w:t>
      </w:r>
      <w:r>
        <w:rPr>
          <w:rFonts w:ascii="Times New Roman" w:hAnsi="Times New Roman" w:cs="Times New Roman"/>
        </w:rPr>
        <w:t>We repeated this analysis using different combinations of distance (</w:t>
      </w:r>
      <w:r w:rsidR="00B95B82">
        <w:rPr>
          <w:rFonts w:ascii="Times New Roman" w:hAnsi="Times New Roman" w:cs="Times New Roman"/>
        </w:rPr>
        <w:t xml:space="preserve">i.e. </w:t>
      </w:r>
      <w:r>
        <w:rPr>
          <w:rFonts w:ascii="Times New Roman" w:hAnsi="Times New Roman" w:cs="Times New Roman"/>
        </w:rPr>
        <w:t xml:space="preserve">100 m </w:t>
      </w:r>
      <w:r w:rsidR="00B95B82">
        <w:rPr>
          <w:rFonts w:ascii="Times New Roman" w:hAnsi="Times New Roman" w:cs="Times New Roman"/>
        </w:rPr>
        <w:t>or</w:t>
      </w:r>
      <w:r>
        <w:rPr>
          <w:rFonts w:ascii="Times New Roman" w:hAnsi="Times New Roman" w:cs="Times New Roman"/>
        </w:rPr>
        <w:t xml:space="preserve"> 500 m) and area (</w:t>
      </w:r>
      <w:r w:rsidR="00B95B82">
        <w:rPr>
          <w:rFonts w:ascii="Times New Roman" w:hAnsi="Times New Roman" w:cs="Times New Roman"/>
        </w:rPr>
        <w:t>i.e. any size or ≥ 5000 m</w:t>
      </w:r>
      <w:r w:rsidR="00B95B82" w:rsidRPr="009D0F24">
        <w:rPr>
          <w:rFonts w:ascii="Times New Roman" w:hAnsi="Times New Roman" w:cs="Times New Roman"/>
          <w:vertAlign w:val="superscript"/>
        </w:rPr>
        <w:t>2</w:t>
      </w:r>
      <w:r w:rsidR="00B95B82">
        <w:rPr>
          <w:rFonts w:ascii="Times New Roman" w:hAnsi="Times New Roman" w:cs="Times New Roman"/>
        </w:rPr>
        <w:t xml:space="preserve">) of green spaces </w:t>
      </w:r>
      <w:r w:rsidR="006E0967">
        <w:rPr>
          <w:rFonts w:ascii="Times New Roman" w:hAnsi="Times New Roman" w:cs="Times New Roman"/>
        </w:rPr>
        <w:t xml:space="preserve">to </w:t>
      </w:r>
      <w:r w:rsidR="005618BC" w:rsidRPr="005618BC">
        <w:rPr>
          <w:rFonts w:ascii="Times New Roman" w:hAnsi="Times New Roman" w:cs="Times New Roman"/>
        </w:rPr>
        <w:t xml:space="preserve">define </w:t>
      </w:r>
      <w:r w:rsidR="00A92034" w:rsidRPr="007F60AC">
        <w:rPr>
          <w:rFonts w:ascii="Times New Roman" w:hAnsi="Times New Roman" w:cs="Times New Roman"/>
        </w:rPr>
        <w:t>residential proximity to green spaces</w:t>
      </w:r>
      <w:r w:rsidR="00B95B82">
        <w:rPr>
          <w:rFonts w:ascii="Times New Roman" w:hAnsi="Times New Roman" w:cs="Times New Roman"/>
          <w:i/>
        </w:rPr>
        <w:t xml:space="preserve"> </w:t>
      </w:r>
      <w:r w:rsidR="00B95B82">
        <w:rPr>
          <w:rFonts w:ascii="Times New Roman" w:hAnsi="Times New Roman" w:cs="Times New Roman"/>
        </w:rPr>
        <w:t xml:space="preserve">and </w:t>
      </w:r>
      <w:r w:rsidR="005618BC" w:rsidRPr="005618BC">
        <w:rPr>
          <w:rFonts w:asciiTheme="majorBidi" w:hAnsiTheme="majorBidi" w:cstheme="majorBidi"/>
          <w:iCs/>
        </w:rPr>
        <w:t>did not observe any statistically significant association with birth weight</w:t>
      </w:r>
      <w:r w:rsidR="005618BC" w:rsidRPr="005618BC">
        <w:rPr>
          <w:rFonts w:ascii="Times New Roman" w:hAnsi="Times New Roman" w:cs="Times New Roman"/>
          <w:iCs/>
        </w:rPr>
        <w:t xml:space="preserve">.   </w:t>
      </w:r>
    </w:p>
    <w:p w:rsidR="007136E7" w:rsidRPr="007F60AC" w:rsidRDefault="007136E7">
      <w:pPr>
        <w:spacing w:after="0"/>
        <w:rPr>
          <w:rFonts w:ascii="Times New Roman" w:hAnsi="Times New Roman" w:cs="Times New Roman"/>
        </w:rPr>
      </w:pPr>
    </w:p>
    <w:p w:rsidR="007136E7" w:rsidRPr="007F60AC" w:rsidRDefault="000471B0">
      <w:pPr>
        <w:spacing w:after="0"/>
        <w:rPr>
          <w:rFonts w:ascii="Times New Roman" w:hAnsi="Times New Roman" w:cs="Times New Roman"/>
          <w:b/>
          <w:bCs/>
        </w:rPr>
      </w:pPr>
      <w:r>
        <w:rPr>
          <w:rFonts w:ascii="Times New Roman" w:hAnsi="Times New Roman" w:cs="Times New Roman"/>
          <w:b/>
          <w:bCs/>
        </w:rPr>
        <w:t>4. Discussion</w:t>
      </w:r>
    </w:p>
    <w:p w:rsidR="007136E7" w:rsidRPr="007F60AC" w:rsidRDefault="007136E7">
      <w:pPr>
        <w:spacing w:after="0"/>
        <w:rPr>
          <w:rFonts w:ascii="Times New Roman" w:hAnsi="Times New Roman" w:cs="Times New Roman"/>
        </w:rPr>
      </w:pPr>
    </w:p>
    <w:p w:rsidR="00354FCA" w:rsidRDefault="004F7DAA" w:rsidP="005516BF">
      <w:pPr>
        <w:spacing w:after="0"/>
        <w:rPr>
          <w:rFonts w:ascii="Times New Roman" w:hAnsi="Times New Roman" w:cs="Times New Roman"/>
        </w:rPr>
      </w:pPr>
      <w:r w:rsidRPr="007F60AC">
        <w:rPr>
          <w:rFonts w:ascii="Times New Roman" w:hAnsi="Times New Roman" w:cs="Times New Roman"/>
        </w:rPr>
        <w:t xml:space="preserve">We studied the impact of </w:t>
      </w:r>
      <w:r w:rsidR="00050D41" w:rsidRPr="007F60AC">
        <w:rPr>
          <w:rFonts w:ascii="Times New Roman" w:hAnsi="Times New Roman" w:cs="Times New Roman"/>
        </w:rPr>
        <w:t>contact with green spaces</w:t>
      </w:r>
      <w:r w:rsidRPr="007F60AC">
        <w:rPr>
          <w:rFonts w:ascii="Times New Roman" w:hAnsi="Times New Roman" w:cs="Times New Roman"/>
        </w:rPr>
        <w:t xml:space="preserve"> on birth weight in a</w:t>
      </w:r>
      <w:r w:rsidR="001E7DAA" w:rsidRPr="007F60AC">
        <w:rPr>
          <w:rFonts w:ascii="Times New Roman" w:hAnsi="Times New Roman" w:cs="Times New Roman"/>
        </w:rPr>
        <w:t xml:space="preserve"> well-established</w:t>
      </w:r>
      <w:r w:rsidRPr="007F60AC">
        <w:rPr>
          <w:rFonts w:ascii="Times New Roman" w:hAnsi="Times New Roman" w:cs="Times New Roman"/>
        </w:rPr>
        <w:t xml:space="preserve"> cohort. The ethnic composition of this cohort with about 40% of </w:t>
      </w:r>
      <w:r w:rsidR="00D23C99" w:rsidRPr="007F60AC">
        <w:rPr>
          <w:rFonts w:ascii="Times New Roman" w:hAnsi="Times New Roman" w:cs="Times New Roman"/>
        </w:rPr>
        <w:t>participant</w:t>
      </w:r>
      <w:r w:rsidRPr="007F60AC">
        <w:rPr>
          <w:rFonts w:ascii="Times New Roman" w:hAnsi="Times New Roman" w:cs="Times New Roman"/>
        </w:rPr>
        <w:t xml:space="preserve">s being </w:t>
      </w:r>
      <w:r w:rsidR="00D23C99" w:rsidRPr="007F60AC">
        <w:rPr>
          <w:rFonts w:ascii="Times New Roman" w:hAnsi="Times New Roman" w:cs="Times New Roman"/>
        </w:rPr>
        <w:t>White British</w:t>
      </w:r>
      <w:r w:rsidRPr="007F60AC">
        <w:rPr>
          <w:rFonts w:ascii="Times New Roman" w:hAnsi="Times New Roman" w:cs="Times New Roman"/>
        </w:rPr>
        <w:t xml:space="preserve"> and 45% having Pakistani origin provided a unique opportunity to investigate, for the first time, the influence of ethnicity on the </w:t>
      </w:r>
      <w:r w:rsidR="00201FB7" w:rsidRPr="007F60AC">
        <w:rPr>
          <w:rFonts w:ascii="Times New Roman" w:hAnsi="Times New Roman" w:cs="Times New Roman"/>
        </w:rPr>
        <w:t>beneficial</w:t>
      </w:r>
      <w:r w:rsidRPr="007F60AC">
        <w:rPr>
          <w:rFonts w:ascii="Times New Roman" w:hAnsi="Times New Roman" w:cs="Times New Roman"/>
        </w:rPr>
        <w:t xml:space="preserve"> </w:t>
      </w:r>
      <w:r w:rsidR="00943CDF" w:rsidRPr="007F60AC">
        <w:rPr>
          <w:rFonts w:ascii="Times New Roman" w:hAnsi="Times New Roman" w:cs="Times New Roman"/>
        </w:rPr>
        <w:t>impact</w:t>
      </w:r>
      <w:r w:rsidRPr="007F60AC">
        <w:rPr>
          <w:rFonts w:ascii="Times New Roman" w:hAnsi="Times New Roman" w:cs="Times New Roman"/>
        </w:rPr>
        <w:t xml:space="preserve"> of green space</w:t>
      </w:r>
      <w:r w:rsidR="00943CDF" w:rsidRPr="007F60AC">
        <w:rPr>
          <w:rFonts w:ascii="Times New Roman" w:hAnsi="Times New Roman" w:cs="Times New Roman"/>
        </w:rPr>
        <w:t>s</w:t>
      </w:r>
      <w:r w:rsidRPr="007F60AC">
        <w:rPr>
          <w:rFonts w:ascii="Times New Roman" w:hAnsi="Times New Roman" w:cs="Times New Roman"/>
        </w:rPr>
        <w:t xml:space="preserve"> </w:t>
      </w:r>
      <w:r w:rsidR="00A44EC7" w:rsidRPr="007F60AC">
        <w:rPr>
          <w:rFonts w:ascii="Times New Roman" w:hAnsi="Times New Roman" w:cs="Times New Roman"/>
        </w:rPr>
        <w:t>on</w:t>
      </w:r>
      <w:r w:rsidRPr="007F60AC">
        <w:rPr>
          <w:rFonts w:ascii="Times New Roman" w:hAnsi="Times New Roman" w:cs="Times New Roman"/>
        </w:rPr>
        <w:t xml:space="preserve"> pregnancy </w:t>
      </w:r>
      <w:r w:rsidR="00A44EC7" w:rsidRPr="007F60AC">
        <w:rPr>
          <w:rFonts w:ascii="Times New Roman" w:hAnsi="Times New Roman" w:cs="Times New Roman"/>
        </w:rPr>
        <w:t xml:space="preserve">outcomes </w:t>
      </w:r>
      <w:r w:rsidR="00943CDF" w:rsidRPr="007F60AC">
        <w:rPr>
          <w:rFonts w:ascii="Times New Roman" w:hAnsi="Times New Roman" w:cs="Times New Roman"/>
        </w:rPr>
        <w:t>that also</w:t>
      </w:r>
      <w:r w:rsidRPr="007F60AC">
        <w:rPr>
          <w:rFonts w:ascii="Times New Roman" w:hAnsi="Times New Roman" w:cs="Times New Roman"/>
        </w:rPr>
        <w:t xml:space="preserve"> adds to the scarce evidence on ethnic inequality in health benefits of green spaces. This study is </w:t>
      </w:r>
      <w:r w:rsidR="004E72EC">
        <w:rPr>
          <w:rFonts w:ascii="Times New Roman" w:hAnsi="Times New Roman" w:cs="Times New Roman"/>
        </w:rPr>
        <w:t xml:space="preserve">also </w:t>
      </w:r>
      <w:r w:rsidR="00C97131">
        <w:rPr>
          <w:rFonts w:ascii="Times New Roman" w:hAnsi="Times New Roman" w:cs="Times New Roman"/>
        </w:rPr>
        <w:t>one of the</w:t>
      </w:r>
      <w:r w:rsidRPr="007F60AC">
        <w:rPr>
          <w:rFonts w:ascii="Times New Roman" w:hAnsi="Times New Roman" w:cs="Times New Roman"/>
        </w:rPr>
        <w:t xml:space="preserve"> first to evaluate the </w:t>
      </w:r>
      <w:r w:rsidR="008A1B49" w:rsidRPr="007F60AC">
        <w:rPr>
          <w:rFonts w:ascii="Times New Roman" w:hAnsi="Times New Roman" w:cs="Times New Roman"/>
        </w:rPr>
        <w:lastRenderedPageBreak/>
        <w:t>influence</w:t>
      </w:r>
      <w:r w:rsidRPr="007F60AC">
        <w:rPr>
          <w:rFonts w:ascii="Times New Roman" w:hAnsi="Times New Roman" w:cs="Times New Roman"/>
        </w:rPr>
        <w:t xml:space="preserve"> of neighbourhood SES on the health benefits </w:t>
      </w:r>
      <w:r w:rsidR="00A44EC7" w:rsidRPr="007F60AC">
        <w:rPr>
          <w:rFonts w:ascii="Times New Roman" w:hAnsi="Times New Roman" w:cs="Times New Roman"/>
        </w:rPr>
        <w:t>of</w:t>
      </w:r>
      <w:r w:rsidRPr="007F60AC">
        <w:rPr>
          <w:rFonts w:ascii="Times New Roman" w:hAnsi="Times New Roman" w:cs="Times New Roman"/>
        </w:rPr>
        <w:t xml:space="preserve"> green spaces. We found a positive association between residential surrounding greenness</w:t>
      </w:r>
      <w:r w:rsidR="00E0445B" w:rsidRPr="007F60AC">
        <w:rPr>
          <w:rFonts w:ascii="Times New Roman" w:hAnsi="Times New Roman" w:cs="Times New Roman"/>
        </w:rPr>
        <w:t xml:space="preserve"> and birth weight</w:t>
      </w:r>
      <w:r w:rsidRPr="007F60AC">
        <w:rPr>
          <w:rFonts w:ascii="Times New Roman" w:hAnsi="Times New Roman" w:cs="Times New Roman"/>
        </w:rPr>
        <w:t xml:space="preserve">. </w:t>
      </w:r>
      <w:r w:rsidR="001E7DAA" w:rsidRPr="007F60AC">
        <w:rPr>
          <w:rFonts w:ascii="Times New Roman" w:hAnsi="Times New Roman" w:cs="Times New Roman"/>
        </w:rPr>
        <w:t>Furthermore, w</w:t>
      </w:r>
      <w:r w:rsidRPr="007F60AC">
        <w:rPr>
          <w:rFonts w:ascii="Times New Roman" w:hAnsi="Times New Roman" w:cs="Times New Roman"/>
        </w:rPr>
        <w:t xml:space="preserve">e observed an interaction between ethnicity and residential surrounding greenness in that </w:t>
      </w:r>
      <w:r w:rsidR="007341BA">
        <w:rPr>
          <w:rFonts w:ascii="Times New Roman" w:hAnsi="Times New Roman" w:cs="Times New Roman"/>
        </w:rPr>
        <w:t>for White British</w:t>
      </w:r>
      <w:r w:rsidR="007341BA" w:rsidRPr="00837CC9">
        <w:rPr>
          <w:rFonts w:ascii="Times New Roman" w:hAnsi="Times New Roman" w:cs="Times New Roman"/>
        </w:rPr>
        <w:t xml:space="preserve"> </w:t>
      </w:r>
      <w:r w:rsidR="007341BA">
        <w:rPr>
          <w:rFonts w:ascii="Times New Roman" w:hAnsi="Times New Roman" w:cs="Times New Roman"/>
        </w:rPr>
        <w:t>participant</w:t>
      </w:r>
      <w:r w:rsidR="007341BA" w:rsidRPr="00837CC9">
        <w:rPr>
          <w:rFonts w:ascii="Times New Roman" w:hAnsi="Times New Roman" w:cs="Times New Roman"/>
        </w:rPr>
        <w:t xml:space="preserve">s </w:t>
      </w:r>
      <w:r w:rsidR="007341BA">
        <w:rPr>
          <w:rFonts w:ascii="Times New Roman" w:hAnsi="Times New Roman" w:cs="Times New Roman"/>
        </w:rPr>
        <w:t xml:space="preserve">there was a positive association between birth weight residential surrounding greenness </w:t>
      </w:r>
      <w:r w:rsidR="007341BA" w:rsidRPr="00837CC9">
        <w:rPr>
          <w:rFonts w:ascii="Times New Roman" w:hAnsi="Times New Roman" w:cs="Times New Roman"/>
        </w:rPr>
        <w:t xml:space="preserve">whereas </w:t>
      </w:r>
      <w:r w:rsidR="007341BA">
        <w:rPr>
          <w:rFonts w:ascii="Times New Roman" w:hAnsi="Times New Roman" w:cs="Times New Roman"/>
        </w:rPr>
        <w:t>for participant</w:t>
      </w:r>
      <w:r w:rsidR="007341BA" w:rsidRPr="00837CC9">
        <w:rPr>
          <w:rFonts w:ascii="Times New Roman" w:hAnsi="Times New Roman" w:cs="Times New Roman"/>
        </w:rPr>
        <w:t>s of Pakistani origin</w:t>
      </w:r>
      <w:r w:rsidR="007341BA">
        <w:rPr>
          <w:rFonts w:ascii="Times New Roman" w:hAnsi="Times New Roman" w:cs="Times New Roman"/>
        </w:rPr>
        <w:t xml:space="preserve"> there was no such association</w:t>
      </w:r>
      <w:r w:rsidR="007341BA" w:rsidRPr="00837CC9">
        <w:rPr>
          <w:rFonts w:ascii="Times New Roman" w:hAnsi="Times New Roman" w:cs="Times New Roman"/>
        </w:rPr>
        <w:t xml:space="preserve">. </w:t>
      </w:r>
      <w:r w:rsidRPr="007F60AC">
        <w:rPr>
          <w:rFonts w:ascii="Times New Roman" w:hAnsi="Times New Roman" w:cs="Times New Roman"/>
        </w:rPr>
        <w:t xml:space="preserve">We also observed indications suggesting that the </w:t>
      </w:r>
      <w:r w:rsidR="0057038F">
        <w:rPr>
          <w:rFonts w:ascii="Times New Roman" w:hAnsi="Times New Roman" w:cs="Times New Roman"/>
        </w:rPr>
        <w:t>association between residential surrounding greenness and birth weight are stronger</w:t>
      </w:r>
      <w:r w:rsidRPr="007F60AC">
        <w:rPr>
          <w:rFonts w:ascii="Times New Roman" w:hAnsi="Times New Roman" w:cs="Times New Roman"/>
        </w:rPr>
        <w:t xml:space="preserve"> for more deprived individuals</w:t>
      </w:r>
      <w:r w:rsidR="0057038F">
        <w:rPr>
          <w:rFonts w:ascii="Times New Roman" w:hAnsi="Times New Roman" w:cs="Times New Roman"/>
        </w:rPr>
        <w:t>; however, these observations were only evident for residential surrounding greenness in larger buffer sizes</w:t>
      </w:r>
      <w:r w:rsidRPr="007F60AC">
        <w:rPr>
          <w:rFonts w:ascii="Times New Roman" w:hAnsi="Times New Roman" w:cs="Times New Roman"/>
        </w:rPr>
        <w:t xml:space="preserve">. Our findings for residential proximity to a green space were not conclusive. </w:t>
      </w:r>
    </w:p>
    <w:p w:rsidR="007136E7" w:rsidRPr="007F60AC" w:rsidRDefault="007136E7">
      <w:pPr>
        <w:spacing w:after="0"/>
        <w:rPr>
          <w:rFonts w:ascii="Times New Roman" w:hAnsi="Times New Roman" w:cs="Times New Roman"/>
        </w:rPr>
      </w:pPr>
    </w:p>
    <w:p w:rsidR="00214C40" w:rsidRDefault="004F7DAA">
      <w:pPr>
        <w:spacing w:after="0"/>
        <w:rPr>
          <w:rFonts w:ascii="TimesNewRomanPSMT" w:hAnsi="TimesNewRomanPSMT" w:cs="TimesNewRomanPSMT"/>
        </w:rPr>
      </w:pPr>
      <w:r w:rsidRPr="007F60AC">
        <w:rPr>
          <w:rFonts w:ascii="Times New Roman" w:hAnsi="Times New Roman" w:cs="Times New Roman"/>
        </w:rPr>
        <w:t>The observed increase in birth weight associated with higher residential surrounding greenness is consistent with the existing literature</w:t>
      </w:r>
      <w:r w:rsidR="000D1B3C">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Cite&gt;&lt;Author&gt;Donovan&lt;/Author&gt;&lt;Year&gt;2011&lt;/Year&gt;&lt;RecNum&gt;970&lt;/RecNum&gt;&lt;record&gt;&lt;rec-number&gt;970&lt;/rec-number&gt;&lt;ref-type name="Journal Article"&gt;17&lt;/ref-type&gt;&lt;contributors&gt;&lt;authors&gt;&lt;author&gt;Donovan, G. H.&lt;/author&gt;&lt;author&gt;Michael, Y. L.&lt;/author&gt;&lt;author&gt;Butry, D. T.&lt;/author&gt;&lt;author&gt;Sullivan, A. D.&lt;/author&gt;&lt;author&gt;Chase, J. M.&lt;/author&gt;&lt;/authors&gt;&lt;/contributors&gt;&lt;auth-address&gt;USDA Forest Service, PNW Research Station, Portland 97205, OR, United States&amp;#xD;Drexel University School of Public Health, Philadelphia 19102, PA, United States&amp;#xD;National Institute of Standards and Technology, Gaithersburg 20899, MD, United States&amp;#xD;Multnomah County Health Department, Portland 97204, OR, United States&lt;/auth-address&gt;&lt;titles&gt;&lt;title&gt;Urban trees and the risk of poor birth outcomes&lt;/title&gt;&lt;secondary-title&gt;Health Place&lt;/secondary-title&gt;&lt;/titles&gt;&lt;periodical&gt;&lt;full-title&gt;Health Place&lt;/full-title&gt;&lt;/periodical&gt;&lt;pages&gt;390-393&lt;/pages&gt;&lt;volume&gt;17&lt;/volume&gt;&lt;number&gt;1&lt;/number&gt;&lt;keywords&gt;&lt;keyword&gt;Preterm birth&lt;/keyword&gt;&lt;keyword&gt;Reproductive health&lt;/keyword&gt;&lt;keyword&gt;Small for gestational age&lt;/keyword&gt;&lt;keyword&gt;Urban trees&lt;/keyword&gt;&lt;/keywords&gt;&lt;dates&gt;&lt;year&gt;2011&lt;/year&gt;&lt;/dates&gt;&lt;urls&gt;&lt;related-urls&gt;&lt;url&gt;http://www.scopus.com/inward/record.url?eid=2-s2.0-78751575801&amp;amp;partnerID=40&amp;amp;md5=676fdbb8dad52df6ed390da8203a7734 &lt;/url&gt;&lt;/related-urls&gt;&lt;/urls&gt;&lt;/record&gt;&lt;/Cite&gt;&lt;Cite&gt;&lt;Author&gt;Markevych&lt;/Author&gt;&lt;Year&gt;2014&lt;/Year&gt;&lt;RecNum&gt;1364&lt;/RecNum&gt;&lt;record&gt;&lt;rec-number&gt;1364&lt;/rec-number&gt;&lt;ref-type name="Journal Article"&gt;17&lt;/ref-type&gt;&lt;contributors&gt;&lt;authors&gt;&lt;author&gt;Markevych, Iana&lt;/author&gt;&lt;author&gt;Fuertes, Elaine&lt;/author&gt;&lt;author&gt;Tiesler, Carla M. T.&lt;/author&gt;&lt;author&gt;Birk, Matthias&lt;/author&gt;&lt;author&gt;Bauer, Carl-Peter&lt;/author&gt;&lt;author&gt;Koletzko, Sibylle&lt;/author&gt;&lt;author&gt;von Berg, Andrea&lt;/author&gt;&lt;author&gt;Berdel, Dietrich&lt;/author&gt;&lt;author&gt;Heinrich, Joachim&lt;/author&gt;&lt;/authors&gt;&lt;/contributors&gt;&lt;titles&gt;&lt;title&gt;Surrounding greenness and birth weight: Results from the GINIplus and LISAplus birth cohorts in Munich&lt;/title&gt;&lt;secondary-title&gt;Health place&lt;/secondary-title&gt;&lt;/titles&gt;&lt;periodical&gt;&lt;full-title&gt;Health Place&lt;/full-title&gt;&lt;/periodical&gt;&lt;pages&gt;39-46&lt;/pages&gt;&lt;volume&gt;26&lt;/volume&gt;&lt;dates&gt;&lt;year&gt;2014&lt;/year&gt;&lt;/dates&gt;&lt;isbn&gt;1353-8292&lt;/isbn&gt;&lt;urls&gt;&lt;/urls&gt;&lt;/record&gt;&lt;/Cite&gt;&lt;Cite&gt;&lt;Author&gt;Laurent&lt;/Author&gt;&lt;Year&gt;2013&lt;/Year&gt;&lt;RecNum&gt;1330&lt;/RecNum&gt;&lt;record&gt;&lt;rec-number&gt;1330&lt;/rec-number&gt;&lt;ref-type name="Journal Article"&gt;17&lt;/ref-type&gt;&lt;contributors&gt;&lt;authors&gt;&lt;author&gt;Laurent, Olivier&lt;/author&gt;&lt;author&gt;Wu, Jun&lt;/author&gt;&lt;author&gt;Li, Lianfa&lt;/author&gt;&lt;author&gt;Milesi, Cristina&lt;/author&gt;&lt;/authors&gt;&lt;/contributors&gt;&lt;titles&gt;&lt;title&gt;Green spaces and pregnancy outcomes in Southern California&lt;/title&gt;&lt;secondary-title&gt;Health Place&lt;/secondary-title&gt;&lt;/titles&gt;&lt;periodical&gt;&lt;full-title&gt;Health Place&lt;/full-title&gt;&lt;/periodical&gt;&lt;pages&gt;190-195&lt;/pages&gt;&lt;volume&gt;24&lt;/volume&gt;&lt;dates&gt;&lt;year&gt;2013&lt;/year&gt;&lt;/dates&gt;&lt;isbn&gt;1353-8292&lt;/isbn&gt;&lt;urls&gt;&lt;/urls&gt;&lt;/record&gt;&lt;/Cite&gt;&lt;/EndNote&gt;</w:instrText>
      </w:r>
      <w:r w:rsidR="00381E2C" w:rsidRPr="007F60AC">
        <w:rPr>
          <w:rFonts w:ascii="Times New Roman" w:hAnsi="Times New Roman" w:cs="Times New Roman"/>
        </w:rPr>
        <w:fldChar w:fldCharType="separate"/>
      </w:r>
      <w:r w:rsidR="000D1B3C">
        <w:rPr>
          <w:rFonts w:ascii="Times New Roman" w:hAnsi="Times New Roman" w:cs="Times New Roman"/>
        </w:rPr>
        <w:t>(Dadvand et al. 2012a; Dadvand et al. 2012b; Donovan et al. 2011; Laurent et al. 2013; Markevych et al. 2014)</w:t>
      </w:r>
      <w:r w:rsidR="00381E2C" w:rsidRPr="007F60AC">
        <w:rPr>
          <w:rFonts w:ascii="Times New Roman" w:hAnsi="Times New Roman" w:cs="Times New Roman"/>
        </w:rPr>
        <w:fldChar w:fldCharType="end"/>
      </w:r>
      <w:r w:rsidRPr="007F60AC">
        <w:rPr>
          <w:rFonts w:ascii="Times New Roman" w:hAnsi="Times New Roman" w:cs="Times New Roman"/>
        </w:rPr>
        <w:t xml:space="preserve">. Donovan </w:t>
      </w:r>
      <w:r w:rsidRPr="007F60AC">
        <w:rPr>
          <w:rFonts w:ascii="Times New Roman" w:hAnsi="Times New Roman" w:cs="Times New Roman"/>
          <w:i/>
          <w:iCs/>
        </w:rPr>
        <w:t xml:space="preserve">et al. </w:t>
      </w:r>
      <w:r w:rsidRPr="007F60AC">
        <w:rPr>
          <w:rFonts w:ascii="Times New Roman" w:hAnsi="Times New Roman" w:cs="Times New Roman"/>
        </w:rPr>
        <w:t xml:space="preserve">(2011) studied the impact of tree-canopy cover surrounding maternal home address on </w:t>
      </w:r>
      <w:r w:rsidR="005B330E" w:rsidRPr="007F60AC">
        <w:rPr>
          <w:rFonts w:ascii="Times New Roman" w:hAnsi="Times New Roman" w:cs="Times New Roman"/>
        </w:rPr>
        <w:t>pregnancy outcomes</w:t>
      </w:r>
      <w:r w:rsidRPr="007F60AC">
        <w:rPr>
          <w:rFonts w:ascii="Times New Roman" w:hAnsi="Times New Roman" w:cs="Times New Roman"/>
        </w:rPr>
        <w:t xml:space="preserve"> in the US and found a beneficial impact on foetal growth (</w:t>
      </w:r>
      <w:r w:rsidR="005B330E" w:rsidRPr="007F60AC">
        <w:rPr>
          <w:rFonts w:ascii="Times New Roman" w:hAnsi="Times New Roman" w:cs="Times New Roman"/>
        </w:rPr>
        <w:t>i.e.</w:t>
      </w:r>
      <w:r w:rsidRPr="007F60AC">
        <w:rPr>
          <w:rFonts w:ascii="Times New Roman" w:hAnsi="Times New Roman" w:cs="Times New Roman"/>
        </w:rPr>
        <w:t xml:space="preserve"> lower risk of small for gestational age) but not for the length of gestation</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&lt;EndNote&gt;&lt;Cite&gt;&lt;Author&gt;Donovan&lt;/Author&gt;&lt;Year&gt;2011&lt;/Year&gt;&lt;RecNum&gt;970&lt;/RecNum&gt;&lt;record&gt;&lt;rec-number&gt;970&lt;/rec-number&gt;&lt;ref-type name="Journal Article"&gt;17&lt;/ref-type&gt;&lt;contributors&gt;&lt;authors&gt;&lt;author&gt;Donovan, G. H.&lt;/author&gt;&lt;author&gt;Michael, Y. L.&lt;/author&gt;&lt;author&gt;Butry, D. T.&lt;/author&gt;&lt;author&gt;Sullivan, A. D.&lt;/author&gt;&lt;author&gt;Chase, J. M.&lt;/author&gt;&lt;/authors&gt;&lt;/contributors&gt;&lt;auth-address&gt;USDA Forest Service, PNW Research Station, Portland 97205, OR, United States&amp;#xD;Drexel University School of Public Health, Philadelphia 19102, PA, United States&amp;#xD;National Institute of Standards and Technology, Gaithersburg 20899, MD, United States&amp;#xD;Multnomah County Health Department, Portland 97204, OR, United States&lt;/auth-address&gt;&lt;titles&gt;&lt;title&gt;Urban trees and the risk of poor birth outcomes&lt;/title&gt;&lt;secondary-title&gt;Health Place&lt;/secondary-title&gt;&lt;/titles&gt;&lt;periodical&gt;&lt;full-title&gt;Health Place&lt;/full-title&gt;&lt;/periodical&gt;&lt;pages&gt;390-393&lt;/pages&gt;&lt;volume&gt;17&lt;/volume&gt;&lt;number&gt;1&lt;/number&gt;&lt;keywords&gt;&lt;keyword&gt;Preterm birth&lt;/keyword&gt;&lt;keyword&gt;Reproductive health&lt;/keyword&gt;&lt;keyword&gt;Small for gestational age&lt;/keyword&gt;&lt;keyword&gt;Urban trees&lt;/keyword&gt;&lt;/keywords&gt;&lt;dates&gt;&lt;year&gt;2011&lt;/year&gt;&lt;/dates&gt;&lt;urls&gt;&lt;related-urls&gt;&lt;url&gt;http://www.scopus.com/inward/record.url?eid=2-s2.0-78751575801&amp;amp;partnerID=40&amp;amp;md5=676fdbb8dad52df6ed390da8203a7734 &lt;/url&gt;&lt;/related-urls&gt;&lt;/urls&gt;&lt;/record&gt;&lt;/Cite&gt;&lt;/EndNote&gt;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(Donovan et al. 2011)</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w:t>
      </w:r>
      <w:r w:rsidR="00BC125D" w:rsidRPr="007F60AC">
        <w:rPr>
          <w:rFonts w:ascii="Times New Roman" w:hAnsi="Times New Roman" w:cs="Times New Roman"/>
        </w:rPr>
        <w:t xml:space="preserve">Our </w:t>
      </w:r>
      <w:r w:rsidRPr="007F60AC">
        <w:rPr>
          <w:rFonts w:ascii="Times New Roman" w:hAnsi="Times New Roman" w:cs="Times New Roman"/>
        </w:rPr>
        <w:t>studies (2012) on the impact of green spaces on pregnancy outcomes in Spain</w:t>
      </w:r>
      <w:r w:rsidR="004A418B">
        <w:rPr>
          <w:rFonts w:ascii="Times New Roman" w:hAnsi="Times New Roman" w:cs="Times New Roman"/>
        </w:rPr>
        <w:t xml:space="preserve"> using NDVI that takes account of all types of vegetations (and not only trees) </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(Dadvand et al. 2012a; Dadvand et al. 2012b)</w:t>
      </w:r>
      <w:r w:rsidR="00381E2C" w:rsidRPr="007F60AC">
        <w:rPr>
          <w:rFonts w:ascii="Times New Roman" w:hAnsi="Times New Roman" w:cs="Times New Roman"/>
        </w:rPr>
        <w:fldChar w:fldCharType="end"/>
      </w:r>
      <w:r w:rsidRPr="007F60AC">
        <w:rPr>
          <w:rFonts w:ascii="Times New Roman" w:hAnsi="Times New Roman" w:cs="Times New Roman"/>
        </w:rPr>
        <w:t xml:space="preserve"> </w:t>
      </w:r>
      <w:r w:rsidR="00BC125D" w:rsidRPr="007F60AC">
        <w:rPr>
          <w:rFonts w:ascii="Times New Roman" w:hAnsi="Times New Roman" w:cs="Times New Roman"/>
        </w:rPr>
        <w:t>found</w:t>
      </w:r>
      <w:r w:rsidR="00592C49" w:rsidRPr="007F60AC">
        <w:rPr>
          <w:rFonts w:ascii="Times New Roman" w:hAnsi="Times New Roman" w:cs="Times New Roman"/>
        </w:rPr>
        <w:t xml:space="preserve"> that</w:t>
      </w:r>
      <w:r w:rsidRPr="007F60AC">
        <w:rPr>
          <w:rFonts w:ascii="Times New Roman" w:hAnsi="Times New Roman" w:cs="Times New Roman"/>
        </w:rPr>
        <w:t xml:space="preserve"> higher residential surrounding greenness was associated with improved indicators of foetal growth (i.e. </w:t>
      </w:r>
      <w:r w:rsidR="005B330E" w:rsidRPr="007F60AC">
        <w:rPr>
          <w:rFonts w:ascii="Times New Roman" w:hAnsi="Times New Roman" w:cs="Times New Roman"/>
        </w:rPr>
        <w:t xml:space="preserve">higher </w:t>
      </w:r>
      <w:r w:rsidRPr="007F60AC">
        <w:rPr>
          <w:rFonts w:ascii="Times New Roman" w:hAnsi="Times New Roman" w:cs="Times New Roman"/>
        </w:rPr>
        <w:t>birth weight and birth head circumference) but not with the length of gestation</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(Dadvand et al. 2012a; Dadvand et al. 2012b)</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Similarly, in </w:t>
      </w:r>
      <w:r w:rsidR="00BC125D" w:rsidRPr="007F60AC">
        <w:rPr>
          <w:rFonts w:ascii="Times New Roman" w:hAnsi="Times New Roman" w:cs="Times New Roman"/>
        </w:rPr>
        <w:t>the present</w:t>
      </w:r>
      <w:r w:rsidRPr="007F60AC">
        <w:rPr>
          <w:rFonts w:ascii="Times New Roman" w:hAnsi="Times New Roman" w:cs="Times New Roman"/>
        </w:rPr>
        <w:t xml:space="preserve"> study we did not observe any beneficial impact on the length of gestation (data available but not included).</w:t>
      </w:r>
      <w:r w:rsidR="00682F55" w:rsidRPr="007F60AC">
        <w:rPr>
          <w:rFonts w:ascii="Times New Roman" w:hAnsi="Times New Roman" w:cs="Times New Roman"/>
        </w:rPr>
        <w:t xml:space="preserve"> However, a recently published US study has shown a reduction in preterm birth</w:t>
      </w:r>
      <w:r w:rsidR="005B330E" w:rsidRPr="007F60AC">
        <w:rPr>
          <w:rFonts w:ascii="Times New Roman" w:hAnsi="Times New Roman" w:cs="Times New Roman"/>
        </w:rPr>
        <w:t xml:space="preserve"> and an increase in </w:t>
      </w:r>
      <w:r w:rsidR="005B330E" w:rsidRPr="007F60AC">
        <w:rPr>
          <w:rFonts w:ascii="Times New Roman" w:hAnsi="Times New Roman" w:cs="Times New Roman"/>
        </w:rPr>
        <w:lastRenderedPageBreak/>
        <w:t>birth weight</w:t>
      </w:r>
      <w:r w:rsidR="00682F55" w:rsidRPr="007F60AC">
        <w:rPr>
          <w:rFonts w:ascii="Times New Roman" w:hAnsi="Times New Roman" w:cs="Times New Roman"/>
        </w:rPr>
        <w:t xml:space="preserve"> associated with higher residential surrounding greenness</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&lt;EndNote&gt;&lt;Cite&gt;&lt;Author&gt;Laurent&lt;/Author&gt;&lt;Year&gt;2013&lt;/Year&gt;&lt;RecNum&gt;1330&lt;/RecNum&gt;&lt;record&gt;&lt;rec-number&gt;1330&lt;/rec-number&gt;&lt;ref-type name="Journal Article"&gt;17&lt;/ref-type&gt;&lt;contributors&gt;&lt;authors&gt;&lt;author&gt;Laurent, Olivier&lt;/author&gt;&lt;author&gt;Wu, Jun&lt;/author&gt;&lt;author&gt;Li, Lianfa&lt;/author&gt;&lt;author&gt;Milesi, Cristina&lt;/author&gt;&lt;/authors&gt;&lt;/contributors&gt;&lt;titles&gt;&lt;title&gt;Green spaces and pregnancy outcomes in Southern California&lt;/title&gt;&lt;secondary-title&gt;Health Place&lt;/secondary-title&gt;&lt;/titles&gt;&lt;periodical&gt;&lt;full-title&gt;Health Place&lt;/full-title&gt;&lt;/periodical&gt;&lt;pages&gt;190-195&lt;/pages&gt;&lt;volume&gt;24&lt;/volume&gt;&lt;dates&gt;&lt;year&gt;2013&lt;/year&gt;&lt;/dates&gt;&lt;isbn&gt;1353-8292&lt;/isbn&gt;&lt;urls&gt;&lt;/urls&gt;&lt;/record&gt;&lt;/Cite&gt;&lt;/EndNote&gt;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(Laurent et al. 2013)</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In one of our previous studies, we also observed some indications for a </w:t>
      </w:r>
      <w:r w:rsidR="004C078C">
        <w:rPr>
          <w:rFonts w:ascii="Times New Roman" w:hAnsi="Times New Roman" w:cs="Times New Roman"/>
        </w:rPr>
        <w:t>positive association between</w:t>
      </w:r>
      <w:r w:rsidRPr="007F60AC">
        <w:rPr>
          <w:rFonts w:ascii="Times New Roman" w:hAnsi="Times New Roman" w:cs="Times New Roman"/>
        </w:rPr>
        <w:t xml:space="preserve"> residential proximity to major green spaces </w:t>
      </w:r>
      <w:r w:rsidR="004C078C">
        <w:rPr>
          <w:rFonts w:ascii="Times New Roman" w:hAnsi="Times New Roman" w:cs="Times New Roman"/>
        </w:rPr>
        <w:t>and</w:t>
      </w:r>
      <w:r w:rsidRPr="007F60AC">
        <w:rPr>
          <w:rFonts w:ascii="Times New Roman" w:hAnsi="Times New Roman" w:cs="Times New Roman"/>
        </w:rPr>
        <w:t xml:space="preserve"> foetal growth</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(Dadvand et al. 2012a)</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In this current study, however, we </w:t>
      </w:r>
      <w:r w:rsidR="004C078C">
        <w:rPr>
          <w:rFonts w:ascii="Times New Roman" w:hAnsi="Times New Roman" w:cs="Times New Roman"/>
        </w:rPr>
        <w:t>observe such an association</w:t>
      </w:r>
      <w:r w:rsidR="009F6C85">
        <w:rPr>
          <w:rFonts w:ascii="Times New Roman" w:hAnsi="Times New Roman" w:cs="Times New Roman"/>
        </w:rPr>
        <w:t xml:space="preserve">, consistent with findings of a German study reporting no association with </w:t>
      </w:r>
      <w:r w:rsidR="001844AE">
        <w:rPr>
          <w:rFonts w:ascii="Times New Roman" w:hAnsi="Times New Roman" w:cs="Times New Roman"/>
        </w:rPr>
        <w:t xml:space="preserve">presence of green spaces in neighbourhood </w:t>
      </w:r>
      <w:r w:rsidR="00381E2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&lt;EndNote&gt;&lt;Cite&gt;&lt;Author&gt;Markevych&lt;/Author&gt;&lt;Year&gt;2014&lt;/Year&gt;&lt;RecNum&gt;1364&lt;/RecNum&gt;&lt;record&gt;&lt;rec-number&gt;1364&lt;/rec-number&gt;&lt;ref-type name="Journal Article"&gt;17&lt;/ref-type&gt;&lt;contributors&gt;&lt;authors&gt;&lt;author&gt;Markevych, Iana&lt;/author&gt;&lt;author&gt;Fuertes, Elaine&lt;/author&gt;&lt;author&gt;Tiesler, Carla M. T.&lt;/author&gt;&lt;author&gt;Birk, Matthias&lt;/author&gt;&lt;author&gt;Bauer, Carl-Peter&lt;/author&gt;&lt;author&gt;Koletzko, Sibylle&lt;/author&gt;&lt;author&gt;von Berg, Andrea&lt;/author&gt;&lt;author&gt;Berdel, Dietrich&lt;/author&gt;&lt;author&gt;Heinrich, Joachim&lt;/author&gt;&lt;/authors&gt;&lt;/contributors&gt;&lt;titles&gt;&lt;title&gt;Surrounding greenness and birth weight: Results from the GINIplus and LISAplus birth cohorts in Munich&lt;/title&gt;&lt;secondary-title&gt;Health place&lt;/secondary-title&gt;&lt;/titles&gt;&lt;periodical&gt;&lt;full-title&gt;Health Place&lt;/full-title&gt;&lt;/periodical&gt;&lt;pages&gt;39-46&lt;/pages&gt;&lt;volume&gt;26&lt;/volume&gt;&lt;dates&gt;&lt;year&gt;2014&lt;/year&gt;&lt;/dates&gt;&lt;isbn&gt;1353-8292&lt;/isbn&gt;&lt;urls&gt;&lt;/urls&gt;&lt;/record&gt;&lt;/Cite&gt;&lt;/EndNote&gt;</w:instrText>
      </w:r>
      <w:r w:rsidR="00381E2C">
        <w:rPr>
          <w:rFonts w:ascii="Times New Roman" w:hAnsi="Times New Roman" w:cs="Times New Roman"/>
        </w:rPr>
        <w:fldChar w:fldCharType="separate"/>
      </w:r>
      <w:r w:rsidR="001844AE">
        <w:rPr>
          <w:rFonts w:ascii="Times New Roman" w:hAnsi="Times New Roman" w:cs="Times New Roman"/>
        </w:rPr>
        <w:t>(Markevych et al. 2014)</w:t>
      </w:r>
      <w:r w:rsidR="00381E2C">
        <w:rPr>
          <w:rFonts w:ascii="Times New Roman" w:hAnsi="Times New Roman" w:cs="Times New Roman"/>
        </w:rPr>
        <w:fldChar w:fldCharType="end"/>
      </w:r>
      <w:r w:rsidRPr="007F60AC">
        <w:rPr>
          <w:rFonts w:ascii="Times New Roman" w:hAnsi="Times New Roman" w:cs="Times New Roman"/>
        </w:rPr>
        <w:t>.</w:t>
      </w:r>
      <w:r w:rsidR="005B330E" w:rsidRPr="007F60AC">
        <w:rPr>
          <w:rFonts w:ascii="Times New Roman" w:hAnsi="Times New Roman" w:cs="Times New Roman"/>
        </w:rPr>
        <w:t xml:space="preserve"> In our previous study, we defined major green spaces as those larger than 50 00</w:t>
      </w:r>
      <w:r w:rsidR="00A51F1F">
        <w:rPr>
          <w:rFonts w:ascii="Times New Roman" w:hAnsi="Times New Roman" w:cs="Times New Roman"/>
        </w:rPr>
        <w:t>0 m</w:t>
      </w:r>
      <w:r w:rsidR="005B330E" w:rsidRPr="007F60AC">
        <w:rPr>
          <w:rFonts w:ascii="Times New Roman" w:hAnsi="Times New Roman" w:cs="Times New Roman"/>
          <w:vertAlign w:val="superscript"/>
        </w:rPr>
        <w:t>2</w:t>
      </w:r>
      <w:r w:rsidR="005B330E" w:rsidRPr="007F60AC">
        <w:rPr>
          <w:rFonts w:ascii="Times New Roman" w:hAnsi="Times New Roman" w:cs="Times New Roman"/>
        </w:rPr>
        <w:t xml:space="preserve"> whereas for this current study</w:t>
      </w:r>
      <w:r w:rsidR="00C064C2" w:rsidRPr="007F60AC">
        <w:rPr>
          <w:rFonts w:ascii="Times New Roman" w:hAnsi="Times New Roman" w:cs="Times New Roman"/>
        </w:rPr>
        <w:t xml:space="preserve">, based on the definition of the European Commission for access to green spaces, </w:t>
      </w:r>
      <w:r w:rsidR="005B330E" w:rsidRPr="007F60AC">
        <w:rPr>
          <w:rFonts w:ascii="Times New Roman" w:hAnsi="Times New Roman" w:cs="Times New Roman"/>
        </w:rPr>
        <w:t>we defined green spaces as those larger than 500</w:t>
      </w:r>
      <w:r w:rsidR="00A51F1F">
        <w:rPr>
          <w:rFonts w:ascii="Times New Roman" w:hAnsi="Times New Roman" w:cs="Times New Roman"/>
        </w:rPr>
        <w:t>0 m</w:t>
      </w:r>
      <w:r w:rsidR="005B330E" w:rsidRPr="007F60AC">
        <w:rPr>
          <w:rFonts w:ascii="Times New Roman" w:hAnsi="Times New Roman" w:cs="Times New Roman"/>
          <w:vertAlign w:val="superscript"/>
        </w:rPr>
        <w:t>2</w:t>
      </w:r>
      <w:r w:rsidR="00C064C2" w:rsidRPr="007F60AC">
        <w:rPr>
          <w:rFonts w:ascii="Times New Roman" w:hAnsi="Times New Roman" w:cs="Times New Roman"/>
        </w:rPr>
        <w:t>.</w:t>
      </w:r>
      <w:r w:rsidR="005B330E" w:rsidRPr="007F60AC">
        <w:rPr>
          <w:rFonts w:ascii="Times New Roman" w:hAnsi="Times New Roman" w:cs="Times New Roman"/>
        </w:rPr>
        <w:t xml:space="preserve"> </w:t>
      </w:r>
      <w:r w:rsidR="009B1CB5" w:rsidRPr="007F60AC">
        <w:rPr>
          <w:rFonts w:ascii="TimesNewRomanPSMT" w:hAnsi="TimesNewRomanPSMT" w:cs="TimesNewRomanPSMT"/>
        </w:rPr>
        <w:t>The size of green spaces has been reported to be among the determinants of their likelihood of being used for physical activity</w:t>
      </w:r>
      <w:r w:rsidR="008E51CB">
        <w:rPr>
          <w:rFonts w:ascii="TimesNewRomanPSMT" w:hAnsi="TimesNewRomanPSMT" w:cs="TimesNewRomanPSMT"/>
        </w:rPr>
        <w:t xml:space="preserve"> </w:t>
      </w:r>
      <w:r w:rsidR="00381E2C" w:rsidRPr="007F60AC">
        <w:rPr>
          <w:rFonts w:ascii="TimesNewRomanPSMT" w:hAnsi="TimesNewRomanPSMT" w:cs="TimesNewRomanPSMT"/>
        </w:rPr>
        <w:fldChar w:fldCharType="begin"/>
      </w:r>
      <w:r w:rsidR="000D1B3C">
        <w:rPr>
          <w:rFonts w:ascii="TimesNewRomanPSMT" w:hAnsi="TimesNewRomanPSMT" w:cs="TimesNewRomanPSMT"/>
        </w:rPr>
        <w:instrText xml:space="preserve"> ADDIN EN.CITE &lt;EndNote&gt;&lt;Cite&gt;&lt;Author&gt;McCormack&lt;/Author&gt;&lt;Year&gt;2010&lt;/Year&gt;&lt;RecNum&gt;1252&lt;/RecNum&gt;&lt;record&gt;&lt;rec-number&gt;1252&lt;/rec-number&gt;&lt;ref-type name="Journal Article"&gt;17&lt;/ref-type&gt;&lt;contributors&gt;&lt;authors&gt;&lt;author&gt;McCormack, Gavin R.&lt;/author&gt;&lt;author&gt;Rock, Melanie&lt;/author&gt;&lt;author&gt;Toohey, Ann M.&lt;/author&gt;&lt;author&gt;Hignell, Danica&lt;/author&gt;&lt;/authors&gt;&lt;/contributors&gt;&lt;titles&gt;&lt;title&gt;Characteristics of urban parks associated with park use and physical activity: A review of qualitative research&lt;/title&gt;&lt;secondary-title&gt;Health Place&lt;/secondary-title&gt;&lt;/titles&gt;&lt;periodical&gt;&lt;full-title&gt;Health Place&lt;/full-title&gt;&lt;/periodical&gt;&lt;pages&gt;712-726&lt;/pages&gt;&lt;volume&gt;16&lt;/volume&gt;&lt;number&gt;4&lt;/number&gt;&lt;keywords&gt;&lt;keyword&gt;Physical environment&lt;/keyword&gt;&lt;keyword&gt;Social environment&lt;/keyword&gt;&lt;keyword&gt;Neighborhood&lt;/keyword&gt;&lt;keyword&gt;Recreational facilities&lt;/keyword&gt;&lt;keyword&gt;Leisure&lt;/keyword&gt;&lt;keyword&gt;Dog walking&lt;/keyword&gt;&lt;/keywords&gt;&lt;dates&gt;&lt;year&gt;2010&lt;/year&gt;&lt;/dates&gt;&lt;urls&gt;&lt;related-urls&gt;&lt;url&gt;http://www.sciencedirect.com/science/article/pii/S1353829210000316 &lt;/url&gt;&lt;/related-urls&gt;&lt;/urls&gt;&lt;/record&gt;&lt;/Cite&gt;&lt;/EndNote&gt;</w:instrText>
      </w:r>
      <w:r w:rsidR="00381E2C" w:rsidRPr="007F60AC">
        <w:rPr>
          <w:rFonts w:ascii="TimesNewRomanPSMT" w:hAnsi="TimesNewRomanPSMT" w:cs="TimesNewRomanPSMT"/>
        </w:rPr>
        <w:fldChar w:fldCharType="separate"/>
      </w:r>
      <w:r w:rsidR="00B4416E">
        <w:rPr>
          <w:rFonts w:ascii="TimesNewRomanPSMT" w:hAnsi="TimesNewRomanPSMT" w:cs="TimesNewRomanPSMT"/>
        </w:rPr>
        <w:t>(McCormack et al. 2010)</w:t>
      </w:r>
      <w:r w:rsidR="00381E2C" w:rsidRPr="007F60AC">
        <w:rPr>
          <w:rFonts w:ascii="TimesNewRomanPSMT" w:hAnsi="TimesNewRomanPSMT" w:cs="TimesNewRomanPSMT"/>
        </w:rPr>
        <w:fldChar w:fldCharType="end"/>
      </w:r>
      <w:r w:rsidR="008E51CB">
        <w:rPr>
          <w:rFonts w:ascii="TimesNewRomanPSMT" w:hAnsi="TimesNewRomanPSMT" w:cs="TimesNewRomanPSMT"/>
        </w:rPr>
        <w:t>.</w:t>
      </w:r>
    </w:p>
    <w:p w:rsidR="007136E7" w:rsidRPr="007F60AC" w:rsidRDefault="009B1CB5" w:rsidP="009B1CB5">
      <w:pPr>
        <w:spacing w:after="0"/>
        <w:rPr>
          <w:rFonts w:ascii="TimesNewRomanPSMT" w:hAnsi="TimesNewRomanPSMT" w:cs="TimesNewRomanPSMT"/>
        </w:rPr>
      </w:pPr>
      <w:r w:rsidRPr="007F60AC">
        <w:rPr>
          <w:rFonts w:ascii="TimesNewRomanPSMT" w:hAnsi="TimesNewRomanPSMT" w:cs="TimesNewRomanPSMT"/>
        </w:rPr>
        <w:t xml:space="preserve"> </w:t>
      </w:r>
    </w:p>
    <w:p w:rsidR="007136E7" w:rsidRPr="007F60AC" w:rsidRDefault="007C0FAB" w:rsidP="004A418B">
      <w:pPr>
        <w:spacing w:after="0"/>
        <w:rPr>
          <w:rFonts w:ascii="Times New Roman" w:hAnsi="Times New Roman" w:cs="Times New Roman"/>
        </w:rPr>
      </w:pPr>
      <w:r w:rsidRPr="007F60AC">
        <w:rPr>
          <w:rFonts w:ascii="Times New Roman" w:hAnsi="Times New Roman" w:cs="Times New Roman"/>
        </w:rPr>
        <w:t xml:space="preserve">The underlying mechanisms </w:t>
      </w:r>
      <w:r w:rsidR="003D3F5F" w:rsidRPr="007F60AC">
        <w:rPr>
          <w:rFonts w:ascii="Times New Roman" w:hAnsi="Times New Roman" w:cs="Times New Roman"/>
        </w:rPr>
        <w:t>for</w:t>
      </w:r>
      <w:r w:rsidRPr="007F60AC">
        <w:rPr>
          <w:rFonts w:ascii="Times New Roman" w:hAnsi="Times New Roman" w:cs="Times New Roman"/>
        </w:rPr>
        <w:t xml:space="preserve"> health benefits of green spaces are not fully understood, but increasing physical activity,</w:t>
      </w:r>
      <w:r w:rsidR="00082E31" w:rsidRPr="007F60AC">
        <w:rPr>
          <w:rFonts w:ascii="Times New Roman" w:hAnsi="Times New Roman" w:cs="Times New Roman"/>
        </w:rPr>
        <w:t xml:space="preserve"> facilitating </w:t>
      </w:r>
      <w:r w:rsidR="007529DB">
        <w:rPr>
          <w:rFonts w:ascii="Times New Roman" w:hAnsi="Times New Roman" w:cs="Times New Roman"/>
        </w:rPr>
        <w:t>psychological</w:t>
      </w:r>
      <w:r w:rsidR="00082E31" w:rsidRPr="007F60AC">
        <w:rPr>
          <w:rFonts w:ascii="Times New Roman" w:hAnsi="Times New Roman" w:cs="Times New Roman"/>
        </w:rPr>
        <w:t xml:space="preserve"> restoration</w:t>
      </w:r>
      <w:r w:rsidRPr="007F60AC">
        <w:rPr>
          <w:rFonts w:ascii="Times New Roman" w:hAnsi="Times New Roman" w:cs="Times New Roman"/>
        </w:rPr>
        <w:t>, improving social contacts, and reducing exposure to air pollution, noise, and heat have been suggested</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&lt;EndNote&gt;&lt;Cite&gt;&lt;Author&gt;Bowler&lt;/Author&gt;&lt;Year&gt;2010&lt;/Year&gt;&lt;RecNum&gt;812&lt;/RecNum&gt;&lt;record&gt;&lt;rec-number&gt;812&lt;/rec-number&gt;&lt;ref-type name="Journal Article"&gt;17&lt;/ref-type&gt;&lt;contributors&gt;&lt;authors&gt;&lt;author&gt;Bowler, Diana&lt;/author&gt;&lt;author&gt;Buyung-Ali, Lisette&lt;/author&gt;&lt;author&gt;Knight, Teri&lt;/author&gt;&lt;author&gt;Pullin, Andrew&lt;/author&gt;&lt;/authors&gt;&lt;/contributors&gt;&lt;titles&gt;&lt;title&gt;A systematic review of evidence for the added benefits to health of exposure to natural environments&lt;/title&gt;&lt;secondary-title&gt;BMC Public Health&lt;/secondary-title&gt;&lt;/titles&gt;&lt;periodical&gt;&lt;full-title&gt;BMC Public Health&lt;/full-title&gt;&lt;/periodical&gt;&lt;pages&gt;456&lt;/pages&gt;&lt;volume&gt;10&lt;/volume&gt;&lt;dates&gt;&lt;year&gt;2010&lt;/year&gt;&lt;/dates&gt;&lt;isbn&gt;1471-2458&lt;/isbn&gt;&lt;accession-num&gt;doi:10.1186/1471-2458-10-456&lt;/accession-num&gt;&lt;urls&gt;&lt;related-urls&gt;&lt;url&gt;http://www.biomedcentral.com/1471-2458/10/456 &lt;/url&gt;&lt;/related-urls&gt;&lt;/urls&gt;&lt;/record&gt;&lt;/Cite&gt;&lt;Cite&gt;&lt;Author&gt;Lee&lt;/Author&gt;&lt;Year&gt;2011&lt;/Year&gt;&lt;RecNum&gt;800&lt;/RecNum&gt;&lt;record&gt;&lt;rec-number&gt;800&lt;/rec-number&gt;&lt;ref-type name="Journal Article"&gt;17&lt;/ref-type&gt;&lt;contributors&gt;&lt;authors&gt;&lt;author&gt;Lee, A. C.&lt;/author&gt;&lt;author&gt;Maheswaran, R.&lt;/author&gt;&lt;/authors&gt;&lt;/contributors&gt;&lt;titles&gt;&lt;title&gt;The health benefits of urban green spaces: a review of the evidence&lt;/title&gt;&lt;secondary-title&gt;J Public Health (Oxf)&lt;/secondary-title&gt;&lt;/titles&gt;&lt;pages&gt;212-222&lt;/pages&gt;&lt;volume&gt;33&lt;/volume&gt;&lt;number&gt;2&lt;/number&gt;&lt;dates&gt;&lt;year&gt;2011&lt;/year&gt;&lt;/dates&gt;&lt;isbn&gt;1741-3850&lt;/isbn&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(Bowler et al. 2010; Lee and Maheswaran 2011)</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Through these mechanisms, green spaces could also have an impact on pregnancy outcomes. In our previous study using personal air pollution monitors in 54 pregnant women, we observed </w:t>
      </w:r>
      <w:r w:rsidR="00C23664" w:rsidRPr="007F60AC">
        <w:rPr>
          <w:rFonts w:ascii="Times New Roman" w:hAnsi="Times New Roman" w:cs="Times New Roman"/>
        </w:rPr>
        <w:t xml:space="preserve">that </w:t>
      </w:r>
      <w:r w:rsidRPr="007F60AC">
        <w:rPr>
          <w:rFonts w:ascii="Times New Roman" w:hAnsi="Times New Roman" w:cs="Times New Roman"/>
        </w:rPr>
        <w:t>higher residential surrounding greenness (average NDVI in buffers of 10</w:t>
      </w:r>
      <w:r w:rsidR="00A51F1F">
        <w:rPr>
          <w:rFonts w:ascii="Times New Roman" w:hAnsi="Times New Roman" w:cs="Times New Roman"/>
        </w:rPr>
        <w:t>0 m</w:t>
      </w:r>
      <w:r w:rsidRPr="007F60AC">
        <w:rPr>
          <w:rFonts w:ascii="Times New Roman" w:hAnsi="Times New Roman" w:cs="Times New Roman"/>
        </w:rPr>
        <w:t>, 25</w:t>
      </w:r>
      <w:r w:rsidR="00A51F1F">
        <w:rPr>
          <w:rFonts w:ascii="Times New Roman" w:hAnsi="Times New Roman" w:cs="Times New Roman"/>
        </w:rPr>
        <w:t>0 m</w:t>
      </w:r>
      <w:r w:rsidRPr="007F60AC">
        <w:rPr>
          <w:rFonts w:ascii="Times New Roman" w:hAnsi="Times New Roman" w:cs="Times New Roman"/>
        </w:rPr>
        <w:t>, and 50</w:t>
      </w:r>
      <w:r w:rsidR="00A51F1F">
        <w:rPr>
          <w:rFonts w:ascii="Times New Roman" w:hAnsi="Times New Roman" w:cs="Times New Roman"/>
        </w:rPr>
        <w:t>0 m</w:t>
      </w:r>
      <w:r w:rsidRPr="007F60AC">
        <w:rPr>
          <w:rFonts w:ascii="Times New Roman" w:hAnsi="Times New Roman" w:cs="Times New Roman"/>
        </w:rPr>
        <w:t xml:space="preserve">) was associated with lower levels of personal exposure to </w:t>
      </w:r>
      <w:r w:rsidR="004A418B">
        <w:rPr>
          <w:rFonts w:ascii="Times New Roman" w:hAnsi="Times New Roman" w:cs="Times New Roman"/>
        </w:rPr>
        <w:t>p</w:t>
      </w:r>
      <w:r w:rsidR="004A418B" w:rsidRPr="00615C52">
        <w:rPr>
          <w:rFonts w:ascii="Times New Roman" w:hAnsi="Times New Roman" w:cs="Times New Roman"/>
        </w:rPr>
        <w:t>articulate matter with aerodynamic diameter ≤ 2.5 μm</w:t>
      </w:r>
      <w:r w:rsidR="004A418B">
        <w:rPr>
          <w:rFonts w:ascii="Times New Roman" w:hAnsi="Times New Roman" w:cs="Times New Roman"/>
        </w:rPr>
        <w:t xml:space="preserve"> (PM</w:t>
      </w:r>
      <w:r w:rsidR="004A418B" w:rsidRPr="00615C52">
        <w:rPr>
          <w:rFonts w:ascii="Times New Roman" w:hAnsi="Times New Roman" w:cs="Times New Roman"/>
          <w:vertAlign w:val="subscript"/>
        </w:rPr>
        <w:t>2.5</w:t>
      </w:r>
      <w:r w:rsidR="004A418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&lt;EndNote&gt;&lt;Cite&gt;&lt;Author&gt;Dadvand&lt;/Author&gt;&lt;Year&gt;2012&lt;/Year&gt;&lt;RecNum&gt;974&lt;/RecNum&gt;&lt;record&gt;&lt;rec-number&gt;974&lt;/rec-number&gt;&lt;ref-type name="Journal Article"&gt;17&lt;/ref-type&gt;&lt;contributors&gt;&lt;authors&gt;&lt;author&gt;Dadvand , P. &lt;/author&gt;&lt;author&gt;de Nazelle, A. &lt;/author&gt;&lt;author&gt;Margarita Triguero-Mas &lt;/author&gt;&lt;author&gt;Anna Schembari &lt;/author&gt;&lt;author&gt;Marta Cirach &lt;/author&gt;&lt;author&gt;Elmira Amoly &lt;/author&gt;&lt;author&gt;Francesc Figueras &lt;/author&gt;&lt;author&gt;Xavier Basagaña  &lt;/author&gt;&lt;author&gt;Bart Ostro&lt;/author&gt;&lt;author&gt;Mark Nieuwenhuijsen &lt;/author&gt;&lt;/authors&gt;&lt;/contributors&gt;&lt;titles&gt;&lt;title&gt;Surrounding Greenness and Exposure to Air Pollution During Pregnancy: An Analysis of Personal Monitoring Data &lt;/title&gt;&lt;secondary-title&gt;Environ Health Perspect&lt;/secondary-title&gt;&lt;/titles&gt;&lt;periodical&gt;&lt;full-title&gt;Environ Health Perspect&lt;/full-title&gt;&lt;/periodical&gt;&lt;pages&gt;1286-90&lt;/pages&gt;&lt;volume&gt;120&lt;/volume&gt;&lt;number&gt;9&lt;/number&gt;&lt;dates&gt;&lt;year&gt;2012&lt;/year&gt;&lt;/dates&gt;&lt;urls&gt;&lt;/urls&gt;&lt;/record&gt;&lt;/Cite&gt;&lt;/EndNote&gt;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(Dadvand  et al. 2012)</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Exposure to ambient air pollution during pregnancy has been linked with a range of adverse pregnancy outcomes including lower birth weight</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&lt;EndNote&gt;&lt;Cite&gt;&lt;Author&gt;Sapkota&lt;/Author&gt;&lt;Year&gt;2010&lt;/Year&gt;&lt;RecNum&gt;810&lt;/RecNum&gt;&lt;record&gt;&lt;rec-number&gt;810&lt;/rec-number&gt;&lt;ref-type name="Journal Article"&gt;17&lt;/ref-type&gt;&lt;contributors&gt;&lt;authors&gt;&lt;author&gt;Sapkota, A.&lt;/author&gt;&lt;author&gt;Chelikowsky, A. P.&lt;/author&gt;&lt;author&gt;Nachman, K. E.&lt;/author&gt;&lt;author&gt;Cohen, A. J.&lt;/author&gt;&lt;author&gt;Ritz, B.&lt;/author&gt;&lt;/authors&gt;&lt;/contributors&gt;&lt;titles&gt;&lt;title&gt;Exposure to particulate matter and adverse birth outcomes: a comprehensive review and meta-analysis&lt;/title&gt;&lt;secondary-title&gt;Air Qual Atmos Health&lt;/secondary-title&gt;&lt;/titles&gt;&lt;periodical&gt;&lt;full-title&gt;Air Qual Atmos Health&lt;/full-title&gt;&lt;/periodical&gt;&lt;volume&gt;DOI 10.1007/s11869-010-0106-3&lt;/volume&gt;&lt;dates&gt;&lt;year&gt;2010&lt;/year&gt;&lt;/dates&gt;&lt;isbn&gt;1873-9318&lt;/isbn&gt;&lt;urls&gt;&lt;/urls&gt;&lt;/record&gt;&lt;/Cite&gt;&lt;Cite&gt;&lt;Author&gt;Dadvand&lt;/Author&gt;&lt;Year&gt;2013&lt;/Year&gt;&lt;RecNum&gt;1196&lt;/RecNum&gt;&lt;record&gt;&lt;rec-number&gt;1196&lt;/rec-number&gt;&lt;ref-type name="Journal Article"&gt;17&lt;/ref-type&gt;&lt;contributors&gt;&lt;authors&gt;&lt;author&gt;Dadvand, P. &lt;/author&gt;&lt;author&gt;Parker, J.&lt;/author&gt;&lt;author&gt;Bell, ML. &lt;/author&gt;&lt;author&gt;Bonzini, M. &lt;/author&gt;&lt;author&gt;Brauer, M. &lt;/author&gt;&lt;author&gt;Darrow, L. &lt;/author&gt;&lt;author&gt;Gehring, U. &lt;/author&gt;&lt;author&gt;Glinianaia, SV. &lt;/author&gt;&lt;author&gt;Gouveia, N. &lt;/author&gt;&lt;author&gt;Ha, E. &lt;/author&gt;&lt;author&gt;Leem, JH. &lt;/author&gt;&lt;author&gt;van den Hooven, EH. &lt;/author&gt;&lt;author&gt;Jalaludin, B. &lt;/author&gt;&lt;author&gt;Jesdale, BM. &lt;/author&gt;&lt;author&gt;Lepeule, J. &lt;/author&gt;&lt;author&gt;Morello-Frosch, R. &lt;/author&gt;&lt;author&gt;Morgan, G. &lt;/author&gt;&lt;author&gt;Pesatori, AC. &lt;/author&gt;&lt;author&gt;Pierik, FH. &lt;/author&gt;&lt;author&gt;Pless-Mulloli, T. &lt;/author&gt;&lt;author&gt;Rich, DQ. &lt;/author&gt;&lt;author&gt;Sathyanarayana, S. &lt;/author&gt;&lt;author&gt;Seo, J. &lt;/author&gt;&lt;author&gt;Slama, R. &lt;/author&gt;&lt;author&gt;Strickland, M. &lt;/author&gt;&lt;author&gt;Tamburic, L. &lt;/author&gt;&lt;author&gt;Wartenberg, D. &lt;/author&gt;&lt;author&gt;Nieuwenhuijsen, M. &lt;/author&gt;&lt;author&gt;Woodruff, TJ. &lt;/author&gt;&lt;/authors&gt;&lt;/contributors&gt;&lt;titles&gt;&lt;title&gt;Particulate Air Pollution and Fetal Growth: A Multi-Country Evaluation of Effect and Heterogeneity&lt;/title&gt;&lt;secondary-title&gt;Environ Health Perspect&lt;/secondary-title&gt;&lt;/titles&gt;&lt;periodical&gt;&lt;full-title&gt;Environ Health Perspect&lt;/full-title&gt;&lt;/periodical&gt;&lt;pages&gt;267-373&lt;/pages&gt;&lt;volume&gt;121&lt;/volume&gt;&lt;number&gt;3&lt;/number&gt;&lt;dates&gt;&lt;year&gt;2013&lt;/year&gt;&lt;/dates&gt;&lt;urls&gt;&lt;/urls&gt;&lt;/record&gt;&lt;/Cite&gt;&lt;/EndNote&gt;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(Dadvand et al. 2013; Sapkota et al. 2010)</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Green spaces have been suggested to increase physical activity</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&lt;EndNote&gt;&lt;Cite&gt;&lt;Author&gt;Lachowycz&lt;/Author&gt;&lt;Year&gt;2011&lt;/Year&gt;&lt;RecNum&gt;1329&lt;/RecNum&gt;&lt;record&gt;&lt;rec-number&gt;1329&lt;/rec-number&gt;&lt;ref-type name="Journal Article"&gt;17&lt;/ref-type&gt;&lt;contributors&gt;&lt;authors&gt;&lt;author&gt;Lachowycz, K.&lt;/author&gt;&lt;author&gt;Jones, A. P.&lt;/author&gt;&lt;/authors&gt;&lt;/contributors&gt;&lt;titles&gt;&lt;title&gt;Greenspace and obesity: a systematic review of the evidence&lt;/title&gt;&lt;secondary-title&gt;Obes Rev&lt;/secondary-title&gt;&lt;/titles&gt;&lt;periodical&gt;&lt;full-title&gt;Obes Rev&lt;/full-title&gt;&lt;/periodical&gt;&lt;pages&gt;e183-e189&lt;/pages&gt;&lt;volume&gt;12&lt;/volume&gt;&lt;number&gt;5&lt;/number&gt;&lt;dates&gt;&lt;year&gt;2011&lt;/year&gt;&lt;/dates&gt;&lt;isbn&gt;1467-789X&lt;/isbn&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(Lachowycz and Jones 2011)</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and moderate physical activity during pregnancy has been associated with better foetal </w:t>
      </w:r>
      <w:r w:rsidRPr="007F60AC">
        <w:rPr>
          <w:rFonts w:ascii="Times New Roman" w:hAnsi="Times New Roman" w:cs="Times New Roman"/>
        </w:rPr>
        <w:lastRenderedPageBreak/>
        <w:t>growth</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&lt;EndNote&gt;&lt;Cite&gt;&lt;Author&gt;Both&lt;/Author&gt;&lt;Year&gt;2010&lt;/Year&gt;&lt;RecNum&gt;805&lt;/RecNum&gt;&lt;record&gt;&lt;rec-number&gt;805&lt;/rec-number&gt;&lt;ref-type name="Journal Article"&gt;17&lt;/ref-type&gt;&lt;contributors&gt;&lt;authors&gt;&lt;author&gt;Both, M. I.&lt;/author&gt;&lt;author&gt;Overvest, M. A.&lt;/author&gt;&lt;author&gt;Wildhagen, M. F.&lt;/author&gt;&lt;author&gt;Golding, J.&lt;/author&gt;&lt;author&gt;Wildschut, H. I. J.&lt;/author&gt;&lt;/authors&gt;&lt;/contributors&gt;&lt;titles&gt;&lt;title&gt;The association of daily physical activity and birth outcome: a population-based cohort study&lt;/title&gt;&lt;secondary-title&gt;Eur J Epidemiol&lt;/secondary-title&gt;&lt;/titles&gt;&lt;pages&gt;421-429&lt;/pages&gt;&lt;volume&gt;26&lt;/volume&gt;&lt;number&gt;6&lt;/number&gt;&lt;dates&gt;&lt;year&gt;2010&lt;/year&gt;&lt;/dates&gt;&lt;isbn&gt;0393-2990&lt;/isbn&gt;&lt;urls&gt;&lt;/urls&gt;&lt;/record&gt;&lt;/Cite&gt;&lt;Cite&gt;&lt;Author&gt;Leiferman&lt;/Author&gt;&lt;Year&gt;2003&lt;/Year&gt;&lt;RecNum&gt;1325&lt;/RecNum&gt;&lt;record&gt;&lt;rec-number&gt;1325&lt;/rec-number&gt;&lt;ref-type name="Journal Article"&gt;17&lt;/ref-type&gt;&lt;contributors&gt;&lt;authors&gt;&lt;author&gt;Leiferman, JennA&lt;/author&gt;&lt;author&gt;Evenson, KellyR&lt;/author&gt;&lt;/authors&gt;&lt;/contributors&gt;&lt;titles&gt;&lt;title&gt;The Effect of Regular Leisure Physical Activity on Birth Outcomes&lt;/title&gt;&lt;secondary-title&gt;Matern Child Health J&lt;/secondary-title&gt;&lt;/titles&gt;&lt;periodical&gt;&lt;full-title&gt;Matern Child Health J&lt;/full-title&gt;&lt;/periodical&gt;&lt;pages&gt;59-64&lt;/pages&gt;&lt;volume&gt;7&lt;/volume&gt;&lt;number&gt;1&lt;/number&gt;&lt;keywords&gt;&lt;keyword&gt;leisure activities&lt;/keyword&gt;&lt;keyword&gt;pregnancy&lt;/keyword&gt;&lt;keyword&gt;delivery&lt;/keyword&gt;&lt;keyword&gt;exercise&lt;/keyword&gt;&lt;/keywords&gt;&lt;dates&gt;&lt;year&gt;2003&lt;/year&gt;&lt;/dates&gt;&lt;publisher&gt;Kluwer Academic Publishers-Plenum Publishers&lt;/publisher&gt;&lt;urls&gt;&lt;related-urls&gt;&lt;url&gt;http://dx.doi.org/10.1023/A%3A1022545718786 &lt;/url&gt;&lt;/related-urls&gt;&lt;/urls&gt;&lt;/record&gt;&lt;/Cite&gt;&lt;/EndNote&gt;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(Both et al. 2010; Leiferman and Evenson 2003)</w:t>
      </w:r>
      <w:r w:rsidR="00381E2C" w:rsidRPr="007F60AC">
        <w:rPr>
          <w:rFonts w:ascii="Times New Roman" w:hAnsi="Times New Roman" w:cs="Times New Roman"/>
        </w:rPr>
        <w:fldChar w:fldCharType="end"/>
      </w:r>
      <w:r w:rsidRPr="007F60AC">
        <w:rPr>
          <w:rFonts w:ascii="Times New Roman" w:hAnsi="Times New Roman" w:cs="Times New Roman"/>
        </w:rPr>
        <w:t xml:space="preserve"> and better maternal mental health</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&lt;EndNote&gt;&lt;Cite&gt;&lt;Author&gt;Poudevigne&lt;/Author&gt;&lt;Year&gt;2006&lt;/Year&gt;&lt;RecNum&gt;806&lt;/RecNum&gt;&lt;record&gt;&lt;rec-number&gt;806&lt;/rec-number&gt;&lt;ref-type name="Journal Article"&gt;17&lt;/ref-type&gt;&lt;contributors&gt;&lt;authors&gt;&lt;author&gt;Poudevigne, M. S.&lt;/author&gt;&lt;author&gt;Oconnor, P. J.&lt;/author&gt;&lt;/authors&gt;&lt;/contributors&gt;&lt;titles&gt;&lt;title&gt;A review of physical activity patterns in pregnant women and their relationship to psychological health&lt;/title&gt;&lt;secondary-title&gt;Sports Med&lt;/secondary-title&gt;&lt;/titles&gt;&lt;pages&gt;19-38&lt;/pages&gt;&lt;volume&gt;36&lt;/volume&gt;&lt;number&gt;1&lt;/number&gt;&lt;dates&gt;&lt;year&gt;2006&lt;/year&gt;&lt;/dates&gt;&lt;isbn&gt;0112-1642&lt;/isbn&gt;&lt;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(Poudevigne and Oconnor 2006)</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Maternal psychological stress and depression have been associated with decreased birth weight</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&lt;EndNote&gt;&lt;Cite&gt;&lt;Author&gt;Rondo&lt;/Author&gt;&lt;Year&gt;2003&lt;/Year&gt;&lt;RecNum&gt;808&lt;/RecNum&gt;&lt;record&gt;&lt;rec-number&gt;808&lt;/rec-number&gt;&lt;ref-type name="Journal Article"&gt;17&lt;/ref-type&gt;&lt;contributors&gt;&lt;authors&gt;&lt;author&gt;Rondo, P. H. C.&lt;/author&gt;&lt;author&gt;Ferreira, R. F.&lt;/author&gt;&lt;author&gt;Nogueira, F.&lt;/author&gt;&lt;author&gt;Ribeiro, M. C. N.&lt;/author&gt;&lt;author&gt;Lobert, H.&lt;/author&gt;&lt;author&gt;Artes, R.&lt;/author&gt;&lt;/authors&gt;&lt;/contributors&gt;&lt;titles&gt;&lt;title&gt;Maternal psychological stress and distress as predictors of low birth weight, prematurity and intrauterine growth retardation&lt;/title&gt;&lt;secondary-title&gt;Eur J Clin Nutr&lt;/secondary-title&gt;&lt;/titles&gt;&lt;pages&gt;266-272&lt;/pages&gt;&lt;volume&gt;57&lt;/volume&gt;&lt;number&gt;2&lt;/number&gt;&lt;dates&gt;&lt;year&gt;2003&lt;/year&gt;&lt;/dates&gt;&lt;urls&gt;&lt;related-urls&gt;&lt;url&gt;http://dx.doi.org/10.1038/sj.ejcn.1601526 &lt;/url&gt;&lt;/related-urls&gt;&lt;/urls&gt;&lt;/record&gt;&lt;/Cite&gt;&lt;Cite&gt;&lt;Author&gt;Grote&lt;/Author&gt;&lt;Year&gt;2010&lt;/Year&gt;&lt;RecNum&gt;809&lt;/RecNum&gt;&lt;record&gt;&lt;rec-number&gt;809&lt;/rec-number&gt;&lt;ref-type name="Journal Article"&gt;17&lt;/ref-type&gt;&lt;contributors&gt;&lt;authors&gt;&lt;author&gt;Grote, Nancy K.&lt;/author&gt;&lt;author&gt;Bridge, Jeffrey A.&lt;/author&gt;&lt;author&gt;Gavin, Amelia R.&lt;/author&gt;&lt;author&gt;Melville, Jennifer L.&lt;/author&gt;&lt;author&gt;Iyengar, Satish&lt;/author&gt;&lt;author&gt;Katon, Wayne J.&lt;/author&gt;&lt;/authors&gt;&lt;/contributors&gt;&lt;titles&gt;&lt;title&gt;A Meta-analysis of Depression During Pregnancy and the Risk of Preterm Birth, Low Birth Weight, and Intrauterine Growth Restriction&lt;/title&gt;&lt;secondary-title&gt;Arch Gen Psychiatry&lt;/secondary-title&gt;&lt;/titles&gt;&lt;pages&gt;1012-1024&lt;/pages&gt;&lt;volume&gt;67&lt;/volume&gt;&lt;number&gt;10&lt;/number&gt;&lt;dates&gt;&lt;year&gt;2010&lt;/year&gt;&lt;pub-dates&gt;&lt;date&gt;October 1, 2010&lt;/date&gt;&lt;/pub-dates&gt;&lt;/dates&gt;&lt;urls&gt;&lt;related-urls&gt;&lt;url&gt;http://archpsyc.ama-assn.org/cgi/content/abstract/67/10/1012 &lt;/url&gt;&lt;/related-urls&gt;&lt;/urls&gt;&lt;electronic-resource-num&gt;10.1001/archgenpsychiatry.2010.111&lt;/electronic-resource-num&gt;&lt;/record&gt;&lt;/Cite&gt;&lt;/EndNote&gt;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(Grote et al. 2010; Rondo et al. 2003)</w:t>
      </w:r>
      <w:r w:rsidR="00381E2C" w:rsidRPr="007F60AC">
        <w:rPr>
          <w:rFonts w:ascii="Times New Roman" w:hAnsi="Times New Roman" w:cs="Times New Roman"/>
        </w:rPr>
        <w:fldChar w:fldCharType="end"/>
      </w:r>
      <w:r w:rsidRPr="007F60AC">
        <w:rPr>
          <w:rFonts w:ascii="Times New Roman" w:hAnsi="Times New Roman" w:cs="Times New Roman"/>
        </w:rPr>
        <w:t xml:space="preserve"> and green spaces have been reported to improve depression and </w:t>
      </w:r>
      <w:r w:rsidR="00082E31" w:rsidRPr="007F60AC">
        <w:rPr>
          <w:rFonts w:ascii="Times New Roman" w:hAnsi="Times New Roman" w:cs="Times New Roman"/>
        </w:rPr>
        <w:t>facilitate</w:t>
      </w:r>
      <w:r w:rsidRPr="007F60AC">
        <w:rPr>
          <w:rFonts w:ascii="Times New Roman" w:hAnsi="Times New Roman" w:cs="Times New Roman"/>
        </w:rPr>
        <w:t xml:space="preserve"> </w:t>
      </w:r>
      <w:r w:rsidR="007529DB">
        <w:rPr>
          <w:rFonts w:ascii="Times New Roman" w:hAnsi="Times New Roman" w:cs="Times New Roman"/>
        </w:rPr>
        <w:t>psychological</w:t>
      </w:r>
      <w:r w:rsidR="002B2630" w:rsidRPr="007F60AC">
        <w:rPr>
          <w:rFonts w:ascii="Times New Roman" w:hAnsi="Times New Roman" w:cs="Times New Roman"/>
        </w:rPr>
        <w:t xml:space="preserve"> restoration</w:t>
      </w:r>
      <w:r w:rsidR="008E51CB">
        <w:rPr>
          <w:rFonts w:ascii="Times New Roman" w:hAnsi="Times New Roman" w:cs="Times New Roman"/>
        </w:rPr>
        <w:t xml:space="preserve"> </w:t>
      </w:r>
      <w:r w:rsidR="00381E2C" w:rsidRPr="007F60AC">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&lt;EndNote&gt;&lt;Cite&gt;&lt;Author&gt;Bowler&lt;/Author&gt;&lt;Year&gt;2010&lt;/Year&gt;&lt;RecNum&gt;812&lt;/RecNum&gt;&lt;record&gt;&lt;rec-number&gt;812&lt;/rec-number&gt;&lt;ref-type name="Journal Article"&gt;17&lt;/ref-type&gt;&lt;contributors&gt;&lt;authors&gt;&lt;author&gt;Bowler, Diana&lt;/author&gt;&lt;author&gt;Buyung-Ali, Lisette&lt;/author&gt;&lt;author&gt;Knight, Teri&lt;/author&gt;&lt;author&gt;Pullin, Andrew&lt;/author&gt;&lt;/authors&gt;&lt;/contributors&gt;&lt;titles&gt;&lt;title&gt;A systematic review of evidence for the added benefits to health of exposure to natural environments&lt;/title&gt;&lt;secondary-title&gt;BMC Public Health&lt;/secondary-title&gt;&lt;/titles&gt;&lt;periodical&gt;&lt;full-title&gt;BMC Public Health&lt;/full-title&gt;&lt;/periodical&gt;&lt;pages&gt;456&lt;/pages&gt;&lt;volume&gt;10&lt;/volume&gt;&lt;dates&gt;&lt;year&gt;2010&lt;/year&gt;&lt;/dates&gt;&lt;isbn&gt;1471-2458&lt;/isbn&gt;&lt;accession-num&gt;doi:10.1186/1471-2458-10-456&lt;/accession-num&gt;&lt;urls&gt;&lt;related-urls&gt;&lt;url&gt;http://www.biomedcentral.com/1471-2458/10/456 &lt;/url&gt;&lt;/related-urls&gt;&lt;/urls&gt;&lt;/record&gt;&lt;/Cite&gt;&lt;/EndNote&gt;</w:instrText>
      </w:r>
      <w:r w:rsidR="00381E2C" w:rsidRPr="007F60AC">
        <w:rPr>
          <w:rFonts w:ascii="Times New Roman" w:hAnsi="Times New Roman" w:cs="Times New Roman"/>
        </w:rPr>
        <w:fldChar w:fldCharType="separate"/>
      </w:r>
      <w:r w:rsidR="00B4416E">
        <w:rPr>
          <w:rFonts w:ascii="Times New Roman" w:hAnsi="Times New Roman" w:cs="Times New Roman"/>
        </w:rPr>
        <w:t>(Bowler et al. 2010)</w:t>
      </w:r>
      <w:r w:rsidR="00381E2C" w:rsidRPr="007F60AC">
        <w:rPr>
          <w:rFonts w:ascii="Times New Roman" w:hAnsi="Times New Roman" w:cs="Times New Roman"/>
        </w:rPr>
        <w:fldChar w:fldCharType="end"/>
      </w:r>
      <w:r w:rsidR="008E51CB">
        <w:rPr>
          <w:rFonts w:ascii="Times New Roman" w:hAnsi="Times New Roman" w:cs="Times New Roman"/>
        </w:rPr>
        <w:t>.</w:t>
      </w:r>
      <w:r w:rsidRPr="007F60AC">
        <w:rPr>
          <w:rFonts w:ascii="Times New Roman" w:hAnsi="Times New Roman" w:cs="Times New Roman"/>
        </w:rPr>
        <w:t xml:space="preserve"> </w:t>
      </w:r>
    </w:p>
    <w:p w:rsidR="007136E7" w:rsidRPr="007F60AC" w:rsidRDefault="007136E7">
      <w:pPr>
        <w:spacing w:after="0"/>
        <w:rPr>
          <w:rFonts w:ascii="Times New Roman" w:hAnsi="Times New Roman" w:cs="Times New Roman"/>
        </w:rPr>
      </w:pPr>
    </w:p>
    <w:p w:rsidR="00354FCA" w:rsidRDefault="003D3DED">
      <w:pPr>
        <w:spacing w:after="0"/>
        <w:rPr>
          <w:rFonts w:ascii="Times New Roman" w:hAnsi="Times New Roman" w:cs="Times New Roman"/>
        </w:rPr>
      </w:pPr>
      <w:r w:rsidRPr="003D3DED">
        <w:rPr>
          <w:rFonts w:ascii="Times New Roman" w:hAnsi="Times New Roman" w:cs="Times New Roman"/>
        </w:rPr>
        <w:t xml:space="preserve">The available evidence on the </w:t>
      </w:r>
      <w:r w:rsidR="00206BA2">
        <w:rPr>
          <w:rFonts w:ascii="Times New Roman" w:hAnsi="Times New Roman" w:cs="Times New Roman"/>
        </w:rPr>
        <w:t>modification of health benefits of green spaces by ethnicity</w:t>
      </w:r>
      <w:r w:rsidR="00254011">
        <w:rPr>
          <w:rFonts w:ascii="Times New Roman" w:hAnsi="Times New Roman" w:cs="Times New Roman"/>
        </w:rPr>
        <w:t xml:space="preserve"> </w:t>
      </w:r>
      <w:r w:rsidRPr="003D3DED">
        <w:rPr>
          <w:rFonts w:ascii="Times New Roman" w:hAnsi="Times New Roman" w:cs="Times New Roman"/>
        </w:rPr>
        <w:t>is scarce and we are not aware of previous published results  in pregnant women</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&lt;EndNote&gt;&lt;Cite&gt;&lt;Author&gt;Lee&lt;/Author&gt;&lt;Year&gt;2011&lt;/Year&gt;&lt;RecNum&gt;800&lt;/RecNum&gt;&lt;record&gt;&lt;rec-number&gt;800&lt;/rec-number&gt;&lt;ref-type name="Journal Article"&gt;17&lt;/ref-type&gt;&lt;contributors&gt;&lt;authors&gt;&lt;author&gt;Lee, A. C.&lt;/author&gt;&lt;author&gt;Maheswaran, R.&lt;/author&gt;&lt;/authors&gt;&lt;/contributors&gt;&lt;titles&gt;&lt;title&gt;The health benefits of urban green spaces: a review of the evidence&lt;/title&gt;&lt;secondary-title&gt;J Public Health (Oxf)&lt;/secondary-title&gt;&lt;/titles&gt;&lt;pages&gt;212-222&lt;/pages&gt;&lt;volume&gt;33&lt;/volume&gt;&lt;number&gt;2&lt;/number&gt;&lt;dates&gt;&lt;year&gt;2011&lt;/year&gt;&lt;/dates&gt;&lt;isbn&gt;1741-3850&lt;/isbn&gt;&lt;urls&gt;&lt;/urls&gt;&lt;/record&gt;&lt;/Cite&gt;&lt;Cite&gt;&lt;Author&gt;Agyemang&lt;/Author&gt;&lt;Year&gt;2007&lt;/Year&gt;&lt;RecNum&gt;1114&lt;/RecNum&gt;&lt;record&gt;&lt;rec-number&gt;1114&lt;/rec-number&gt;&lt;ref-type name="Journal Article"&gt;17&lt;/ref-type&gt;&lt;contributors&gt;&lt;authors&gt;&lt;author&gt;Agyemang, Charles&lt;/author&gt;&lt;author&gt;van Hooijdonk, Carolien&lt;/author&gt;&lt;author&gt;Wendel-Vos, Wanda&lt;/author&gt;&lt;author&gt;Ujcic-Voortman, Joanne&lt;/author&gt;&lt;author&gt;Lindeman, Ellen&lt;/author&gt;&lt;author&gt;Stronks, Karien&lt;/author&gt;&lt;author&gt;Droomers, Mariel&lt;/author&gt;&lt;/authors&gt;&lt;/contributors&gt;&lt;titles&gt;&lt;title&gt;Ethnic differences in the effect of environmental stressors on blood pressure and hypertension in the Netherlands&lt;/title&gt;&lt;secondary-title&gt;BMC Public Health&lt;/secondary-title&gt;&lt;/titles&gt;&lt;periodical&gt;&lt;full-title&gt;BMC Public Health&lt;/full-title&gt;&lt;/periodical&gt;&lt;pages&gt;118&lt;/pages&gt;&lt;volume&gt;7&lt;/volume&gt;&lt;number&gt;1&lt;/number&gt;&lt;dates&gt;&lt;year&gt;2007&lt;/year&gt;&lt;/dates&gt;&lt;isbn&gt;1471-2458&lt;/isbn&gt;&lt;accession-num&gt;doi:10.1186/1471-2458-7-118&lt;/accession-num&gt;&lt;urls&gt;&lt;related-urls&gt;&lt;url&gt;http://www.biomedcentral.com/1471-2458/7/118 &lt;/url&gt;&lt;/related-urls&gt;&lt;/urls&gt;&lt;/record&gt;&lt;/Cite&gt;&lt;/EndNote&gt;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(Agyemang et al. 2007; Lee and Maheswaran 2011)</w:t>
      </w:r>
      <w:r w:rsidR="00381E2C" w:rsidRPr="003D3DED">
        <w:rPr>
          <w:rFonts w:ascii="Times New Roman" w:hAnsi="Times New Roman" w:cs="Times New Roman"/>
        </w:rPr>
        <w:fldChar w:fldCharType="end"/>
      </w:r>
      <w:r w:rsidR="008E51CB">
        <w:rPr>
          <w:rFonts w:ascii="Times New Roman" w:hAnsi="Times New Roman" w:cs="Times New Roman"/>
        </w:rPr>
        <w:t>.</w:t>
      </w:r>
      <w:r w:rsidRPr="003D3DED">
        <w:rPr>
          <w:rFonts w:ascii="Times New Roman" w:hAnsi="Times New Roman" w:cs="Times New Roman"/>
        </w:rPr>
        <w:t xml:space="preserve"> We observed a statistically significant </w:t>
      </w:r>
      <w:r w:rsidR="007341BA">
        <w:rPr>
          <w:rFonts w:ascii="Times New Roman" w:hAnsi="Times New Roman" w:cs="Times New Roman"/>
        </w:rPr>
        <w:t xml:space="preserve">multiplicative </w:t>
      </w:r>
      <w:r w:rsidRPr="003D3DED">
        <w:rPr>
          <w:rFonts w:ascii="Times New Roman" w:hAnsi="Times New Roman" w:cs="Times New Roman"/>
        </w:rPr>
        <w:t xml:space="preserve">interaction between residential surrounding greenness and ethnicity. After we stratified the main effect analysis according to ethnicity, we observed that while </w:t>
      </w:r>
      <w:r w:rsidR="006B1748" w:rsidRPr="003C7E91">
        <w:rPr>
          <w:rFonts w:ascii="Times New Roman" w:hAnsi="Times New Roman" w:cs="Times New Roman"/>
        </w:rPr>
        <w:t xml:space="preserve">there was an increased birth weight associated with higher residential surrounding greenness </w:t>
      </w:r>
      <w:r w:rsidRPr="003D3DED">
        <w:rPr>
          <w:rFonts w:ascii="Times New Roman" w:hAnsi="Times New Roman" w:cs="Times New Roman"/>
        </w:rPr>
        <w:t xml:space="preserve">for </w:t>
      </w:r>
      <w:r w:rsidR="00D23C99">
        <w:rPr>
          <w:rFonts w:ascii="Times New Roman" w:hAnsi="Times New Roman" w:cs="Times New Roman"/>
        </w:rPr>
        <w:t>White British</w:t>
      </w:r>
      <w:r w:rsidRPr="003D3DED">
        <w:rPr>
          <w:rFonts w:ascii="Times New Roman" w:hAnsi="Times New Roman" w:cs="Times New Roman"/>
        </w:rPr>
        <w:t xml:space="preserve"> </w:t>
      </w:r>
      <w:r w:rsidR="00D23C99">
        <w:rPr>
          <w:rFonts w:ascii="Times New Roman" w:hAnsi="Times New Roman" w:cs="Times New Roman"/>
        </w:rPr>
        <w:t>participant</w:t>
      </w:r>
      <w:r w:rsidRPr="003D3DED">
        <w:rPr>
          <w:rFonts w:ascii="Times New Roman" w:hAnsi="Times New Roman" w:cs="Times New Roman"/>
        </w:rPr>
        <w:t xml:space="preserve">s, there was no </w:t>
      </w:r>
      <w:r w:rsidR="007341BA">
        <w:rPr>
          <w:rFonts w:ascii="Times New Roman" w:hAnsi="Times New Roman" w:cs="Times New Roman"/>
        </w:rPr>
        <w:t>such an association</w:t>
      </w:r>
      <w:r w:rsidR="007341BA" w:rsidRPr="003D3DED">
        <w:rPr>
          <w:rFonts w:ascii="Times New Roman" w:hAnsi="Times New Roman" w:cs="Times New Roman"/>
        </w:rPr>
        <w:t xml:space="preserve"> </w:t>
      </w:r>
      <w:r w:rsidRPr="003D3DED">
        <w:rPr>
          <w:rFonts w:ascii="Times New Roman" w:hAnsi="Times New Roman" w:cs="Times New Roman"/>
        </w:rPr>
        <w:t xml:space="preserve">for </w:t>
      </w:r>
      <w:r w:rsidR="006B1748">
        <w:rPr>
          <w:rFonts w:ascii="Times New Roman" w:hAnsi="Times New Roman" w:cs="Times New Roman"/>
        </w:rPr>
        <w:t>those</w:t>
      </w:r>
      <w:r w:rsidRPr="003D3DED">
        <w:rPr>
          <w:rFonts w:ascii="Times New Roman" w:hAnsi="Times New Roman" w:cs="Times New Roman"/>
        </w:rPr>
        <w:t xml:space="preserve"> of Pakistani origin</w:t>
      </w:r>
      <w:r w:rsidR="007341BA">
        <w:rPr>
          <w:rFonts w:ascii="Times New Roman" w:hAnsi="Times New Roman" w:cs="Times New Roman"/>
        </w:rPr>
        <w:t xml:space="preserve">; however, the 95% confidence intervals of the associations for White British </w:t>
      </w:r>
      <w:r w:rsidR="00A40256">
        <w:rPr>
          <w:rFonts w:ascii="Times New Roman" w:hAnsi="Times New Roman" w:cs="Times New Roman"/>
        </w:rPr>
        <w:t xml:space="preserve">participants </w:t>
      </w:r>
      <w:r w:rsidR="007341BA">
        <w:rPr>
          <w:rFonts w:ascii="Times New Roman" w:hAnsi="Times New Roman" w:cs="Times New Roman"/>
        </w:rPr>
        <w:t>and those of Pakistani origin were overlapping.</w:t>
      </w:r>
      <w:r w:rsidRPr="003D3DED">
        <w:rPr>
          <w:rFonts w:ascii="Times New Roman" w:hAnsi="Times New Roman" w:cs="Times New Roman"/>
        </w:rPr>
        <w:t xml:space="preserve"> We also observed </w:t>
      </w:r>
      <w:r w:rsidR="009E6092">
        <w:rPr>
          <w:rFonts w:ascii="Times New Roman" w:hAnsi="Times New Roman" w:cs="Times New Roman"/>
        </w:rPr>
        <w:t xml:space="preserve">a positive association </w:t>
      </w:r>
      <w:r w:rsidRPr="003D3DED">
        <w:rPr>
          <w:rFonts w:ascii="Times New Roman" w:hAnsi="Times New Roman" w:cs="Times New Roman"/>
        </w:rPr>
        <w:t xml:space="preserve">for </w:t>
      </w:r>
      <w:r w:rsidR="00D23C99">
        <w:rPr>
          <w:rFonts w:ascii="Times New Roman" w:hAnsi="Times New Roman" w:cs="Times New Roman"/>
        </w:rPr>
        <w:t>participant</w:t>
      </w:r>
      <w:r w:rsidRPr="003D3DED">
        <w:rPr>
          <w:rFonts w:ascii="Times New Roman" w:hAnsi="Times New Roman" w:cs="Times New Roman"/>
        </w:rPr>
        <w:t>s classified as “other” ethnicity. This category included a wide range of ethnicities (Indians (</w:t>
      </w:r>
      <w:r w:rsidR="009E6092">
        <w:rPr>
          <w:rFonts w:ascii="Times New Roman" w:hAnsi="Times New Roman" w:cs="Times New Roman"/>
        </w:rPr>
        <w:t>3.8%</w:t>
      </w:r>
      <w:r w:rsidRPr="003D3DED">
        <w:rPr>
          <w:rFonts w:ascii="Times New Roman" w:hAnsi="Times New Roman" w:cs="Times New Roman"/>
        </w:rPr>
        <w:t>), Asian-other (</w:t>
      </w:r>
      <w:r w:rsidR="009E6092">
        <w:rPr>
          <w:rFonts w:ascii="Times New Roman" w:hAnsi="Times New Roman" w:cs="Times New Roman"/>
        </w:rPr>
        <w:t>2.3%</w:t>
      </w:r>
      <w:r w:rsidRPr="003D3DED">
        <w:rPr>
          <w:rFonts w:ascii="Times New Roman" w:hAnsi="Times New Roman" w:cs="Times New Roman"/>
        </w:rPr>
        <w:t>), white-other (</w:t>
      </w:r>
      <w:r w:rsidR="009E6092">
        <w:rPr>
          <w:rFonts w:ascii="Times New Roman" w:hAnsi="Times New Roman" w:cs="Times New Roman"/>
        </w:rPr>
        <w:t>2.6%</w:t>
      </w:r>
      <w:r w:rsidRPr="003D3DED">
        <w:rPr>
          <w:rFonts w:ascii="Times New Roman" w:hAnsi="Times New Roman" w:cs="Times New Roman"/>
        </w:rPr>
        <w:t>), black African (</w:t>
      </w:r>
      <w:r w:rsidR="009E6092">
        <w:rPr>
          <w:rFonts w:ascii="Times New Roman" w:hAnsi="Times New Roman" w:cs="Times New Roman"/>
        </w:rPr>
        <w:t>2.0%</w:t>
      </w:r>
      <w:r w:rsidRPr="003D3DED">
        <w:rPr>
          <w:rFonts w:ascii="Times New Roman" w:hAnsi="Times New Roman" w:cs="Times New Roman"/>
        </w:rPr>
        <w:t>), mixed (</w:t>
      </w:r>
      <w:r w:rsidR="009E6092">
        <w:rPr>
          <w:rFonts w:ascii="Times New Roman" w:hAnsi="Times New Roman" w:cs="Times New Roman"/>
        </w:rPr>
        <w:t>1.5%</w:t>
      </w:r>
      <w:r w:rsidRPr="003D3DED">
        <w:rPr>
          <w:rFonts w:ascii="Times New Roman" w:hAnsi="Times New Roman" w:cs="Times New Roman"/>
        </w:rPr>
        <w:t>), and other (</w:t>
      </w:r>
      <w:r w:rsidR="009E6092">
        <w:rPr>
          <w:rFonts w:ascii="Times New Roman" w:hAnsi="Times New Roman" w:cs="Times New Roman"/>
        </w:rPr>
        <w:t>2.6%</w:t>
      </w:r>
      <w:r w:rsidRPr="003D3DED">
        <w:rPr>
          <w:rFonts w:ascii="Times New Roman" w:hAnsi="Times New Roman" w:cs="Times New Roman"/>
        </w:rPr>
        <w:t xml:space="preserve">)) that lacked sufficient </w:t>
      </w:r>
      <w:r w:rsidR="001C48D0">
        <w:rPr>
          <w:rFonts w:ascii="Times New Roman" w:hAnsi="Times New Roman" w:cs="Times New Roman"/>
        </w:rPr>
        <w:t xml:space="preserve">statistical </w:t>
      </w:r>
      <w:r w:rsidRPr="003D3DED">
        <w:rPr>
          <w:rFonts w:ascii="Times New Roman" w:hAnsi="Times New Roman" w:cs="Times New Roman"/>
        </w:rPr>
        <w:t>power for separate analyses. Considering the heterogeneous nature of this category, interpretation</w:t>
      </w:r>
      <w:r w:rsidR="001B6402">
        <w:rPr>
          <w:rFonts w:ascii="Times New Roman" w:hAnsi="Times New Roman" w:cs="Times New Roman"/>
        </w:rPr>
        <w:t xml:space="preserve"> of</w:t>
      </w:r>
      <w:r w:rsidRPr="003D3DED">
        <w:rPr>
          <w:rFonts w:ascii="Times New Roman" w:hAnsi="Times New Roman" w:cs="Times New Roman"/>
        </w:rPr>
        <w:t xml:space="preserve"> the results for this category is limited. </w:t>
      </w:r>
      <w:r w:rsidR="000E3348">
        <w:rPr>
          <w:rFonts w:ascii="Times New Roman" w:hAnsi="Times New Roman" w:cs="Times New Roman"/>
        </w:rPr>
        <w:t>E</w:t>
      </w:r>
      <w:r w:rsidRPr="003D3DED">
        <w:rPr>
          <w:rFonts w:ascii="Times New Roman" w:hAnsi="Times New Roman" w:cs="Times New Roman"/>
        </w:rPr>
        <w:t>xclu</w:t>
      </w:r>
      <w:r w:rsidR="000E3348">
        <w:rPr>
          <w:rFonts w:ascii="Times New Roman" w:hAnsi="Times New Roman" w:cs="Times New Roman"/>
        </w:rPr>
        <w:t>sion of</w:t>
      </w:r>
      <w:r w:rsidRPr="003D3DED">
        <w:rPr>
          <w:rFonts w:ascii="Times New Roman" w:hAnsi="Times New Roman" w:cs="Times New Roman"/>
        </w:rPr>
        <w:t xml:space="preserve"> </w:t>
      </w:r>
      <w:r w:rsidR="00D23C99">
        <w:rPr>
          <w:rFonts w:ascii="Times New Roman" w:hAnsi="Times New Roman" w:cs="Times New Roman"/>
        </w:rPr>
        <w:t>participant</w:t>
      </w:r>
      <w:r w:rsidRPr="003D3DED">
        <w:rPr>
          <w:rFonts w:ascii="Times New Roman" w:hAnsi="Times New Roman" w:cs="Times New Roman"/>
        </w:rPr>
        <w:t>s classified as “other” ethnicity</w:t>
      </w:r>
      <w:r w:rsidR="000E3348">
        <w:rPr>
          <w:rFonts w:ascii="Times New Roman" w:hAnsi="Times New Roman" w:cs="Times New Roman"/>
        </w:rPr>
        <w:t xml:space="preserve"> did not result in any </w:t>
      </w:r>
      <w:r w:rsidR="00735D9E">
        <w:rPr>
          <w:rFonts w:ascii="Times New Roman" w:hAnsi="Times New Roman" w:cs="Times New Roman"/>
        </w:rPr>
        <w:t>notable change in the statistical significance of the</w:t>
      </w:r>
      <w:r w:rsidR="00735D9E" w:rsidRPr="003D3DED">
        <w:rPr>
          <w:rFonts w:ascii="Times New Roman" w:hAnsi="Times New Roman" w:cs="Times New Roman"/>
        </w:rPr>
        <w:t xml:space="preserve"> </w:t>
      </w:r>
      <w:r w:rsidR="006013BE">
        <w:rPr>
          <w:rFonts w:ascii="Times New Roman" w:hAnsi="Times New Roman" w:cs="Times New Roman"/>
        </w:rPr>
        <w:t xml:space="preserve">multiplicative </w:t>
      </w:r>
      <w:r w:rsidR="00735D9E" w:rsidRPr="003D3DED">
        <w:rPr>
          <w:rFonts w:ascii="Times New Roman" w:hAnsi="Times New Roman" w:cs="Times New Roman"/>
        </w:rPr>
        <w:t>interaction</w:t>
      </w:r>
      <w:r w:rsidR="006013BE">
        <w:rPr>
          <w:rFonts w:ascii="Times New Roman" w:hAnsi="Times New Roman" w:cs="Times New Roman"/>
        </w:rPr>
        <w:t xml:space="preserve"> term</w:t>
      </w:r>
      <w:r w:rsidR="00735D9E" w:rsidRPr="003D3DED">
        <w:rPr>
          <w:rFonts w:ascii="Times New Roman" w:hAnsi="Times New Roman" w:cs="Times New Roman"/>
        </w:rPr>
        <w:t xml:space="preserve"> of ethnicity and residential surrounding greenness</w:t>
      </w:r>
      <w:r w:rsidRPr="003D3DED">
        <w:rPr>
          <w:rFonts w:ascii="Times New Roman" w:hAnsi="Times New Roman" w:cs="Times New Roman"/>
        </w:rPr>
        <w:t xml:space="preserve">. </w:t>
      </w:r>
    </w:p>
    <w:p w:rsidR="005D3946" w:rsidRDefault="005D3946" w:rsidP="00EF1B70">
      <w:pPr>
        <w:spacing w:after="0"/>
        <w:rPr>
          <w:rFonts w:ascii="Times New Roman" w:hAnsi="Times New Roman" w:cs="Times New Roman"/>
        </w:rPr>
      </w:pPr>
    </w:p>
    <w:p w:rsidR="007136E7" w:rsidRPr="00B223A5" w:rsidRDefault="003D3DED" w:rsidP="00B4416E">
      <w:pPr>
        <w:spacing w:after="0"/>
        <w:rPr>
          <w:rFonts w:ascii="Times New Roman" w:hAnsi="Times New Roman" w:cs="Times New Roman"/>
        </w:rPr>
      </w:pPr>
      <w:r w:rsidRPr="003D3DED">
        <w:rPr>
          <w:rFonts w:ascii="Times New Roman" w:hAnsi="Times New Roman" w:cs="Times New Roman"/>
        </w:rPr>
        <w:lastRenderedPageBreak/>
        <w:t xml:space="preserve">A potential explanation for our observed difference between </w:t>
      </w:r>
      <w:r w:rsidR="00D23C99">
        <w:rPr>
          <w:rFonts w:ascii="Times New Roman" w:hAnsi="Times New Roman" w:cs="Times New Roman"/>
        </w:rPr>
        <w:t>participant</w:t>
      </w:r>
      <w:r w:rsidRPr="003D3DED">
        <w:rPr>
          <w:rFonts w:ascii="Times New Roman" w:hAnsi="Times New Roman" w:cs="Times New Roman"/>
        </w:rPr>
        <w:t xml:space="preserve">s of </w:t>
      </w:r>
      <w:r w:rsidR="00D23C99">
        <w:rPr>
          <w:rFonts w:ascii="Times New Roman" w:hAnsi="Times New Roman" w:cs="Times New Roman"/>
        </w:rPr>
        <w:t>White British</w:t>
      </w:r>
      <w:r w:rsidRPr="003D3DED">
        <w:rPr>
          <w:rFonts w:ascii="Times New Roman" w:hAnsi="Times New Roman" w:cs="Times New Roman"/>
        </w:rPr>
        <w:t xml:space="preserve"> and Pakistani origin could be the difference in their use of green spaces. A recent national survey (2012-2013) on the use of natural environments in England has reported that the “black and minority ethnic” population are less likely to use natural environment compared to the white population</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&lt;EndNote&gt;&lt;Cite&gt;&lt;Author&gt;Natural England&lt;/Author&gt;&lt;Year&gt;2013&lt;/Year&gt;&lt;RecNum&gt;1327&lt;/RecNum&gt;&lt;record&gt;&lt;rec-number&gt;1327&lt;/rec-number&gt;&lt;ref-type name="Report"&gt;27&lt;/ref-type&gt;&lt;contributors&gt;&lt;authors&gt;&lt;author&gt;Natural England,&lt;/author&gt;&lt;/authors&gt;&lt;/contributors&gt;&lt;titles&gt;&lt;title&gt;Monitor of engagement with the natural environment: the national survey on people and the natural environment&lt;/title&gt;&lt;secondary-title&gt;Natural England Commissioned Reports&lt;/secondary-title&gt;&lt;/titles&gt;&lt;dates&gt;&lt;year&gt;2013&lt;/year&gt;&lt;/dates&gt;&lt;pub-location&gt;Sheffield &lt;/pub-location&gt;&lt;publisher&gt;Natural England&lt;/publisher&gt;&lt;urls&gt;&lt;pdf-urls&gt;&lt;url&gt;http://publications.naturalengland.org.uk/file/6059772310716416&lt;/url&gt;&lt;/pdf-urls&gt;&lt;/urls&gt;&lt;/record&gt;&lt;/Cite&gt;&lt;/EndNote&gt;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(Natural England 2013)</w:t>
      </w:r>
      <w:r w:rsidR="00381E2C" w:rsidRPr="003D3DED">
        <w:rPr>
          <w:rFonts w:ascii="Times New Roman" w:hAnsi="Times New Roman" w:cs="Times New Roman"/>
        </w:rPr>
        <w:fldChar w:fldCharType="end"/>
      </w:r>
      <w:r w:rsidR="008E51CB">
        <w:rPr>
          <w:rFonts w:ascii="Times New Roman" w:hAnsi="Times New Roman" w:cs="Times New Roman"/>
        </w:rPr>
        <w:t>.</w:t>
      </w:r>
      <w:r w:rsidR="00F864AD">
        <w:rPr>
          <w:rFonts w:ascii="Times New Roman" w:hAnsi="Times New Roman" w:cs="Times New Roman"/>
        </w:rPr>
        <w:t xml:space="preserve"> A number of reasons for this have been suggested, including a</w:t>
      </w:r>
      <w:r w:rsidR="001B6402">
        <w:rPr>
          <w:rFonts w:ascii="Times New Roman" w:hAnsi="Times New Roman" w:cs="Times New Roman"/>
        </w:rPr>
        <w:t xml:space="preserve"> </w:t>
      </w:r>
      <w:r w:rsidR="00F864AD">
        <w:rPr>
          <w:rFonts w:ascii="Times New Roman" w:hAnsi="Times New Roman" w:cs="Times New Roman"/>
        </w:rPr>
        <w:t>l</w:t>
      </w:r>
      <w:r w:rsidRPr="003D3DED">
        <w:rPr>
          <w:rFonts w:ascii="Times New Roman" w:hAnsi="Times New Roman" w:cs="Times New Roman"/>
        </w:rPr>
        <w:t xml:space="preserve">ack of activities attractive </w:t>
      </w:r>
      <w:r w:rsidR="00F864AD">
        <w:rPr>
          <w:rFonts w:ascii="Times New Roman" w:hAnsi="Times New Roman" w:cs="Times New Roman"/>
        </w:rPr>
        <w:t>to</w:t>
      </w:r>
      <w:r w:rsidRPr="003D3DED">
        <w:rPr>
          <w:rFonts w:ascii="Times New Roman" w:hAnsi="Times New Roman" w:cs="Times New Roman"/>
        </w:rPr>
        <w:t xml:space="preserve"> ethnic minorities, lack of suitable interpretative information and awareness for these groups, lack of confidence (e.g. fears of getting lost or vulnerability), negative feeling</w:t>
      </w:r>
      <w:r w:rsidR="00F864AD">
        <w:rPr>
          <w:rFonts w:ascii="Times New Roman" w:hAnsi="Times New Roman" w:cs="Times New Roman"/>
        </w:rPr>
        <w:t>s</w:t>
      </w:r>
      <w:r w:rsidRPr="003D3DED">
        <w:rPr>
          <w:rFonts w:ascii="Times New Roman" w:hAnsi="Times New Roman" w:cs="Times New Roman"/>
        </w:rPr>
        <w:t xml:space="preserve"> associated with previous experiences (e.g. perceived experience of racism), financial costs, and shortage of free time</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&lt;EndNote&gt;&lt;Cite&gt;&lt;Author&gt;Morris&lt;/Author&gt;&lt;Year&gt;2003&lt;/Year&gt;&lt;RecNum&gt;1326&lt;/RecNum&gt;&lt;record&gt;&lt;rec-number&gt;1326&lt;/rec-number&gt;&lt;ref-type name="Report"&gt;27&lt;/ref-type&gt;&lt;contributors&gt;&lt;authors&gt;&lt;author&gt;Morris, Nina&lt;/author&gt;&lt;/authors&gt;&lt;/contributors&gt;&lt;titles&gt;&lt;title&gt;Black and Minority Ethnic groups and public open space-Literature Review&lt;/title&gt;&lt;/titles&gt;&lt;volume&gt;15&lt;/volume&gt;&lt;dates&gt;&lt;year&gt;2003&lt;/year&gt;&lt;/dates&gt;&lt;pub-location&gt;Edinburgh &lt;/pub-location&gt;&lt;publisher&gt;OPENspace Research Centre, Edinburgh Unversity/Heriot Watt University&lt;/publisher&gt;&lt;urls&gt;&lt;/urls&gt;&lt;/record&gt;&lt;/Cite&gt;&lt;/EndNote&gt;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(Morris 2003)</w:t>
      </w:r>
      <w:r w:rsidR="00381E2C" w:rsidRPr="003D3DED">
        <w:rPr>
          <w:rFonts w:ascii="Times New Roman" w:hAnsi="Times New Roman" w:cs="Times New Roman"/>
        </w:rPr>
        <w:fldChar w:fldCharType="end"/>
      </w:r>
      <w:r w:rsidR="008E51CB">
        <w:rPr>
          <w:rFonts w:ascii="Times New Roman" w:hAnsi="Times New Roman" w:cs="Times New Roman"/>
        </w:rPr>
        <w:t>.</w:t>
      </w:r>
    </w:p>
    <w:p w:rsidR="007136E7" w:rsidRPr="00B223A5" w:rsidRDefault="007136E7">
      <w:pPr>
        <w:spacing w:after="0"/>
        <w:rPr>
          <w:rFonts w:ascii="Times New Roman" w:hAnsi="Times New Roman" w:cs="Times New Roman"/>
        </w:rPr>
      </w:pPr>
    </w:p>
    <w:p w:rsidR="00354FCA" w:rsidRDefault="00983ACD">
      <w:pPr>
        <w:spacing w:after="0"/>
        <w:rPr>
          <w:rFonts w:ascii="Times New Roman" w:hAnsi="Times New Roman" w:cs="Times New Roman"/>
        </w:rPr>
      </w:pPr>
      <w:r>
        <w:rPr>
          <w:rFonts w:ascii="Times New Roman" w:hAnsi="Times New Roman" w:cs="Times New Roman"/>
        </w:rPr>
        <w:t>We observed two separable patterns in the findings of analyses</w:t>
      </w:r>
      <w:r w:rsidR="00924E31">
        <w:rPr>
          <w:rFonts w:ascii="Times New Roman" w:hAnsi="Times New Roman" w:cs="Times New Roman"/>
        </w:rPr>
        <w:t xml:space="preserve"> of residential surrounding greenness and birth weight</w:t>
      </w:r>
      <w:r>
        <w:rPr>
          <w:rFonts w:ascii="Times New Roman" w:hAnsi="Times New Roman" w:cs="Times New Roman"/>
        </w:rPr>
        <w:t xml:space="preserve"> stratified </w:t>
      </w:r>
      <w:r w:rsidR="00924E31">
        <w:rPr>
          <w:rFonts w:ascii="Times New Roman" w:hAnsi="Times New Roman" w:cs="Times New Roman"/>
        </w:rPr>
        <w:t>according to</w:t>
      </w:r>
      <w:r>
        <w:rPr>
          <w:rFonts w:ascii="Times New Roman" w:hAnsi="Times New Roman" w:cs="Times New Roman"/>
        </w:rPr>
        <w:t xml:space="preserve"> maternal education and </w:t>
      </w:r>
      <w:r w:rsidRPr="007F60AC">
        <w:rPr>
          <w:rFonts w:ascii="Times New Roman" w:hAnsi="Times New Roman" w:cs="Times New Roman"/>
        </w:rPr>
        <w:t>neighbourhood SES</w:t>
      </w:r>
      <w:r>
        <w:rPr>
          <w:rFonts w:ascii="Times New Roman" w:hAnsi="Times New Roman" w:cs="Times New Roman"/>
        </w:rPr>
        <w:t xml:space="preserve">. </w:t>
      </w:r>
      <w:r w:rsidR="00924E31">
        <w:rPr>
          <w:rFonts w:ascii="Times New Roman" w:hAnsi="Times New Roman" w:cs="Times New Roman"/>
        </w:rPr>
        <w:t xml:space="preserve">While for surrounding greenness in smaller buffers (surrogating immediate </w:t>
      </w:r>
      <w:r w:rsidR="009965AC">
        <w:rPr>
          <w:rFonts w:ascii="Times New Roman" w:hAnsi="Times New Roman" w:cs="Times New Roman"/>
        </w:rPr>
        <w:t xml:space="preserve">residential </w:t>
      </w:r>
      <w:r w:rsidR="00924E31">
        <w:rPr>
          <w:rFonts w:ascii="Times New Roman" w:hAnsi="Times New Roman" w:cs="Times New Roman"/>
        </w:rPr>
        <w:t xml:space="preserve">surrounding greenness) we did not observe </w:t>
      </w:r>
      <w:r w:rsidR="00205D14">
        <w:rPr>
          <w:rFonts w:ascii="Times New Roman" w:hAnsi="Times New Roman" w:cs="Times New Roman"/>
        </w:rPr>
        <w:t xml:space="preserve">any </w:t>
      </w:r>
      <w:r w:rsidR="00924E31">
        <w:rPr>
          <w:rFonts w:ascii="Times New Roman" w:hAnsi="Times New Roman" w:cs="Times New Roman"/>
        </w:rPr>
        <w:t xml:space="preserve">trend across strata of maternal education and neighbourhood SES, for surrounding greenness in larger buffer sizes (surrogating neighbourhood surrounding greenness) we observed trends suggesting stronger positive associations for more deprived participants. </w:t>
      </w:r>
      <w:r w:rsidR="00484679">
        <w:rPr>
          <w:rFonts w:ascii="Times New Roman" w:hAnsi="Times New Roman" w:cs="Times New Roman"/>
        </w:rPr>
        <w:t>The association attained statistical significance for those living in the most deprived neighbourhoods in all buffer sizes.</w:t>
      </w:r>
      <w:r w:rsidR="00924E31">
        <w:rPr>
          <w:rFonts w:ascii="Times New Roman" w:hAnsi="Times New Roman" w:cs="Times New Roman"/>
        </w:rPr>
        <w:t xml:space="preserve"> </w:t>
      </w:r>
      <w:r w:rsidR="00205D14">
        <w:rPr>
          <w:rFonts w:ascii="Times New Roman" w:hAnsi="Times New Roman" w:cs="Times New Roman"/>
        </w:rPr>
        <w:t xml:space="preserve">These separable patterns </w:t>
      </w:r>
      <w:r w:rsidR="009965AC">
        <w:rPr>
          <w:rFonts w:ascii="Times New Roman" w:hAnsi="Times New Roman" w:cs="Times New Roman"/>
        </w:rPr>
        <w:t xml:space="preserve">for immediate residential surrounding greenness and neighbourhood greenness might be partly attributed to </w:t>
      </w:r>
      <w:r w:rsidR="00EF44EF">
        <w:rPr>
          <w:rFonts w:ascii="Times New Roman" w:hAnsi="Times New Roman" w:cs="Times New Roman"/>
        </w:rPr>
        <w:t xml:space="preserve">their potentially </w:t>
      </w:r>
      <w:r w:rsidR="009965AC">
        <w:rPr>
          <w:rFonts w:ascii="Times New Roman" w:hAnsi="Times New Roman" w:cs="Times New Roman"/>
        </w:rPr>
        <w:t xml:space="preserve">different </w:t>
      </w:r>
      <w:r w:rsidR="00EF44EF">
        <w:rPr>
          <w:rFonts w:ascii="Times New Roman" w:hAnsi="Times New Roman" w:cs="Times New Roman"/>
        </w:rPr>
        <w:t xml:space="preserve">underlying </w:t>
      </w:r>
      <w:r w:rsidR="009965AC">
        <w:rPr>
          <w:rFonts w:ascii="Times New Roman" w:hAnsi="Times New Roman" w:cs="Times New Roman"/>
        </w:rPr>
        <w:t xml:space="preserve">mechanisms </w:t>
      </w:r>
      <w:r w:rsidR="00EF44EF">
        <w:rPr>
          <w:rFonts w:ascii="Times New Roman" w:hAnsi="Times New Roman" w:cs="Times New Roman"/>
        </w:rPr>
        <w:t xml:space="preserve">as described in section 2.3. These findings are also </w:t>
      </w:r>
      <w:r w:rsidR="00F504A3">
        <w:rPr>
          <w:rFonts w:ascii="Times New Roman" w:hAnsi="Times New Roman" w:cs="Times New Roman"/>
        </w:rPr>
        <w:t>in line with our observed higher correlation between IMD scores and surrounding greenness in larger buffer sizes (described in section 3.2).</w:t>
      </w:r>
      <w:r w:rsidR="009965AC">
        <w:rPr>
          <w:rFonts w:ascii="Times New Roman" w:hAnsi="Times New Roman" w:cs="Times New Roman"/>
        </w:rPr>
        <w:t xml:space="preserve"> </w:t>
      </w:r>
      <w:r w:rsidR="003D3DED" w:rsidRPr="003D3DED">
        <w:rPr>
          <w:rFonts w:ascii="Times New Roman" w:hAnsi="Times New Roman" w:cs="Times New Roman"/>
        </w:rPr>
        <w:t xml:space="preserve">The “other” education category included three subcategories: </w:t>
      </w:r>
      <w:r w:rsidR="003D3DED" w:rsidRPr="003D3DED">
        <w:rPr>
          <w:rFonts w:ascii="Times New Roman" w:hAnsi="Times New Roman" w:cs="Times New Roman"/>
          <w:i/>
          <w:iCs/>
        </w:rPr>
        <w:t>other qualifications</w:t>
      </w:r>
      <w:r w:rsidR="003D3DED" w:rsidRPr="003D3DED">
        <w:rPr>
          <w:rFonts w:ascii="Times New Roman" w:hAnsi="Times New Roman" w:cs="Times New Roman"/>
        </w:rPr>
        <w:t xml:space="preserve"> (e.g. City and </w:t>
      </w:r>
      <w:r w:rsidR="003D3DED" w:rsidRPr="003D3DED">
        <w:rPr>
          <w:rFonts w:ascii="Times New Roman" w:hAnsi="Times New Roman" w:cs="Times New Roman"/>
        </w:rPr>
        <w:lastRenderedPageBreak/>
        <w:t xml:space="preserve">Guilds, RSA/OCR, BTEC) (N=596), </w:t>
      </w:r>
      <w:r w:rsidR="003D3DED" w:rsidRPr="003D3DED">
        <w:rPr>
          <w:rFonts w:ascii="Times New Roman" w:hAnsi="Times New Roman" w:cs="Times New Roman"/>
          <w:i/>
          <w:iCs/>
        </w:rPr>
        <w:t>unknown foreign qualifications</w:t>
      </w:r>
      <w:r w:rsidR="003D3DED" w:rsidRPr="003D3DED">
        <w:rPr>
          <w:rFonts w:ascii="Times New Roman" w:hAnsi="Times New Roman" w:cs="Times New Roman"/>
        </w:rPr>
        <w:t xml:space="preserve"> (N=106), and </w:t>
      </w:r>
      <w:r w:rsidR="003D3DED" w:rsidRPr="003D3DED">
        <w:rPr>
          <w:rFonts w:ascii="Times New Roman" w:hAnsi="Times New Roman" w:cs="Times New Roman"/>
          <w:i/>
          <w:iCs/>
        </w:rPr>
        <w:t>not known</w:t>
      </w:r>
      <w:r w:rsidR="003D3DED" w:rsidRPr="003D3DED">
        <w:rPr>
          <w:rFonts w:ascii="Times New Roman" w:hAnsi="Times New Roman" w:cs="Times New Roman"/>
        </w:rPr>
        <w:t xml:space="preserve"> (N=120). Because of variations between and within these three subcategories, interpretation of the findings of the stratified analyses for the “other” education category is limited. </w:t>
      </w:r>
      <w:r w:rsidR="00F504A3">
        <w:rPr>
          <w:rFonts w:ascii="Times New Roman" w:hAnsi="Times New Roman" w:cs="Times New Roman"/>
        </w:rPr>
        <w:t xml:space="preserve">Our observed </w:t>
      </w:r>
      <w:r w:rsidR="003D3DED" w:rsidRPr="003D3DED">
        <w:rPr>
          <w:rFonts w:ascii="Times New Roman" w:hAnsi="Times New Roman" w:cs="Times New Roman"/>
        </w:rPr>
        <w:t>trend</w:t>
      </w:r>
      <w:r w:rsidR="009D10E3">
        <w:rPr>
          <w:rFonts w:ascii="Times New Roman" w:hAnsi="Times New Roman" w:cs="Times New Roman"/>
        </w:rPr>
        <w:t xml:space="preserve"> in</w:t>
      </w:r>
      <w:r w:rsidR="00F504A3">
        <w:rPr>
          <w:rFonts w:ascii="Times New Roman" w:hAnsi="Times New Roman" w:cs="Times New Roman"/>
        </w:rPr>
        <w:t xml:space="preserve"> </w:t>
      </w:r>
      <w:r w:rsidR="009D10E3">
        <w:rPr>
          <w:rFonts w:ascii="Times New Roman" w:hAnsi="Times New Roman" w:cs="Times New Roman"/>
        </w:rPr>
        <w:t xml:space="preserve">associations for residential surrounding greenness in larger buffers across strata of maternal education </w:t>
      </w:r>
      <w:r w:rsidR="003D3DED" w:rsidRPr="003D3DED">
        <w:rPr>
          <w:rFonts w:ascii="Times New Roman" w:hAnsi="Times New Roman" w:cs="Times New Roman"/>
        </w:rPr>
        <w:t xml:space="preserve">is consistent with </w:t>
      </w:r>
      <w:r w:rsidR="009D10E3">
        <w:rPr>
          <w:rFonts w:ascii="Times New Roman" w:hAnsi="Times New Roman" w:cs="Times New Roman"/>
        </w:rPr>
        <w:t xml:space="preserve">findings of </w:t>
      </w:r>
      <w:r w:rsidR="003D3DED" w:rsidRPr="003D3DED">
        <w:rPr>
          <w:rFonts w:ascii="Times New Roman" w:hAnsi="Times New Roman" w:cs="Times New Roman"/>
        </w:rPr>
        <w:t xml:space="preserve">our previous studies on the impact of residential surrounding greenness on birth weight showing </w:t>
      </w:r>
      <w:r w:rsidR="009D10E3">
        <w:rPr>
          <w:rFonts w:ascii="Times New Roman" w:hAnsi="Times New Roman" w:cs="Times New Roman"/>
        </w:rPr>
        <w:t xml:space="preserve">stronger positive association for </w:t>
      </w:r>
      <w:r w:rsidR="003D3DED" w:rsidRPr="003D3DED">
        <w:rPr>
          <w:rFonts w:ascii="Times New Roman" w:hAnsi="Times New Roman" w:cs="Times New Roman"/>
        </w:rPr>
        <w:t xml:space="preserve">mothers with lower education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&lt;EndNote&gt;&lt;Cite&gt;&lt;Author&gt;Dadvand&lt;/Author&gt;&lt;Year&gt;2012&lt;/Year&gt;&lt;RecNum&gt;898&lt;/RecNum&gt;&lt;record&gt;&lt;rec-number&gt;898&lt;/rec-number&gt;&lt;ref-type name="Journal Article"&gt;17&lt;/ref-type&gt;&lt;contributors&gt;&lt;authors&gt;&lt;author&gt;Dadvand, P.&lt;/author&gt;&lt;author&gt;de Nazelle, A.&lt;/author&gt;&lt;author&gt;Figueras, F.&lt;/author&gt;&lt;author&gt;Basagaña, X &lt;/author&gt;&lt;author&gt;Sue, J.&lt;/author&gt;&lt;author&gt;Amoly, E.&lt;/author&gt;&lt;author&gt;Jerrett, M. &lt;/author&gt;&lt;author&gt;Vrijheid, M.&lt;/author&gt;&lt;author&gt;Sunyer, J.&lt;/author&gt;&lt;author&gt;Nieuwenhuijsen, MJ.&lt;/author&gt;&lt;/authors&gt;&lt;/contributors&gt;&lt;titles&gt;&lt;title&gt;Green space, health inequality and pregnancy&lt;/title&gt;&lt;secondary-title&gt;Environ Int&lt;/secondary-title&gt;&lt;/titles&gt;&lt;periodical&gt;&lt;full-title&gt;Environ Int&lt;/full-title&gt;&lt;/periodical&gt;&lt;pages&gt;110-115&lt;/pages&gt;&lt;volume&gt;40&lt;/volume&gt;&lt;dates&gt;&lt;year&gt;2012&lt;/year&gt;&lt;/dates&gt;&lt;urls&gt;&lt;/urls&gt;&lt;/record&gt;&lt;/Ci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(Dadvand et al. 2012a; Dadvand et al. 2012b)</w:t>
      </w:r>
      <w:r w:rsidR="00381E2C" w:rsidRPr="003D3DED">
        <w:rPr>
          <w:rFonts w:ascii="Times New Roman" w:hAnsi="Times New Roman" w:cs="Times New Roman"/>
        </w:rPr>
        <w:fldChar w:fldCharType="end"/>
      </w:r>
      <w:r w:rsidR="008E51CB">
        <w:rPr>
          <w:rFonts w:ascii="Times New Roman" w:hAnsi="Times New Roman" w:cs="Times New Roman"/>
        </w:rPr>
        <w:t>.</w:t>
      </w:r>
      <w:r w:rsidR="003D3DED" w:rsidRPr="003D3DED">
        <w:rPr>
          <w:rFonts w:ascii="Times New Roman" w:hAnsi="Times New Roman" w:cs="Times New Roman"/>
        </w:rPr>
        <w:t xml:space="preserve"> This trend is also in line with findings of previous studies showing greater health benefits from green spaces in individuals with less educational qualifications</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&lt;EndNote&gt;&lt;Cite&gt;&lt;Author&gt;De Vries&lt;/Author&gt;&lt;Year&gt;2003&lt;/Year&gt;&lt;RecNum&gt;816&lt;/RecNum&gt;&lt;record&gt;&lt;rec-number&gt;816&lt;/rec-number&gt;&lt;ref-type name="Journal Article"&gt;17&lt;/ref-type&gt;&lt;contributors&gt;&lt;authors&gt;&lt;author&gt;De Vries, S.&lt;/author&gt;&lt;author&gt;Verheij, R. A.&lt;/author&gt;&lt;author&gt;Groenewegen, P. P.&lt;/author&gt;&lt;author&gt;Spreeuwenberg, P.&lt;/author&gt;&lt;/authors&gt;&lt;/contributors&gt;&lt;titles&gt;&lt;title&gt;Natural environments-healthy environments? An exploratory analysis of the relationship between greenspace and health&lt;/title&gt;&lt;secondary-title&gt;Environ Plan A&lt;/secondary-title&gt;&lt;/titles&gt;&lt;pages&gt;1717-1732&lt;/pages&gt;&lt;volume&gt;35&lt;/volume&gt;&lt;number&gt;10&lt;/number&gt;&lt;dates&gt;&lt;year&gt;2003&lt;/year&gt;&lt;/dates&gt;&lt;isbn&gt;0308-518X&lt;/isbn&gt;&lt;urls&gt;&lt;/urls&gt;&lt;/record&gt;&lt;/Cite&gt;&lt;Cite&gt;&lt;Author&gt;Maas&lt;/Author&gt;&lt;Year&gt;2009&lt;/Year&gt;&lt;RecNum&gt;801&lt;/RecNum&gt;&lt;record&gt;&lt;rec-number&gt;801&lt;/rec-number&gt;&lt;ref-type name="Journal Article"&gt;17&lt;/ref-type&gt;&lt;contributors&gt;&lt;authors&gt;&lt;author&gt;Maas, J.&lt;/author&gt;&lt;author&gt;Verheij, R. A.&lt;/author&gt;&lt;author&gt;de Vries, S.&lt;/author&gt;&lt;author&gt;Spreeuwenberg, P.&lt;/author&gt;&lt;author&gt;Schellevis, F. G.&lt;/author&gt;&lt;author&gt;Groenewegen, P. P.&lt;/author&gt;&lt;/authors&gt;&lt;/contributors&gt;&lt;titles&gt;&lt;title&gt;Morbidity is related to a green living environment&lt;/title&gt;&lt;secondary-title&gt;J Epidemiol Community Health&lt;/secondary-title&gt;&lt;/titles&gt;&lt;periodical&gt;&lt;full-title&gt;J Epidemiol Community Health&lt;/full-title&gt;&lt;/periodical&gt;&lt;pages&gt;967-973&lt;/pages&gt;&lt;volume&gt;63&lt;/volume&gt;&lt;number&gt;12&lt;/number&gt;&lt;dates&gt;&lt;year&gt;2009&lt;/year&gt;&lt;/dates&gt;&lt;isbn&gt;1470-2738&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(De Vries et al. 2003; Maas et al. 2009)</w:t>
      </w:r>
      <w:r w:rsidR="00381E2C" w:rsidRPr="003D3DED">
        <w:rPr>
          <w:rFonts w:ascii="Times New Roman" w:hAnsi="Times New Roman" w:cs="Times New Roman"/>
        </w:rPr>
        <w:fldChar w:fldCharType="end"/>
      </w:r>
      <w:r w:rsidR="008E51CB">
        <w:rPr>
          <w:rFonts w:ascii="Times New Roman" w:hAnsi="Times New Roman" w:cs="Times New Roman"/>
        </w:rPr>
        <w:t>.</w:t>
      </w:r>
      <w:r w:rsidR="003D3DED" w:rsidRPr="003D3DED">
        <w:rPr>
          <w:rFonts w:ascii="Times New Roman" w:hAnsi="Times New Roman" w:cs="Times New Roman"/>
        </w:rPr>
        <w:t xml:space="preserve"> </w:t>
      </w:r>
    </w:p>
    <w:p w:rsidR="00820F88" w:rsidRDefault="00820F88" w:rsidP="00820F88">
      <w:pPr>
        <w:spacing w:after="0"/>
        <w:rPr>
          <w:rFonts w:ascii="Times New Roman" w:hAnsi="Times New Roman" w:cs="Times New Roman"/>
        </w:rPr>
      </w:pPr>
    </w:p>
    <w:p w:rsidR="007136E7" w:rsidRPr="00B223A5" w:rsidRDefault="003D3DED" w:rsidP="00B4416E">
      <w:pPr>
        <w:spacing w:after="0"/>
        <w:rPr>
          <w:rFonts w:ascii="Times New Roman" w:hAnsi="Times New Roman" w:cs="Times New Roman"/>
        </w:rPr>
      </w:pPr>
      <w:r w:rsidRPr="003D3DED">
        <w:rPr>
          <w:rFonts w:ascii="Times New Roman" w:hAnsi="Times New Roman" w:cs="Times New Roman"/>
        </w:rPr>
        <w:t xml:space="preserve">One explanation for how </w:t>
      </w:r>
      <w:r w:rsidR="00F0659D">
        <w:rPr>
          <w:rFonts w:ascii="Times New Roman" w:hAnsi="Times New Roman" w:cs="Times New Roman"/>
        </w:rPr>
        <w:t xml:space="preserve">benefiting from </w:t>
      </w:r>
      <w:r w:rsidRPr="003D3DED">
        <w:rPr>
          <w:rFonts w:ascii="Times New Roman" w:hAnsi="Times New Roman" w:cs="Times New Roman"/>
        </w:rPr>
        <w:t>green space</w:t>
      </w:r>
      <w:r w:rsidR="00F0659D">
        <w:rPr>
          <w:rFonts w:ascii="Times New Roman" w:hAnsi="Times New Roman" w:cs="Times New Roman"/>
        </w:rPr>
        <w:t>s</w:t>
      </w:r>
      <w:r w:rsidRPr="003D3DED">
        <w:rPr>
          <w:rFonts w:ascii="Times New Roman" w:hAnsi="Times New Roman" w:cs="Times New Roman"/>
        </w:rPr>
        <w:t xml:space="preserve"> </w:t>
      </w:r>
      <w:r w:rsidR="00F0659D">
        <w:rPr>
          <w:rFonts w:ascii="Times New Roman" w:hAnsi="Times New Roman" w:cs="Times New Roman"/>
        </w:rPr>
        <w:t xml:space="preserve">could be influenced by SES </w:t>
      </w:r>
      <w:r w:rsidRPr="003D3DED">
        <w:rPr>
          <w:rFonts w:ascii="Times New Roman" w:hAnsi="Times New Roman" w:cs="Times New Roman"/>
        </w:rPr>
        <w:t xml:space="preserve">is that generally worse health status of people with lower SES who are also more probable to live in areas with more environmental problems </w:t>
      </w:r>
      <w:r w:rsidR="00127550">
        <w:rPr>
          <w:rFonts w:ascii="Times New Roman" w:hAnsi="Times New Roman" w:cs="Times New Roman"/>
        </w:rPr>
        <w:t>could make</w:t>
      </w:r>
      <w:r w:rsidRPr="003D3DED">
        <w:rPr>
          <w:rFonts w:ascii="Times New Roman" w:hAnsi="Times New Roman" w:cs="Times New Roman"/>
        </w:rPr>
        <w:t xml:space="preserve"> them more likely to benefit from health promotion interventions</w:t>
      </w:r>
      <w:r w:rsidR="00F0659D">
        <w:rPr>
          <w:rFonts w:ascii="Times New Roman" w:hAnsi="Times New Roman" w:cs="Times New Roman"/>
        </w:rPr>
        <w:t xml:space="preserve"> (e.g. developing green spaces)</w:t>
      </w:r>
      <w:r w:rsidRPr="003D3DED">
        <w:rPr>
          <w:rFonts w:ascii="Times New Roman" w:hAnsi="Times New Roman" w:cs="Times New Roman"/>
        </w:rPr>
        <w:t xml:space="preserve"> compared to groups of higher SES</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&lt;EndNote&gt;&lt;Cite&gt;&lt;Author&gt;De Vries&lt;/Author&gt;&lt;Year&gt;2003&lt;/Year&gt;&lt;RecNum&gt;816&lt;/RecNum&gt;&lt;record&gt;&lt;rec-number&gt;816&lt;/rec-number&gt;&lt;ref-type name="Journal Article"&gt;17&lt;/ref-type&gt;&lt;contributors&gt;&lt;authors&gt;&lt;author&gt;De Vries, S.&lt;/author&gt;&lt;author&gt;Verheij, R. A.&lt;/author&gt;&lt;author&gt;Groenewegen, P. P.&lt;/author&gt;&lt;author&gt;Spreeuwenberg, P.&lt;/author&gt;&lt;/authors&gt;&lt;/contributors&gt;&lt;titles&gt;&lt;title&gt;Natural environments-healthy environments? An exploratory analysis of the relationship between greenspace and health&lt;/title&gt;&lt;secondary-title&gt;Environ Plan A&lt;/secondary-title&gt;&lt;/titles&gt;&lt;pages&gt;1717-1732&lt;/pages&gt;&lt;volume&gt;35&lt;/volume&gt;&lt;number&gt;10&lt;/number&gt;&lt;dates&gt;&lt;year&gt;2003&lt;/year&gt;&lt;/dates&gt;&lt;isbn&gt;0308-518X&lt;/isbn&gt;&lt;urls&gt;&lt;/urls&gt;&lt;/record&gt;&lt;/Cite&gt;&lt;Cite&gt;&lt;Author&gt;Su&lt;/Author&gt;&lt;Year&gt;2011&lt;/Year&gt;&lt;RecNum&gt;824&lt;/RecNum&gt;&lt;record&gt;&lt;rec-number&gt;824&lt;/rec-number&gt;&lt;ref-type name="Journal Article"&gt;17&lt;/ref-type&gt;&lt;contributors&gt;&lt;authors&gt;&lt;author&gt;Su, Jason G.&lt;/author&gt;&lt;author&gt;Jerrett, Michael&lt;/author&gt;&lt;author&gt;de Nazelle, Audrey&lt;/author&gt;&lt;author&gt;Wolch, Jennifer&lt;/author&gt;&lt;/authors&gt;&lt;/contributors&gt;&lt;titles&gt;&lt;title&gt;Does exposure to air pollution in urban parks have socioeconomic, racial or ethnic gradients?&lt;/title&gt;&lt;secondary</w:instrText>
      </w:r>
      <w:r w:rsidR="002321ED" w:rsidRPr="009B3101">
        <w:rPr>
          <w:rFonts w:ascii="Times New Roman" w:hAnsi="Times New Roman" w:cs="Times New Roman"/>
          <w:lang w:val="es-ES"/>
        </w:rPr>
        <w:instrText>-title&gt;Environ Res&lt;/secondary-title&gt;&lt;/titles&gt;&lt;periodical&gt;&lt;full-title&gt;Environ Res&lt;/full-title&gt;&lt;/periodical&gt;&lt;pages&gt;319-328&lt;/pages&gt;&lt;volume&gt;111&lt;/volume&gt;&lt;number&gt;3&lt;/number&gt;&lt;keywords&gt;&lt;keyword&gt;Public parks&lt;/keyword&gt;&lt;keyword&gt;Air pollution exposure&lt;/keyword&gt;&lt;keyword&gt;Inhalation doses&lt;/keyword&gt;&lt;keyword&gt;Environmental justice&lt;/keyword&gt;&lt;keyword&gt;Los Angeles&lt;/keyword&gt;&lt;/keywords&gt;&lt;dates&gt;&lt;year&gt;2011&lt;/year&gt;&lt;/dates&gt;&lt;urls&gt;&lt;related-urls&gt;&lt;url&gt;http://www.sciencedirect.com/science/article/B6WDS-523CPWJ-2/2/4e9bcf0f70efd70b43cf844ab2dfac3f &lt;/url&gt;&lt;/related-urls&gt;&lt;/urls&gt;&lt;/record&gt;&lt;/Cite&gt;&lt;Cite&gt;&lt;Author&gt;Bolte&lt;/Author&gt;&lt;Year&gt;2010&lt;/Year&gt;&lt;RecNum&gt;825&lt;/RecNum&gt;&lt;record&gt;&lt;rec-number&gt;825&lt;/rec-number&gt;&lt;ref-type name="Journal Article"&gt;17&lt;/ref-type&gt;&lt;contributors&gt;&lt;authors&gt;&lt;author&gt;Bolte, Gabriele&lt;/author&gt;&lt;author&gt;Tamburlini, Giorgio&lt;/author&gt;&lt;author&gt;Kohlhuber, Martina&lt;/author&gt;&lt;/authors&gt;&lt;/contributors&gt;&lt;titles&gt;&lt;title&gt;Environmental inequalities among children in Europe--evaluation of scientific evidence and policy implications&lt;/title&gt;&lt;secondary-title&gt;Eur J Public Health&lt;/secondary-title&gt;&lt;/titles&gt;&lt;periodical&gt;&lt;full-title&gt;Eur J Public Health&lt;/full-title&gt;&lt;/periodical&gt;&lt;pages&gt;14-20&lt;/pages&gt;&lt;volume&gt;20&lt;/volume&gt;&lt;number&gt;1&lt;/number&gt;&lt;dates&gt;&lt;year&gt;2010&lt;/year&gt;&lt;pub-dates&gt;&lt;date&gt;February 1, 2010&lt;/date&gt;&lt;/pub-dates&gt;&lt;/dates&gt;&lt;urls&gt;&lt;related-urls&gt;&lt;url&gt;http://eurpub.oxfordjournals.org/content/20/1/14.abstract &lt;/url&gt;&lt;/related-urls&gt;&lt;/urls&gt;&lt;electronic-resource-num&gt;10.1093/eurpub/ckp213&lt;/electronic-resource-num&gt;&lt;/record&gt;&lt;/Cite&gt;&lt;/EndNote&gt;</w:instrText>
      </w:r>
      <w:r w:rsidR="00381E2C" w:rsidRPr="003D3DED">
        <w:rPr>
          <w:rFonts w:ascii="Times New Roman" w:hAnsi="Times New Roman" w:cs="Times New Roman"/>
        </w:rPr>
        <w:fldChar w:fldCharType="separate"/>
      </w:r>
      <w:r w:rsidR="002321ED" w:rsidRPr="009B3101">
        <w:rPr>
          <w:rFonts w:ascii="Times New Roman" w:hAnsi="Times New Roman" w:cs="Times New Roman"/>
          <w:lang w:val="es-ES"/>
        </w:rPr>
        <w:t>(Bolte et al. 2010; De Vr</w:t>
      </w:r>
      <w:r w:rsidR="005618BC" w:rsidRPr="005618BC">
        <w:rPr>
          <w:rFonts w:ascii="Times New Roman" w:hAnsi="Times New Roman" w:cs="Times New Roman"/>
          <w:lang w:val="es-ES"/>
        </w:rPr>
        <w:t>ies et al. 2003; Su et al. 2011)</w:t>
      </w:r>
      <w:r w:rsidR="00381E2C" w:rsidRPr="003D3DED">
        <w:rPr>
          <w:rFonts w:ascii="Times New Roman" w:hAnsi="Times New Roman" w:cs="Times New Roman"/>
        </w:rPr>
        <w:fldChar w:fldCharType="end"/>
      </w:r>
      <w:r w:rsidR="005618BC" w:rsidRPr="005618BC">
        <w:rPr>
          <w:rFonts w:ascii="Times New Roman" w:hAnsi="Times New Roman" w:cs="Times New Roman"/>
          <w:lang w:val="es-ES"/>
        </w:rPr>
        <w:t xml:space="preserve">. </w:t>
      </w:r>
      <w:r w:rsidRPr="003D3DED">
        <w:rPr>
          <w:rFonts w:ascii="Times New Roman" w:hAnsi="Times New Roman" w:cs="Times New Roman"/>
        </w:rPr>
        <w:t>In our study, participants with lower educational qualifications and those residing in more deprived neighbourhood tended to have less residential surrounding greenness and lower birth weight. Moreover, people with lower SES are generally less mobile than those of higher SES and tend to spend more time nearby their homes</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&lt;EndNote&gt;&lt;Cite&gt;&lt;Author&gt;Schwanen&lt;/Author&gt;&lt;Year&gt;2002&lt;/Year&gt;&lt;RecNum&gt;817&lt;/RecNum&gt;&lt;record&gt;&lt;rec-number&gt;817&lt;/rec-number&gt;&lt;ref-type name="Journal Article"&gt;17&lt;/ref-type&gt;&lt;contributors&gt;&lt;authors&gt;&lt;author&gt;Schwanen, T.&lt;/author&gt;&lt;author&gt;Dijst, M.&lt;/author&gt;&lt;author&gt;Dieleman, F. M.&lt;/author&gt;&lt;/authors&gt;&lt;/contributors&gt;&lt;titles&gt;&lt;title&gt;A microlevel analysis of residential context and travel time&lt;/title&gt;&lt;secondary-title&gt;Environ Plan A&lt;/secondary-title&gt;&lt;/titles&gt;&lt;pages&gt;1487-1508&lt;/pages&gt;&lt;volume&gt;34&lt;/volume&gt;&lt;number&gt;8&lt;/number&gt;&lt;dates&gt;&lt;year&gt;2002&lt;/year&gt;&lt;/dates&gt;&lt;isbn&gt;0308-518X&lt;/isbn&gt;&lt;urls&gt;&lt;/urls&gt;&lt;/record&gt;&lt;/Cite&gt;&lt;Cite&gt;&lt;Author&gt;Maas&lt;/Author&gt;&lt;Year&gt;2008&lt;/Year&gt;&lt;RecNum&gt;818&lt;/RecNum&gt;&lt;record&gt;&lt;rec-number&gt;818&lt;/rec-number&gt;&lt;ref-type name="Book"&gt;6&lt;/ref-type&gt;&lt;contributors&gt;&lt;authors&gt;&lt;author&gt;Maas, J.&lt;/author&gt;&lt;/authors&gt;&lt;/contributors&gt;&lt;titles&gt;&lt;title&gt;Vitamin G: Green environments-Healthy environments&lt;/title&gt;&lt;/titles&gt;&lt;dates&gt;&lt;year&gt;2008&lt;/year&gt;&lt;/dates&gt;&lt;pub-location&gt;Utrecht&lt;/pub-location&gt;&lt;publisher&gt;Nivel&lt;/publisher&gt;&lt;isbn&gt;9069059398&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(Maas 2008; Schwanen et al. 2002)</w:t>
      </w:r>
      <w:r w:rsidR="00381E2C" w:rsidRPr="003D3DED">
        <w:rPr>
          <w:rFonts w:ascii="Times New Roman" w:hAnsi="Times New Roman" w:cs="Times New Roman"/>
        </w:rPr>
        <w:fldChar w:fldCharType="end"/>
      </w:r>
      <w:r w:rsidR="008E51CB">
        <w:rPr>
          <w:rFonts w:ascii="Times New Roman" w:hAnsi="Times New Roman" w:cs="Times New Roman"/>
        </w:rPr>
        <w:t>.</w:t>
      </w:r>
      <w:r w:rsidRPr="003D3DED">
        <w:rPr>
          <w:rFonts w:ascii="Times New Roman" w:hAnsi="Times New Roman" w:cs="Times New Roman"/>
        </w:rPr>
        <w:t xml:space="preserve"> Thus, the availability of green spaces close to their homes </w:t>
      </w:r>
      <w:r w:rsidR="00FC2D11">
        <w:rPr>
          <w:rFonts w:ascii="Times New Roman" w:hAnsi="Times New Roman" w:cs="Times New Roman"/>
        </w:rPr>
        <w:t>may</w:t>
      </w:r>
      <w:r w:rsidRPr="003D3DED">
        <w:rPr>
          <w:rFonts w:ascii="Times New Roman" w:hAnsi="Times New Roman" w:cs="Times New Roman"/>
        </w:rPr>
        <w:t xml:space="preserve"> increase the probability of the</w:t>
      </w:r>
      <w:r w:rsidR="00127550">
        <w:rPr>
          <w:rFonts w:ascii="Times New Roman" w:hAnsi="Times New Roman" w:cs="Times New Roman"/>
        </w:rPr>
        <w:t>m using</w:t>
      </w:r>
      <w:r w:rsidRPr="003D3DED">
        <w:rPr>
          <w:rFonts w:ascii="Times New Roman" w:hAnsi="Times New Roman" w:cs="Times New Roman"/>
        </w:rPr>
        <w:t xml:space="preserve"> these spaces</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&lt;EndNote&gt;&lt;Cite&gt;&lt;Author&gt;Schwanen&lt;/Author&gt;&lt;Year&gt;2002&lt;/Year&gt;&lt;RecNum&gt;817&lt;/RecNum&gt;&lt;record&gt;&lt;rec-number&gt;817&lt;/rec-number&gt;&lt;ref-type name="Journal Article"&gt;17&lt;/ref-type&gt;&lt;contributors&gt;&lt;authors&gt;&lt;author&gt;Schwanen, T.&lt;/author&gt;&lt;author&gt;Dijst, M.&lt;/author&gt;&lt;author&gt;Dieleman, F. M.&lt;/author&gt;&lt;/authors&gt;&lt;/contributors&gt;&lt;titles&gt;&lt;title&gt;A microlevel analysis of residential context and travel time&lt;/title&gt;&lt;secondary-title&gt;Environ Plan A&lt;/secondary-title&gt;&lt;/titles&gt;&lt;pages&gt;1487-1508&lt;/pages&gt;&lt;volume&gt;34&lt;/volume&gt;&lt;number&gt;8&lt;/number&gt;&lt;dates&gt;&lt;year&gt;2002&lt;/year&gt;&lt;/dates&gt;&lt;isbn&gt;0308-518X&lt;/isbn&gt;&lt;urls&gt;&lt;/urls&gt;&lt;/record&gt;&lt;/Cite&gt;&lt;Cite&gt;&lt;Author&gt;Maas&lt;/Author&gt;&lt;Year&gt;2008&lt;/Year&gt;&lt;RecNum&gt;818&lt;/RecNum&gt;&lt;record&gt;&lt;rec-number&gt;818&lt;/rec-number&gt;&lt;ref-type name="Book"&gt;6&lt;/ref-type&gt;&lt;contributors&gt;&lt;authors&gt;&lt;author&gt;Maas, J.&lt;/author&gt;&lt;/authors&gt;&lt;/contributors&gt;&lt;titles&gt;&lt;title&gt;Vitamin G: Green environments-Healthy environments&lt;/title&gt;&lt;/titles&gt;&lt;dates&gt;&lt;year&gt;2008&lt;/year&gt;&lt;/dates&gt;&lt;pub-location&gt;Utrecht&lt;/pub-location&gt;&lt;publisher&gt;Nivel&lt;/publisher&gt;&lt;isbn&gt;9069059398&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(Maas 2008; Schwanen et al. 2002)</w:t>
      </w:r>
      <w:r w:rsidR="00381E2C" w:rsidRPr="003D3DED">
        <w:rPr>
          <w:rFonts w:ascii="Times New Roman" w:hAnsi="Times New Roman" w:cs="Times New Roman"/>
        </w:rPr>
        <w:fldChar w:fldCharType="end"/>
      </w:r>
      <w:r w:rsidR="008E51CB">
        <w:rPr>
          <w:rFonts w:ascii="Times New Roman" w:hAnsi="Times New Roman" w:cs="Times New Roman"/>
        </w:rPr>
        <w:t>.</w:t>
      </w:r>
      <w:r w:rsidRPr="003D3DED">
        <w:rPr>
          <w:rFonts w:ascii="Times New Roman" w:hAnsi="Times New Roman" w:cs="Times New Roman"/>
        </w:rPr>
        <w:t xml:space="preserve"> On the other hand, the green spaces farther away are more likely to be used by people with higher SES because they are more mobile</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&lt;EndNote&gt;&lt;Cite&gt;&lt;Author&gt;scotland&lt;/Author&gt;&lt;Year&gt;2008&lt;/Year&gt;&lt;RecNum&gt;814&lt;/RecNum&gt;&lt;record&gt;&lt;rec-number&gt;814&lt;/rec-number&gt;&lt;ref-type name="Report"&gt;27&lt;/ref-type&gt;&lt;contributors&gt;&lt;authors&gt;&lt;author&gt;Greenspace Scotland,&lt;/author&gt;&lt;/authors&gt;&lt;/contributors&gt;&lt;titles&gt;&lt;title&gt;Health Impact Assessment of greenspace A Guide&lt;/title&gt;&lt;secondary-title&gt;Eilidh Johnston&lt;/secondary-title&gt;&lt;/titles&gt;&lt;dates&gt;&lt;year&gt;2008&lt;/year&gt;&lt;/dates&gt;&lt;pub-location&gt;Stirling, Scotland&lt;/pub-location&gt;&lt;publisher&gt;Greenspace Scotland&lt;/publisher&gt;&lt;urls&gt;&lt;/urls&gt;&lt;/record&gt;&lt;/Cite&gt;&lt;Cite&gt;&lt;Author&gt;Lee&lt;/Author&gt;&lt;Year&gt;2010&lt;/Year&gt;&lt;RecNum&gt;800&lt;/RecNum&gt;&lt;record&gt;&lt;rec-number&gt;1040&lt;/rec-number&gt;&lt;ref-type name="Journal Article"&gt;17&lt;/ref-type&gt;&lt;contributors&gt;&lt;authors&gt;&lt;author&gt;Bell, M. L.&lt;/author&gt;&lt;author&gt;Belanger, K.&lt;/author&gt;&lt;author&gt;Ebisu, K.&lt;/author&gt;&lt;author&gt;Gent, J. F.&lt;/author&gt;&lt;author&gt;Lee, H. J.&lt;/author&gt;&lt;author&gt;Koutrakis, P.&lt;/author&gt;&lt;author&gt;Leaderer, B. P.&lt;/author&gt;&lt;/authors&gt;&lt;/contributors&gt;&lt;titles&gt;&lt;title&gt;Prenatal exposure to fine particulate matter and birth weight: variations by particulate constituents and sources&lt;/title&gt;&lt;secondary-title&gt;Epidemiology&lt;/secondary-title&gt;&lt;/titles&gt;&lt;periodical&gt;&lt;full-title&gt;Epidemiology&lt;/full-title&gt;&lt;/periodical&gt;&lt;pages&gt;884-891&lt;/pages&gt;&lt;volume&gt;21&lt;/volume&gt;&lt;number&gt;6&lt;/number&gt;&lt;dates&gt;&lt;year&gt;2010&lt;/year&gt;&lt;/dates&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(Bell et al. 2010; Greenspace Scotland 2008)</w:t>
      </w:r>
      <w:r w:rsidR="00381E2C" w:rsidRPr="003D3DED">
        <w:rPr>
          <w:rFonts w:ascii="Times New Roman" w:hAnsi="Times New Roman" w:cs="Times New Roman"/>
        </w:rPr>
        <w:fldChar w:fldCharType="end"/>
      </w:r>
      <w:r w:rsidRPr="003D3DED">
        <w:rPr>
          <w:rFonts w:ascii="Times New Roman" w:hAnsi="Times New Roman" w:cs="Times New Roman"/>
        </w:rPr>
        <w:t xml:space="preserve"> and</w:t>
      </w:r>
      <w:r w:rsidR="00127550">
        <w:rPr>
          <w:rFonts w:ascii="Times New Roman" w:hAnsi="Times New Roman" w:cs="Times New Roman"/>
        </w:rPr>
        <w:t>,</w:t>
      </w:r>
      <w:r w:rsidRPr="003D3DED">
        <w:rPr>
          <w:rFonts w:ascii="Times New Roman" w:hAnsi="Times New Roman" w:cs="Times New Roman"/>
        </w:rPr>
        <w:t xml:space="preserve"> consequently</w:t>
      </w:r>
      <w:r w:rsidR="00127550">
        <w:rPr>
          <w:rFonts w:ascii="Times New Roman" w:hAnsi="Times New Roman" w:cs="Times New Roman"/>
        </w:rPr>
        <w:t>,</w:t>
      </w:r>
      <w:r w:rsidRPr="003D3DED">
        <w:rPr>
          <w:rFonts w:ascii="Times New Roman" w:hAnsi="Times New Roman" w:cs="Times New Roman"/>
        </w:rPr>
        <w:t xml:space="preserve"> their use of these spaces is less dependent on having green </w:t>
      </w:r>
      <w:r w:rsidRPr="003D3DED">
        <w:rPr>
          <w:rFonts w:ascii="Times New Roman" w:hAnsi="Times New Roman" w:cs="Times New Roman"/>
        </w:rPr>
        <w:lastRenderedPageBreak/>
        <w:t xml:space="preserve">spaces close to their homes. The larger health benefits of green spaces for lower SES groups is in line with suggested </w:t>
      </w:r>
      <w:r w:rsidR="00350381">
        <w:rPr>
          <w:rFonts w:ascii="Times New Roman" w:hAnsi="Times New Roman" w:cs="Times New Roman"/>
        </w:rPr>
        <w:t xml:space="preserve">potential </w:t>
      </w:r>
      <w:r w:rsidR="00127550">
        <w:rPr>
          <w:rFonts w:ascii="Times New Roman" w:hAnsi="Times New Roman" w:cs="Times New Roman"/>
        </w:rPr>
        <w:t>role</w:t>
      </w:r>
      <w:r w:rsidR="00350381">
        <w:rPr>
          <w:rFonts w:ascii="Times New Roman" w:hAnsi="Times New Roman" w:cs="Times New Roman"/>
        </w:rPr>
        <w:t xml:space="preserve"> </w:t>
      </w:r>
      <w:r w:rsidRPr="003D3DED">
        <w:rPr>
          <w:rFonts w:ascii="Times New Roman" w:hAnsi="Times New Roman" w:cs="Times New Roman"/>
        </w:rPr>
        <w:t xml:space="preserve">of green spaces in reducing SES inequalities in health. </w:t>
      </w:r>
      <w:r w:rsidR="00350381">
        <w:rPr>
          <w:rFonts w:ascii="Times New Roman" w:hAnsi="Times New Roman" w:cs="Times New Roman"/>
        </w:rPr>
        <w:t>Some support for this was provided by</w:t>
      </w:r>
      <w:r w:rsidRPr="003D3DED">
        <w:rPr>
          <w:rFonts w:ascii="Times New Roman" w:hAnsi="Times New Roman" w:cs="Times New Roman"/>
        </w:rPr>
        <w:t xml:space="preserve"> Mitchell </w:t>
      </w:r>
      <w:r w:rsidRPr="003D3DED">
        <w:rPr>
          <w:rFonts w:ascii="Times New Roman" w:hAnsi="Times New Roman" w:cs="Times New Roman"/>
          <w:i/>
        </w:rPr>
        <w:t xml:space="preserve">et al. </w:t>
      </w:r>
      <w:r w:rsidRPr="003D3DED">
        <w:rPr>
          <w:rFonts w:ascii="Times New Roman" w:hAnsi="Times New Roman" w:cs="Times New Roman"/>
        </w:rPr>
        <w:t xml:space="preserve">(2008) </w:t>
      </w:r>
      <w:r w:rsidR="00350381">
        <w:rPr>
          <w:rFonts w:ascii="Times New Roman" w:hAnsi="Times New Roman" w:cs="Times New Roman"/>
        </w:rPr>
        <w:t>who</w:t>
      </w:r>
      <w:r w:rsidRPr="003D3DED">
        <w:rPr>
          <w:rFonts w:ascii="Times New Roman" w:hAnsi="Times New Roman" w:cs="Times New Roman"/>
        </w:rPr>
        <w:t xml:space="preserve"> reported that in greener neighbourhoods</w:t>
      </w:r>
      <w:r w:rsidR="00350381">
        <w:rPr>
          <w:rFonts w:ascii="Times New Roman" w:hAnsi="Times New Roman" w:cs="Times New Roman"/>
        </w:rPr>
        <w:t xml:space="preserve"> across England, </w:t>
      </w:r>
      <w:r w:rsidRPr="003D3DED">
        <w:rPr>
          <w:rFonts w:ascii="Times New Roman" w:hAnsi="Times New Roman" w:cs="Times New Roman"/>
        </w:rPr>
        <w:t xml:space="preserve"> income-related inequalities in mortality </w:t>
      </w:r>
      <w:r w:rsidR="00350381">
        <w:rPr>
          <w:rFonts w:ascii="Times New Roman" w:hAnsi="Times New Roman" w:cs="Times New Roman"/>
        </w:rPr>
        <w:t>were</w:t>
      </w:r>
      <w:r w:rsidRPr="003D3DED">
        <w:rPr>
          <w:rFonts w:ascii="Times New Roman" w:hAnsi="Times New Roman" w:cs="Times New Roman"/>
        </w:rPr>
        <w:t xml:space="preserve"> less evident</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&lt;EndNote&gt;&lt;Cite&gt;&lt;Author&gt;Mitchell&lt;/Author&gt;&lt;Year&gt;2008&lt;/Year&gt;&lt;RecNum&gt;826&lt;/RecNum&gt;&lt;record&gt;&lt;rec-number&gt;826&lt;/rec-number&gt;&lt;ref-type name="Journal Article"&gt;17&lt;/ref-type&gt;&lt;contributors&gt;&lt;authors&gt;&lt;author&gt;Mitchell, R.&lt;/author&gt;&lt;author&gt;Popham, F.&lt;/author&gt;&lt;/authors&gt;&lt;/contributors&gt;&lt;titles&gt;&lt;title&gt;Effect of exposure to natural environment on health inequalities: an observational population study&lt;/title&gt;&lt;secondary-title&gt;Lancet&lt;/secondary-title&gt;&lt;/titles&gt;&lt;periodical&gt;&lt;full-title&gt;Lancet&lt;/full-title&gt;&lt;/periodical&gt;&lt;pages&gt;1655-1660&lt;/pages&gt;&lt;volume&gt;372&lt;/volume&gt;&lt;number&gt;9650&lt;/number&gt;&lt;dates&gt;&lt;year&gt;2008&lt;/year&gt;&lt;/dates&gt;&lt;isbn&gt;0140-6736&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(Mitchell and Popham 2008)</w:t>
      </w:r>
      <w:r w:rsidR="00381E2C" w:rsidRPr="003D3DED">
        <w:rPr>
          <w:rFonts w:ascii="Times New Roman" w:hAnsi="Times New Roman" w:cs="Times New Roman"/>
        </w:rPr>
        <w:fldChar w:fldCharType="end"/>
      </w:r>
      <w:r w:rsidR="008E51CB">
        <w:rPr>
          <w:rFonts w:ascii="Times New Roman" w:hAnsi="Times New Roman" w:cs="Times New Roman"/>
        </w:rPr>
        <w:t>.</w:t>
      </w:r>
      <w:r w:rsidRPr="003D3DED">
        <w:rPr>
          <w:rFonts w:ascii="Times New Roman" w:hAnsi="Times New Roman" w:cs="Times New Roman"/>
        </w:rPr>
        <w:t xml:space="preserve"> </w:t>
      </w:r>
    </w:p>
    <w:p w:rsidR="007136E7" w:rsidRPr="00B223A5" w:rsidRDefault="007136E7">
      <w:pPr>
        <w:spacing w:after="0"/>
        <w:rPr>
          <w:rFonts w:ascii="Times New Roman" w:hAnsi="Times New Roman" w:cs="Times New Roman"/>
        </w:rPr>
      </w:pPr>
    </w:p>
    <w:p w:rsidR="00EC43A4" w:rsidRDefault="006B7F12">
      <w:pPr>
        <w:spacing w:after="0"/>
        <w:rPr>
          <w:rFonts w:ascii="Times New Roman" w:hAnsi="Times New Roman" w:cs="Times New Roman"/>
        </w:rPr>
      </w:pPr>
      <w:r>
        <w:rPr>
          <w:rFonts w:ascii="Times New Roman" w:hAnsi="Times New Roman" w:cs="Times New Roman"/>
        </w:rPr>
        <w:t>This study faced some limitations.</w:t>
      </w:r>
      <w:r w:rsidR="003D3DED" w:rsidRPr="003D3DED">
        <w:rPr>
          <w:rFonts w:ascii="Times New Roman" w:hAnsi="Times New Roman" w:cs="Times New Roman"/>
        </w:rPr>
        <w:t xml:space="preserve"> </w:t>
      </w:r>
      <w:r w:rsidR="003C4B65">
        <w:rPr>
          <w:rFonts w:ascii="Times New Roman" w:hAnsi="Times New Roman" w:cs="Times New Roman"/>
        </w:rPr>
        <w:t xml:space="preserve">For our main analyses, we could not rule </w:t>
      </w:r>
      <w:r w:rsidR="008B0111">
        <w:rPr>
          <w:rFonts w:ascii="Times New Roman" w:hAnsi="Times New Roman" w:cs="Times New Roman"/>
        </w:rPr>
        <w:t xml:space="preserve">out </w:t>
      </w:r>
      <w:r w:rsidR="003C4B65">
        <w:rPr>
          <w:rFonts w:ascii="Times New Roman" w:hAnsi="Times New Roman" w:cs="Times New Roman"/>
        </w:rPr>
        <w:t>the likelihood of self-selection bias in that mother from higher SES</w:t>
      </w:r>
      <w:r w:rsidR="005C4583">
        <w:rPr>
          <w:rFonts w:ascii="Times New Roman" w:hAnsi="Times New Roman" w:cs="Times New Roman"/>
        </w:rPr>
        <w:t xml:space="preserve"> or better health status</w:t>
      </w:r>
      <w:r w:rsidR="003C4B65">
        <w:rPr>
          <w:rFonts w:ascii="Times New Roman" w:hAnsi="Times New Roman" w:cs="Times New Roman"/>
        </w:rPr>
        <w:t xml:space="preserve"> </w:t>
      </w:r>
      <w:r w:rsidR="006036E9">
        <w:rPr>
          <w:rFonts w:ascii="Times New Roman" w:hAnsi="Times New Roman" w:cs="Times New Roman"/>
        </w:rPr>
        <w:t>being</w:t>
      </w:r>
      <w:r w:rsidR="003C4B65">
        <w:rPr>
          <w:rFonts w:ascii="Times New Roman" w:hAnsi="Times New Roman" w:cs="Times New Roman"/>
        </w:rPr>
        <w:t xml:space="preserve"> more likely to select living in </w:t>
      </w:r>
      <w:r w:rsidR="006036E9">
        <w:rPr>
          <w:rFonts w:ascii="Times New Roman" w:hAnsi="Times New Roman" w:cs="Times New Roman"/>
        </w:rPr>
        <w:t>greener</w:t>
      </w:r>
      <w:r w:rsidR="003C4B65">
        <w:rPr>
          <w:rFonts w:ascii="Times New Roman" w:hAnsi="Times New Roman" w:cs="Times New Roman"/>
        </w:rPr>
        <w:t xml:space="preserve"> neighbourhoods and </w:t>
      </w:r>
      <w:r w:rsidR="006036E9">
        <w:rPr>
          <w:rFonts w:ascii="Times New Roman" w:hAnsi="Times New Roman" w:cs="Times New Roman"/>
        </w:rPr>
        <w:t xml:space="preserve">to give birth to newborns with higher birth weight. </w:t>
      </w:r>
      <w:r w:rsidR="00F14052">
        <w:rPr>
          <w:rFonts w:ascii="Times New Roman" w:hAnsi="Times New Roman" w:cs="Times New Roman"/>
        </w:rPr>
        <w:t xml:space="preserve">Likewise, </w:t>
      </w:r>
      <w:r w:rsidR="00490AC8">
        <w:rPr>
          <w:rFonts w:ascii="Times New Roman" w:hAnsi="Times New Roman" w:cs="Times New Roman"/>
        </w:rPr>
        <w:t xml:space="preserve">generalizability of our findings could have been affected by </w:t>
      </w:r>
      <w:r w:rsidR="00F14052">
        <w:rPr>
          <w:rFonts w:ascii="Times New Roman" w:hAnsi="Times New Roman" w:cs="Times New Roman"/>
        </w:rPr>
        <w:t>selection bias</w:t>
      </w:r>
      <w:r w:rsidR="00490AC8">
        <w:rPr>
          <w:rFonts w:ascii="Times New Roman" w:hAnsi="Times New Roman" w:cs="Times New Roman"/>
        </w:rPr>
        <w:t xml:space="preserve"> in that those women recruited in BiB cohort were different from those not recruited with respect to a number of characteristics, especially neighbourhood SES. </w:t>
      </w:r>
      <w:r w:rsidR="003D3DED" w:rsidRPr="003D3DED">
        <w:rPr>
          <w:rFonts w:ascii="Times New Roman" w:hAnsi="Times New Roman" w:cs="Times New Roman"/>
        </w:rPr>
        <w:t xml:space="preserve">Our application of satellite-based NDVI to assess surrounding greenness enabled us to take account of small-scale green spaces (e.g. roadside trees and home gardens) in a standardized way; however, NDVI does not distinguish between different types of vegetation. </w:t>
      </w:r>
      <w:r w:rsidR="004A418B" w:rsidRPr="00010ED0">
        <w:rPr>
          <w:rFonts w:ascii="Times New Roman" w:hAnsi="Times New Roman" w:cs="Times New Roman"/>
        </w:rPr>
        <w:t xml:space="preserve">The vegetation type can be relevant </w:t>
      </w:r>
      <w:r w:rsidR="004A418B">
        <w:rPr>
          <w:rFonts w:ascii="Times New Roman" w:hAnsi="Times New Roman" w:cs="Times New Roman"/>
        </w:rPr>
        <w:t>to some of the proposed underlying</w:t>
      </w:r>
      <w:r w:rsidR="004A418B" w:rsidRPr="00010ED0">
        <w:rPr>
          <w:rFonts w:ascii="Times New Roman" w:hAnsi="Times New Roman" w:cs="Times New Roman"/>
        </w:rPr>
        <w:t xml:space="preserve"> mechanisms </w:t>
      </w:r>
      <w:r w:rsidR="004A418B">
        <w:rPr>
          <w:rFonts w:ascii="Times New Roman" w:hAnsi="Times New Roman" w:cs="Times New Roman"/>
        </w:rPr>
        <w:t xml:space="preserve">for health benefits of green spaces. For example, the ability of green space in </w:t>
      </w:r>
      <w:r w:rsidR="004A418B" w:rsidRPr="00010ED0">
        <w:rPr>
          <w:rFonts w:ascii="Times New Roman" w:hAnsi="Times New Roman" w:cs="Times New Roman"/>
          <w:lang w:val="en-US"/>
        </w:rPr>
        <w:t xml:space="preserve">reducing air pollutants is </w:t>
      </w:r>
      <w:r w:rsidR="004A418B">
        <w:rPr>
          <w:rFonts w:ascii="Times New Roman" w:hAnsi="Times New Roman" w:cs="Times New Roman"/>
          <w:lang w:val="en-US"/>
        </w:rPr>
        <w:t xml:space="preserve">reported </w:t>
      </w:r>
      <w:r w:rsidR="004A418B" w:rsidRPr="00010ED0">
        <w:rPr>
          <w:rFonts w:ascii="Times New Roman" w:hAnsi="Times New Roman" w:cs="Times New Roman"/>
          <w:lang w:val="en-US"/>
        </w:rPr>
        <w:t>to be type-dependent with trees being the most effective and grasses being the least effective</w:t>
      </w:r>
      <w:r w:rsidR="004A418B">
        <w:rPr>
          <w:rFonts w:ascii="Times New Roman" w:hAnsi="Times New Roman" w:cs="Times New Roman"/>
          <w:lang w:val="en-US"/>
        </w:rPr>
        <w:t xml:space="preserve"> </w:t>
      </w:r>
      <w:r w:rsidR="00381E2C">
        <w:rPr>
          <w:rFonts w:ascii="Times New Roman" w:hAnsi="Times New Roman" w:cs="Times New Roman"/>
          <w:lang w:val="en-US"/>
        </w:rPr>
        <w:fldChar w:fldCharType="begin"/>
      </w:r>
      <w:r w:rsidR="000D1B3C">
        <w:rPr>
          <w:rFonts w:ascii="Times New Roman" w:hAnsi="Times New Roman" w:cs="Times New Roman"/>
          <w:lang w:val="en-US"/>
        </w:rPr>
        <w:instrText xml:space="preserve"> ADDIN EN.CITE &lt;EndNote&gt;&lt;Cite&gt;&lt;Author&gt;Givoni&lt;/Author&gt;&lt;Year&gt;1991&lt;/Year&gt;&lt;RecNum&gt;894&lt;/RecNum&gt;&lt;record&gt;&lt;rec-number&gt;894&lt;/rec-number&gt;&lt;ref-type name="Journal Article"&gt;17&lt;/ref-type&gt;&lt;contributors&gt;&lt;authors&gt;&lt;author&gt;Givoni, B.&lt;/author&gt;&lt;/authors&gt;&lt;/contributors&gt;&lt;titles&gt;&lt;title&gt;Impact of planted areas on urban environmental quality: a review&lt;/title&gt;&lt;secondary-title&gt;Atmospheric Environment. Part B. Urban Atmosphere&lt;/secondary-title&gt;&lt;/titles&gt;&lt;periodical&gt;&lt;full-title&gt;Atmospheric Environment. Part B. Urban Atmosphere&lt;/full-title&gt;&lt;/periodical&gt;&lt;pages&gt;289-299&lt;/pages&gt;&lt;volume&gt;25&lt;/volume&gt;&lt;number&gt;3&lt;/number&gt;&lt;dates&gt;&lt;year&gt;1991&lt;/year&gt;&lt;/dates&gt;&lt;isbn&gt;0957-1272&lt;/isbn&gt;&lt;urls&gt;&lt;/urls&gt;&lt;/record&gt;&lt;/Cite&gt;&lt;/EndNote&gt;</w:instrText>
      </w:r>
      <w:r w:rsidR="00381E2C">
        <w:rPr>
          <w:rFonts w:ascii="Times New Roman" w:hAnsi="Times New Roman" w:cs="Times New Roman"/>
          <w:lang w:val="en-US"/>
        </w:rPr>
        <w:fldChar w:fldCharType="separate"/>
      </w:r>
      <w:r w:rsidR="004A418B">
        <w:rPr>
          <w:rFonts w:ascii="Times New Roman" w:hAnsi="Times New Roman" w:cs="Times New Roman"/>
          <w:lang w:val="en-US"/>
        </w:rPr>
        <w:t>(Givoni 1991)</w:t>
      </w:r>
      <w:r w:rsidR="00381E2C">
        <w:rPr>
          <w:rFonts w:ascii="Times New Roman" w:hAnsi="Times New Roman" w:cs="Times New Roman"/>
          <w:lang w:val="en-US"/>
        </w:rPr>
        <w:fldChar w:fldCharType="end"/>
      </w:r>
      <w:r w:rsidR="004A418B">
        <w:rPr>
          <w:rFonts w:ascii="Times New Roman" w:hAnsi="Times New Roman" w:cs="Times New Roman"/>
          <w:lang w:val="en-US"/>
        </w:rPr>
        <w:t xml:space="preserve">. </w:t>
      </w:r>
      <w:r w:rsidR="003D3DED" w:rsidRPr="003D3DED">
        <w:rPr>
          <w:rFonts w:ascii="Times New Roman" w:hAnsi="Times New Roman" w:cs="Times New Roman"/>
        </w:rPr>
        <w:t xml:space="preserve">By using </w:t>
      </w:r>
      <w:r w:rsidR="00670AD1">
        <w:rPr>
          <w:rFonts w:ascii="Times New Roman" w:hAnsi="Times New Roman" w:cs="Times New Roman"/>
        </w:rPr>
        <w:t xml:space="preserve">the </w:t>
      </w:r>
      <w:r w:rsidR="003D3DED" w:rsidRPr="003D3DED">
        <w:rPr>
          <w:rFonts w:ascii="Times New Roman" w:hAnsi="Times New Roman" w:cs="Times New Roman"/>
        </w:rPr>
        <w:t xml:space="preserve">NDVI map obtained at a single point of time, we effectively assumed that the spatial distribution of NDVI across our study region remained stable over the study period. </w:t>
      </w:r>
      <w:r w:rsidR="00CD43DF">
        <w:rPr>
          <w:rFonts w:ascii="Times New Roman" w:hAnsi="Times New Roman" w:cs="Times New Roman"/>
        </w:rPr>
        <w:t xml:space="preserve">As presented in Web-Appendix I in supplementary materials, </w:t>
      </w:r>
      <w:r w:rsidR="005618BC" w:rsidRPr="005618BC">
        <w:rPr>
          <w:rFonts w:ascii="Times New Roman" w:hAnsi="Times New Roman" w:cs="Times New Roman"/>
        </w:rPr>
        <w:t>while the amount of residential surrounding greenness change</w:t>
      </w:r>
      <w:r w:rsidR="00540FE4">
        <w:rPr>
          <w:rFonts w:ascii="Times New Roman" w:hAnsi="Times New Roman" w:cs="Times New Roman"/>
        </w:rPr>
        <w:t>d</w:t>
      </w:r>
      <w:r w:rsidR="005618BC" w:rsidRPr="005618BC">
        <w:rPr>
          <w:rFonts w:ascii="Times New Roman" w:hAnsi="Times New Roman" w:cs="Times New Roman"/>
        </w:rPr>
        <w:t xml:space="preserve"> over the seasons, its spatial contrast stays reasonably stable over seasons and years. </w:t>
      </w:r>
      <w:r w:rsidR="003D3DED" w:rsidRPr="003D3DED">
        <w:rPr>
          <w:rFonts w:ascii="Times New Roman" w:hAnsi="Times New Roman" w:cs="Times New Roman"/>
        </w:rPr>
        <w:t xml:space="preserve">This stability is in line with findings of our previous study supporting the stability of the NDVI spatial contrast over seasons and </w:t>
      </w:r>
      <w:r w:rsidR="003D3DED" w:rsidRPr="003D3DED">
        <w:rPr>
          <w:rFonts w:ascii="Times New Roman" w:hAnsi="Times New Roman" w:cs="Times New Roman"/>
        </w:rPr>
        <w:lastRenderedPageBreak/>
        <w:t>years</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&lt;EndNote&gt;&lt;Cite&gt;&lt;Author&gt;Dadvand&lt;/Author&gt;&lt;Year&gt;2012&lt;/Year&gt;&lt;RecNum&gt;1104&lt;/RecNum&gt;&lt;record&gt;&lt;rec-number&gt;1104&lt;/rec-number&gt;&lt;ref-type name="Journal Article"&gt;17&lt;/ref-type&gt;&lt;contributors&gt;&lt;authors&gt;&lt;author&gt;Dadvand, P.&lt;/author&gt;&lt;author&gt;Sunyer, J.&lt;/author&gt;&lt;author&gt;Basagaña, X.&lt;/author&gt;&lt;author&gt;Ballester, F.&lt;/author&gt;&lt;author&gt;Lertxundi, A.&lt;/author&gt;&lt;author&gt;FernÃ¡ndez-Somoano, A.&lt;/author&gt;&lt;author&gt;Estarlich, M.&lt;/author&gt;&lt;author&gt;García-Esteban, R.&lt;/author&gt;&lt;author&gt;Mendez, M. A.&lt;/author&gt;&lt;author&gt;Nieuwenhuijsen, M. J.&lt;/author&gt;&lt;/authors&gt;&lt;/contributors&gt;&lt;titles&gt;&lt;title&gt;Surrounding Greenness and Pregnancy Outcomes in Four Spanish Birth Cohorts&lt;/title&gt;&lt;secondary-title&gt;Environ Health Perspect&lt;/secondary-title&gt;&lt;/titles&gt;&lt;periodical&gt;&lt;full-title&gt;Environ Health Perspect&lt;/full-title&gt;&lt;/periodical&gt;&lt;pages&gt;1481-7&lt;/pages&gt;&lt;volume&gt;120&lt;/volume&gt;&lt;number&gt;10&lt;/number&gt;&lt;dates&gt;&lt;year&gt;2012&lt;/year&gt;&lt;/dates&gt;&lt;isbn&gt;1552-9924&lt;/isbn&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(Dadvand et al. 2012b)</w:t>
      </w:r>
      <w:r w:rsidR="00381E2C" w:rsidRPr="003D3DED">
        <w:rPr>
          <w:rFonts w:ascii="Times New Roman" w:hAnsi="Times New Roman" w:cs="Times New Roman"/>
        </w:rPr>
        <w:fldChar w:fldCharType="end"/>
      </w:r>
      <w:r w:rsidR="008E51CB">
        <w:rPr>
          <w:rFonts w:ascii="Times New Roman" w:hAnsi="Times New Roman" w:cs="Times New Roman"/>
        </w:rPr>
        <w:t>.</w:t>
      </w:r>
      <w:r w:rsidR="003D3DED" w:rsidRPr="003D3DED">
        <w:rPr>
          <w:rFonts w:ascii="Times New Roman" w:hAnsi="Times New Roman" w:cs="Times New Roman"/>
        </w:rPr>
        <w:t xml:space="preserve"> </w:t>
      </w:r>
      <w:r w:rsidR="00DB55FC" w:rsidRPr="00DB55FC">
        <w:rPr>
          <w:rFonts w:ascii="Times New Roman" w:hAnsi="Times New Roman" w:cs="Times New Roman"/>
        </w:rPr>
        <w:t xml:space="preserve">Lack of temporal component in our assessment of </w:t>
      </w:r>
      <w:r w:rsidR="009C4E15">
        <w:rPr>
          <w:rFonts w:ascii="Times New Roman" w:hAnsi="Times New Roman" w:cs="Times New Roman"/>
        </w:rPr>
        <w:t>residential surrounding greenness</w:t>
      </w:r>
      <w:r w:rsidR="00DB55FC" w:rsidRPr="00DB55FC">
        <w:rPr>
          <w:rFonts w:ascii="Times New Roman" w:hAnsi="Times New Roman" w:cs="Times New Roman"/>
        </w:rPr>
        <w:t xml:space="preserve"> </w:t>
      </w:r>
      <w:r w:rsidR="009C4E15">
        <w:rPr>
          <w:rFonts w:ascii="Times New Roman" w:hAnsi="Times New Roman" w:cs="Times New Roman"/>
        </w:rPr>
        <w:t>limited our ability to</w:t>
      </w:r>
      <w:r w:rsidR="00DB55FC" w:rsidRPr="00DB55FC">
        <w:rPr>
          <w:rFonts w:ascii="Times New Roman" w:hAnsi="Times New Roman" w:cs="Times New Roman"/>
        </w:rPr>
        <w:t xml:space="preserve"> explore the potential existence of relevant critical exposure window(s) (e.g. trimesters) during pregnancy.</w:t>
      </w:r>
      <w:r w:rsidR="00DB55FC">
        <w:rPr>
          <w:rFonts w:ascii="Times New Roman" w:hAnsi="Times New Roman" w:cs="Times New Roman"/>
        </w:rPr>
        <w:t xml:space="preserve"> Furthermore, w</w:t>
      </w:r>
      <w:r w:rsidR="003D3DED" w:rsidRPr="003D3DED">
        <w:rPr>
          <w:rFonts w:ascii="Times New Roman" w:hAnsi="Times New Roman" w:cs="Times New Roman"/>
        </w:rPr>
        <w:t xml:space="preserve">e did not have data on use of green spaces by our study </w:t>
      </w:r>
      <w:r w:rsidR="00D23C99">
        <w:rPr>
          <w:rFonts w:ascii="Times New Roman" w:hAnsi="Times New Roman" w:cs="Times New Roman"/>
        </w:rPr>
        <w:t>participant</w:t>
      </w:r>
      <w:r w:rsidR="003D3DED" w:rsidRPr="003D3DED">
        <w:rPr>
          <w:rFonts w:ascii="Times New Roman" w:hAnsi="Times New Roman" w:cs="Times New Roman"/>
        </w:rPr>
        <w:t xml:space="preserve">s, an issue that could be relevant to some of the possible mechanisms (e.g. physical activity) underlying </w:t>
      </w:r>
      <w:r w:rsidR="00812432">
        <w:rPr>
          <w:rFonts w:ascii="Times New Roman" w:hAnsi="Times New Roman" w:cs="Times New Roman"/>
        </w:rPr>
        <w:t>our</w:t>
      </w:r>
      <w:r w:rsidR="003D3DED" w:rsidRPr="003D3DED">
        <w:rPr>
          <w:rFonts w:ascii="Times New Roman" w:hAnsi="Times New Roman" w:cs="Times New Roman"/>
        </w:rPr>
        <w:t xml:space="preserve"> observed </w:t>
      </w:r>
      <w:r w:rsidR="00812432">
        <w:rPr>
          <w:rFonts w:ascii="Times New Roman" w:hAnsi="Times New Roman" w:cs="Times New Roman"/>
        </w:rPr>
        <w:t>associations</w:t>
      </w:r>
      <w:r w:rsidR="003D3DED" w:rsidRPr="003D3DED">
        <w:rPr>
          <w:rFonts w:ascii="Times New Roman" w:hAnsi="Times New Roman" w:cs="Times New Roman"/>
        </w:rPr>
        <w:t xml:space="preserve">. </w:t>
      </w:r>
      <w:r w:rsidR="003D3DED" w:rsidRPr="003D3DED">
        <w:rPr>
          <w:rFonts w:ascii="Times New Roman" w:hAnsi="Times New Roman" w:cs="Times New Roman"/>
          <w:lang w:val="en-US"/>
        </w:rPr>
        <w:t xml:space="preserve">Furthermore, we could not address the impact of </w:t>
      </w:r>
      <w:r w:rsidR="00670AD1">
        <w:rPr>
          <w:rFonts w:ascii="Times New Roman" w:hAnsi="Times New Roman" w:cs="Times New Roman"/>
          <w:lang w:val="en-US"/>
        </w:rPr>
        <w:t>green space</w:t>
      </w:r>
      <w:r w:rsidR="003D3DED" w:rsidRPr="003D3DED">
        <w:rPr>
          <w:rFonts w:ascii="Times New Roman" w:hAnsi="Times New Roman" w:cs="Times New Roman"/>
          <w:lang w:val="en-US"/>
        </w:rPr>
        <w:t xml:space="preserve"> quality</w:t>
      </w:r>
      <w:r w:rsidR="00F07450">
        <w:rPr>
          <w:rFonts w:ascii="Times New Roman" w:hAnsi="Times New Roman" w:cs="Times New Roman"/>
          <w:lang w:val="en-US"/>
        </w:rPr>
        <w:t>; c</w:t>
      </w:r>
      <w:r w:rsidR="003D3DED" w:rsidRPr="003D3DED">
        <w:rPr>
          <w:rFonts w:ascii="Times New Roman" w:hAnsi="Times New Roman" w:cs="Times New Roman"/>
          <w:lang w:val="en-US"/>
        </w:rPr>
        <w:t xml:space="preserve">haracteristics </w:t>
      </w:r>
      <w:r w:rsidR="00670AD1">
        <w:rPr>
          <w:rFonts w:ascii="Times New Roman" w:hAnsi="Times New Roman" w:cs="Times New Roman"/>
          <w:lang w:val="en-US"/>
        </w:rPr>
        <w:t>such as</w:t>
      </w:r>
      <w:r w:rsidR="003D3DED" w:rsidRPr="003D3DED">
        <w:rPr>
          <w:rFonts w:ascii="Times New Roman" w:hAnsi="Times New Roman" w:cs="Times New Roman"/>
          <w:lang w:val="en-US"/>
        </w:rPr>
        <w:t xml:space="preserve"> </w:t>
      </w:r>
      <w:r w:rsidR="00F07450">
        <w:rPr>
          <w:rFonts w:ascii="Times New Roman" w:hAnsi="Times New Roman" w:cs="Times New Roman"/>
          <w:lang w:val="en-US"/>
        </w:rPr>
        <w:t xml:space="preserve">safety, </w:t>
      </w:r>
      <w:r w:rsidR="003D3DED" w:rsidRPr="003D3DED">
        <w:rPr>
          <w:rFonts w:ascii="Times New Roman" w:hAnsi="Times New Roman" w:cs="Times New Roman"/>
          <w:lang w:val="en-US"/>
        </w:rPr>
        <w:t xml:space="preserve">aesthetics, biodiversity, walkability, sport/play facilities, and organized social events </w:t>
      </w:r>
      <w:r w:rsidR="00F07450">
        <w:rPr>
          <w:rFonts w:ascii="Times New Roman" w:hAnsi="Times New Roman" w:cs="Times New Roman"/>
          <w:lang w:val="en-US"/>
        </w:rPr>
        <w:t xml:space="preserve">that </w:t>
      </w:r>
      <w:r w:rsidR="003D3DED" w:rsidRPr="003D3DED">
        <w:rPr>
          <w:rFonts w:ascii="Times New Roman" w:hAnsi="Times New Roman" w:cs="Times New Roman"/>
          <w:lang w:val="en-US"/>
        </w:rPr>
        <w:t>have been suggested to affect the use of green spaces</w:t>
      </w:r>
      <w:r w:rsidR="008E51CB">
        <w:rPr>
          <w:rFonts w:ascii="Times New Roman" w:hAnsi="Times New Roman" w:cs="Times New Roman"/>
          <w:lang w:val="en-US"/>
        </w:rPr>
        <w:t xml:space="preserve"> </w:t>
      </w:r>
      <w:r w:rsidR="00381E2C" w:rsidRPr="003D3DED">
        <w:rPr>
          <w:rFonts w:ascii="Times New Roman" w:hAnsi="Times New Roman" w:cs="Times New Roman"/>
          <w:lang w:val="en-US"/>
        </w:rPr>
        <w:fldChar w:fldCharType="begin"/>
      </w:r>
      <w:r w:rsidR="000D1B3C">
        <w:rPr>
          <w:rFonts w:ascii="Times New Roman" w:hAnsi="Times New Roman" w:cs="Times New Roman"/>
          <w:lang w:val="en-US"/>
        </w:rPr>
        <w:instrText xml:space="preserve"> ADDIN EN.CITE &lt;EndNote&gt;&lt;Cite&gt;&lt;Author&gt;McCormack&lt;/Author&gt;&lt;Year&gt;2010&lt;/Year&gt;&lt;RecNum&gt;1252&lt;/RecNum&gt;&lt;record&gt;&lt;rec-number&gt;1252&lt;/rec-number&gt;&lt;ref-type name="Journal Article"&gt;17&lt;/ref-type&gt;&lt;contributors&gt;&lt;authors&gt;&lt;author&gt;McCormack, Gavin R.&lt;/author&gt;&lt;author&gt;Rock, Melanie&lt;/author&gt;&lt;author&gt;Toohey, Ann M.&lt;/author&gt;&lt;author&gt;Hignell, Danica&lt;/author&gt;&lt;/authors&gt;&lt;/contributors&gt;&lt;titles&gt;&lt;title&gt;Characteristics of urban parks associated with park use and physical activity: A review of qualitative research&lt;/title&gt;&lt;secondary-title&gt;Health Place&lt;/secondary-title&gt;&lt;/titles&gt;&lt;periodical&gt;&lt;full-title&gt;Health Place&lt;/full-title&gt;&lt;/periodical&gt;&lt;pages&gt;712-726&lt;/pages&gt;&lt;volume&gt;16&lt;/volume&gt;&lt;number&gt;4&lt;/number&gt;&lt;keywords&gt;&lt;keyword&gt;Physical environment&lt;/keyword&gt;&lt;keyword&gt;Social environment&lt;/keyword&gt;&lt;keyword&gt;Neighborhood&lt;/keyword&gt;&lt;keyword&gt;Recreational facilities&lt;/keyword&gt;&lt;keyword&gt;Leisure&lt;/keyword&gt;&lt;keyword&gt;Dog walking&lt;/keyword&gt;&lt;/keywords&gt;&lt;dates&gt;&lt;year&gt;2010&lt;/year&gt;&lt;/dates&gt;&lt;urls&gt;&lt;related-urls&gt;&lt;url&gt;http://www.sciencedirect.com/science/article/pii/S1353829210000316 &lt;/url&gt;&lt;/related-urls&gt;&lt;/urls&gt;&lt;/record&gt;&lt;/Cite&gt;&lt;/EndNote&gt;</w:instrText>
      </w:r>
      <w:r w:rsidR="00381E2C" w:rsidRPr="003D3DED">
        <w:rPr>
          <w:rFonts w:ascii="Times New Roman" w:hAnsi="Times New Roman" w:cs="Times New Roman"/>
          <w:lang w:val="en-US"/>
        </w:rPr>
        <w:fldChar w:fldCharType="separate"/>
      </w:r>
      <w:r w:rsidR="00B4416E">
        <w:rPr>
          <w:rFonts w:ascii="Times New Roman" w:hAnsi="Times New Roman" w:cs="Times New Roman"/>
          <w:lang w:val="en-US"/>
        </w:rPr>
        <w:t>(McCormack et al. 2010)</w:t>
      </w:r>
      <w:r w:rsidR="00381E2C" w:rsidRPr="003D3DED">
        <w:rPr>
          <w:rFonts w:ascii="Times New Roman" w:hAnsi="Times New Roman" w:cs="Times New Roman"/>
          <w:lang w:val="en-US"/>
        </w:rPr>
        <w:fldChar w:fldCharType="end"/>
      </w:r>
      <w:r w:rsidR="008E51CB">
        <w:rPr>
          <w:rFonts w:ascii="Times New Roman" w:hAnsi="Times New Roman" w:cs="Times New Roman"/>
          <w:lang w:val="en-US"/>
        </w:rPr>
        <w:t>.</w:t>
      </w:r>
      <w:r w:rsidR="003D3DED" w:rsidRPr="003D3DED">
        <w:rPr>
          <w:rFonts w:ascii="Times New Roman" w:hAnsi="Times New Roman" w:cs="Times New Roman"/>
          <w:lang w:val="en-US"/>
        </w:rPr>
        <w:t xml:space="preserve"> </w:t>
      </w:r>
      <w:r w:rsidR="003D3DED" w:rsidRPr="003D3DED">
        <w:rPr>
          <w:rFonts w:ascii="Times New Roman" w:hAnsi="Times New Roman" w:cs="Times New Roman"/>
        </w:rPr>
        <w:t xml:space="preserve">These </w:t>
      </w:r>
      <w:r w:rsidR="00670AD1">
        <w:rPr>
          <w:rFonts w:ascii="Times New Roman" w:hAnsi="Times New Roman" w:cs="Times New Roman"/>
        </w:rPr>
        <w:t>warrant further investigation</w:t>
      </w:r>
      <w:r w:rsidR="003D3DED" w:rsidRPr="003D3DED">
        <w:rPr>
          <w:rFonts w:ascii="Times New Roman" w:hAnsi="Times New Roman" w:cs="Times New Roman"/>
        </w:rPr>
        <w:t>.</w:t>
      </w:r>
    </w:p>
    <w:p w:rsidR="00D97481" w:rsidRDefault="00D97481">
      <w:pPr>
        <w:spacing w:after="0"/>
        <w:rPr>
          <w:rFonts w:ascii="Times New Roman" w:hAnsi="Times New Roman" w:cs="Times New Roman"/>
        </w:rPr>
      </w:pPr>
    </w:p>
    <w:p w:rsidR="00BE39B2" w:rsidRPr="00DA71F1" w:rsidRDefault="00BE39B2">
      <w:pPr>
        <w:spacing w:after="0"/>
        <w:rPr>
          <w:rFonts w:ascii="Times New Roman" w:hAnsi="Times New Roman" w:cs="Times New Roman"/>
          <w:b/>
        </w:rPr>
      </w:pPr>
      <w:r w:rsidRPr="00DA71F1">
        <w:rPr>
          <w:rFonts w:ascii="Times New Roman" w:hAnsi="Times New Roman" w:cs="Times New Roman"/>
          <w:b/>
        </w:rPr>
        <w:t>5. Conclusion</w:t>
      </w:r>
    </w:p>
    <w:p w:rsidR="00BE39B2" w:rsidRPr="00B223A5" w:rsidRDefault="00BE39B2">
      <w:pPr>
        <w:spacing w:after="0"/>
        <w:rPr>
          <w:rFonts w:ascii="Times New Roman" w:hAnsi="Times New Roman" w:cs="Times New Roman"/>
        </w:rPr>
      </w:pPr>
    </w:p>
    <w:p w:rsidR="00354FCA" w:rsidRDefault="00993260">
      <w:pPr>
        <w:spacing w:after="0"/>
        <w:rPr>
          <w:rFonts w:ascii="Times New Roman" w:hAnsi="Times New Roman" w:cs="Times New Roman"/>
        </w:rPr>
      </w:pPr>
      <w:r>
        <w:rPr>
          <w:rFonts w:ascii="Times New Roman" w:hAnsi="Times New Roman" w:cs="Times New Roman"/>
        </w:rPr>
        <w:t>While our findings for residential proximity to green spaces were not conclusive, w</w:t>
      </w:r>
      <w:r w:rsidR="00CF0522">
        <w:rPr>
          <w:rFonts w:ascii="Times New Roman" w:hAnsi="Times New Roman" w:cs="Times New Roman"/>
        </w:rPr>
        <w:t>e</w:t>
      </w:r>
      <w:r w:rsidR="00CF0522" w:rsidRPr="003D3DED">
        <w:rPr>
          <w:rFonts w:ascii="Times New Roman" w:hAnsi="Times New Roman" w:cs="Times New Roman"/>
        </w:rPr>
        <w:t xml:space="preserve"> observed </w:t>
      </w:r>
      <w:r w:rsidR="00CF0522">
        <w:rPr>
          <w:rFonts w:ascii="Times New Roman" w:hAnsi="Times New Roman" w:cs="Times New Roman"/>
        </w:rPr>
        <w:t xml:space="preserve">a </w:t>
      </w:r>
      <w:r w:rsidR="00013E9B">
        <w:rPr>
          <w:rFonts w:ascii="Times New Roman" w:hAnsi="Times New Roman" w:cs="Times New Roman"/>
        </w:rPr>
        <w:t>positive association</w:t>
      </w:r>
      <w:r w:rsidR="00CF0522">
        <w:rPr>
          <w:rFonts w:ascii="Times New Roman" w:hAnsi="Times New Roman" w:cs="Times New Roman"/>
        </w:rPr>
        <w:t xml:space="preserve"> between </w:t>
      </w:r>
      <w:r w:rsidR="00CA2791">
        <w:rPr>
          <w:rFonts w:ascii="Times New Roman" w:hAnsi="Times New Roman" w:cs="Times New Roman"/>
        </w:rPr>
        <w:t>residential surrounding greenness</w:t>
      </w:r>
      <w:r w:rsidR="00CF0522" w:rsidRPr="003D3DED">
        <w:rPr>
          <w:rFonts w:ascii="Times New Roman" w:hAnsi="Times New Roman" w:cs="Times New Roman"/>
        </w:rPr>
        <w:t xml:space="preserve"> </w:t>
      </w:r>
      <w:r w:rsidR="00CF0522">
        <w:rPr>
          <w:rFonts w:ascii="Times New Roman" w:hAnsi="Times New Roman" w:cs="Times New Roman"/>
        </w:rPr>
        <w:t>and</w:t>
      </w:r>
      <w:r w:rsidR="00CF0522" w:rsidRPr="003D3DED">
        <w:rPr>
          <w:rFonts w:ascii="Times New Roman" w:hAnsi="Times New Roman" w:cs="Times New Roman"/>
        </w:rPr>
        <w:t xml:space="preserve"> birth </w:t>
      </w:r>
      <w:r w:rsidR="00C81EFF" w:rsidRPr="003D3DED">
        <w:rPr>
          <w:rFonts w:ascii="Times New Roman" w:hAnsi="Times New Roman" w:cs="Times New Roman"/>
        </w:rPr>
        <w:t>weight</w:t>
      </w:r>
      <w:r w:rsidR="00C81EFF">
        <w:rPr>
          <w:rFonts w:ascii="Times New Roman" w:hAnsi="Times New Roman" w:cs="Times New Roman"/>
        </w:rPr>
        <w:t>, which</w:t>
      </w:r>
      <w:r w:rsidR="00CF0522">
        <w:rPr>
          <w:rFonts w:ascii="Times New Roman" w:hAnsi="Times New Roman" w:cs="Times New Roman"/>
        </w:rPr>
        <w:t xml:space="preserve"> was evident </w:t>
      </w:r>
      <w:r w:rsidR="00FA1A03">
        <w:rPr>
          <w:rFonts w:ascii="Times New Roman" w:hAnsi="Times New Roman" w:cs="Times New Roman"/>
        </w:rPr>
        <w:t xml:space="preserve">only </w:t>
      </w:r>
      <w:r w:rsidR="00C81EFF">
        <w:rPr>
          <w:rFonts w:ascii="Times New Roman" w:hAnsi="Times New Roman" w:cs="Times New Roman"/>
        </w:rPr>
        <w:t>in White British participants and not in those of Pakistani origin</w:t>
      </w:r>
      <w:r w:rsidR="00CF0522" w:rsidRPr="003D3DED">
        <w:rPr>
          <w:rFonts w:ascii="Times New Roman" w:hAnsi="Times New Roman" w:cs="Times New Roman"/>
        </w:rPr>
        <w:t>.</w:t>
      </w:r>
      <w:r w:rsidR="004C4D23">
        <w:rPr>
          <w:rFonts w:ascii="Times New Roman" w:hAnsi="Times New Roman" w:cs="Times New Roman"/>
        </w:rPr>
        <w:t xml:space="preserve"> Our fin</w:t>
      </w:r>
      <w:r w:rsidR="00615735">
        <w:rPr>
          <w:rFonts w:ascii="Times New Roman" w:hAnsi="Times New Roman" w:cs="Times New Roman"/>
        </w:rPr>
        <w:t>dings were also suggestive for</w:t>
      </w:r>
      <w:r w:rsidR="004C4D23">
        <w:rPr>
          <w:rFonts w:ascii="Times New Roman" w:hAnsi="Times New Roman" w:cs="Times New Roman"/>
        </w:rPr>
        <w:t xml:space="preserve"> </w:t>
      </w:r>
      <w:r w:rsidR="00013E9B">
        <w:rPr>
          <w:rFonts w:ascii="Times New Roman" w:hAnsi="Times New Roman" w:cs="Times New Roman"/>
        </w:rPr>
        <w:t>stronger associations</w:t>
      </w:r>
      <w:r w:rsidR="004C4D23">
        <w:rPr>
          <w:rFonts w:ascii="Times New Roman" w:hAnsi="Times New Roman" w:cs="Times New Roman"/>
        </w:rPr>
        <w:t xml:space="preserve"> </w:t>
      </w:r>
      <w:r w:rsidR="00CA2791">
        <w:rPr>
          <w:rFonts w:ascii="Times New Roman" w:hAnsi="Times New Roman" w:cs="Times New Roman"/>
        </w:rPr>
        <w:t xml:space="preserve">between residential surrounding greenness in larger buffers (i.e. neighbourhood greenness) and birth weight for </w:t>
      </w:r>
      <w:r w:rsidR="004C4D23">
        <w:rPr>
          <w:rFonts w:ascii="Times New Roman" w:hAnsi="Times New Roman" w:cs="Times New Roman"/>
        </w:rPr>
        <w:t>more deprived par</w:t>
      </w:r>
      <w:r w:rsidR="001356CF">
        <w:rPr>
          <w:rFonts w:ascii="Times New Roman" w:hAnsi="Times New Roman" w:cs="Times New Roman"/>
        </w:rPr>
        <w:t>ticipants</w:t>
      </w:r>
      <w:r w:rsidR="00CA2791">
        <w:rPr>
          <w:rFonts w:ascii="Times New Roman" w:hAnsi="Times New Roman" w:cs="Times New Roman"/>
        </w:rPr>
        <w:t xml:space="preserve"> which was not evident for residential surrounding greenness in smaller buffers (i.e. immediate residential surrounding greenness)</w:t>
      </w:r>
      <w:r w:rsidR="001356CF">
        <w:rPr>
          <w:rFonts w:ascii="Times New Roman" w:hAnsi="Times New Roman" w:cs="Times New Roman"/>
        </w:rPr>
        <w:t xml:space="preserve">. </w:t>
      </w:r>
      <w:r w:rsidR="0075017E">
        <w:rPr>
          <w:rFonts w:ascii="Times New Roman" w:hAnsi="Times New Roman" w:cs="Times New Roman"/>
        </w:rPr>
        <w:t>Such</w:t>
      </w:r>
      <w:r w:rsidR="001356CF">
        <w:rPr>
          <w:rFonts w:ascii="Times New Roman" w:hAnsi="Times New Roman" w:cs="Times New Roman"/>
        </w:rPr>
        <w:t xml:space="preserve"> beneficial impacts</w:t>
      </w:r>
      <w:r w:rsidR="00013E9B">
        <w:rPr>
          <w:rFonts w:ascii="Times New Roman" w:hAnsi="Times New Roman" w:cs="Times New Roman"/>
        </w:rPr>
        <w:t xml:space="preserve">, if </w:t>
      </w:r>
      <w:r w:rsidR="00B032FC">
        <w:rPr>
          <w:rFonts w:ascii="Times New Roman" w:hAnsi="Times New Roman" w:cs="Times New Roman"/>
        </w:rPr>
        <w:t>established</w:t>
      </w:r>
      <w:r w:rsidR="00013E9B">
        <w:rPr>
          <w:rFonts w:ascii="Times New Roman" w:hAnsi="Times New Roman" w:cs="Times New Roman"/>
        </w:rPr>
        <w:t xml:space="preserve"> by future studies,</w:t>
      </w:r>
      <w:r w:rsidR="004C4D23">
        <w:rPr>
          <w:rFonts w:ascii="Times New Roman" w:hAnsi="Times New Roman" w:cs="Times New Roman"/>
        </w:rPr>
        <w:t xml:space="preserve"> </w:t>
      </w:r>
      <w:r w:rsidR="00132C4E">
        <w:rPr>
          <w:rFonts w:ascii="Times New Roman" w:hAnsi="Times New Roman" w:cs="Times New Roman"/>
        </w:rPr>
        <w:t>are</w:t>
      </w:r>
      <w:r w:rsidR="004C4D23">
        <w:rPr>
          <w:rFonts w:ascii="Times New Roman" w:hAnsi="Times New Roman" w:cs="Times New Roman"/>
        </w:rPr>
        <w:t xml:space="preserve"> of public health importance because</w:t>
      </w:r>
      <w:r w:rsidR="00132C4E">
        <w:rPr>
          <w:rFonts w:ascii="Times New Roman" w:hAnsi="Times New Roman" w:cs="Times New Roman"/>
        </w:rPr>
        <w:t xml:space="preserve"> r</w:t>
      </w:r>
      <w:r w:rsidR="003D3DED" w:rsidRPr="003D3DED">
        <w:rPr>
          <w:rFonts w:ascii="Times New Roman" w:hAnsi="Times New Roman" w:cs="Times New Roman"/>
        </w:rPr>
        <w:t xml:space="preserve">eduction in birth weight is </w:t>
      </w:r>
      <w:r w:rsidR="00132C4E">
        <w:rPr>
          <w:rFonts w:ascii="Times New Roman" w:hAnsi="Times New Roman" w:cs="Times New Roman"/>
        </w:rPr>
        <w:t>not only</w:t>
      </w:r>
      <w:r w:rsidR="003D3DED" w:rsidRPr="003D3DED">
        <w:rPr>
          <w:rFonts w:ascii="Times New Roman" w:hAnsi="Times New Roman" w:cs="Times New Roman"/>
        </w:rPr>
        <w:t xml:space="preserve"> associated with enhanced risk of morbidity and mortality in early life, </w:t>
      </w:r>
      <w:r w:rsidR="00132C4E">
        <w:rPr>
          <w:rFonts w:ascii="Times New Roman" w:hAnsi="Times New Roman" w:cs="Times New Roman"/>
        </w:rPr>
        <w:t>but also</w:t>
      </w:r>
      <w:r w:rsidR="00D33DB7">
        <w:rPr>
          <w:rFonts w:ascii="Times New Roman" w:hAnsi="Times New Roman" w:cs="Times New Roman"/>
        </w:rPr>
        <w:t xml:space="preserve"> is</w:t>
      </w:r>
      <w:r w:rsidR="00653F76">
        <w:rPr>
          <w:rFonts w:ascii="Times New Roman" w:hAnsi="Times New Roman" w:cs="Times New Roman"/>
        </w:rPr>
        <w:t xml:space="preserve"> increasingly related to </w:t>
      </w:r>
      <w:r w:rsidR="003D3DED" w:rsidRPr="003D3DED">
        <w:rPr>
          <w:rFonts w:ascii="Times New Roman" w:hAnsi="Times New Roman" w:cs="Times New Roman"/>
        </w:rPr>
        <w:t>adverse health outcomes in later life</w:t>
      </w:r>
      <w:r w:rsidR="008E51CB">
        <w:rPr>
          <w:rFonts w:ascii="Times New Roman" w:hAnsi="Times New Roman" w:cs="Times New Roman"/>
        </w:rPr>
        <w:t xml:space="preserve"> </w:t>
      </w:r>
      <w:r w:rsidR="00381E2C" w:rsidRPr="003D3DED">
        <w:rPr>
          <w:rFonts w:ascii="Times New Roman" w:hAnsi="Times New Roman" w:cs="Times New Roman"/>
        </w:rPr>
        <w:fldChar w:fldCharType="begin"/>
      </w:r>
      <w:r w:rsidR="000D1B3C">
        <w:rPr>
          <w:rFonts w:ascii="Times New Roman" w:hAnsi="Times New Roman" w:cs="Times New Roman"/>
        </w:rPr>
        <w:instrText xml:space="preserve"> ADDIN EN.CITE &lt;EndNote&gt;&lt;Cite&gt;&lt;Author&gt;Balci&lt;/Author&gt;&lt;Year&gt;2010&lt;/Year&gt;&lt;RecNum&gt;783&lt;/RecNum&gt;&lt;record&gt;&lt;rec-number&gt;783&lt;/rec-number&gt;&lt;ref-type name="Journal Article"&gt;17&lt;/ref-type&gt;&lt;contributors&gt;&lt;authors&gt;&lt;author&gt;Balci, Mustafa Mucahit&lt;/author&gt;&lt;author&gt;Acikel, Sadik&lt;/author&gt;&lt;author&gt;Akdemir, Ramazan&lt;/author&gt;&lt;/authors&gt;&lt;/contributors&gt;&lt;titles&gt;&lt;title&gt;Low birth weight and increased cardiovascular risk: Fetal programming&lt;/title&gt;&lt;secondary-title&gt;Int J Cardiol&lt;/secondary-title&gt;&lt;/titles&gt;&lt;pages&gt;110-111&lt;/pages&gt;&lt;volume&gt;144&lt;/volume&gt;&lt;number&gt;1&lt;/number&gt;&lt;keywords&gt;&lt;keyword&gt;Low birth weight&lt;/keyword&gt;&lt;keyword&gt;Cardiovascular risk&lt;/keyword&gt;&lt;keyword&gt;Metabolic syndrome&lt;/keyword&gt;&lt;/keywords&gt;&lt;dates&gt;&lt;year&gt;2010&lt;/year&gt;&lt;/dates&gt;&lt;publisher&gt;Elsevier&lt;/publisher&gt;&lt;accession-num&gt;S0167-5273(08)01556-8&lt;/accession-num&gt;&lt;urls&gt;&lt;related-urls&gt;&lt;url&gt;http://linkinghub.elsevier.com/retrieve/pii/S0167527308015568?showall=true &lt;/url&gt;&lt;/related-urls&gt;&lt;/urls&gt;&lt;/record&gt;&lt;/Cite&gt;&lt;Cite&gt;&lt;Author&gt;White&lt;/Author&gt;&lt;Year&gt;2009&lt;/Year&gt;&lt;RecNum&gt;784&lt;/RecNum&gt;&lt;record&gt;&lt;rec-number&gt;784&lt;/rec-number&gt;&lt;ref-type name="Journal Article"&gt;17&lt;/ref-type&gt;&lt;contributors&gt;&lt;authors&gt;&lt;author&gt;White, Sarah L.&lt;/author&gt;&lt;author&gt;Perkovic, Vlado&lt;/author&gt;&lt;author&gt;Cass, Alan&lt;/author&gt;&lt;author&gt;Chang, Choon Lan&lt;/author&gt;&lt;author&gt;Poulter, Neil R.&lt;/author&gt;&lt;author&gt;Spector, Tim&lt;/author&gt;&lt;author&gt;Haysom, Leigh&lt;/author&gt;&lt;author&gt;Craig, Jonathan C.&lt;/author&gt;&lt;author&gt;Salmi, Isa Al&lt;/author&gt;&lt;author&gt;Chadban, Steven J.&lt;/author&gt;&lt;author&gt;Huxley, Rachel R.&lt;/author&gt;&lt;/authors&gt;&lt;/contributors&gt;&lt;titles&gt;&lt;title&gt;Is Low Birth Weight an Antecedent of CKD in Later Life? A Systematic Review of Observational Studies&lt;/title&gt;&lt;secondary-title&gt;Am J Kidney Dis&lt;/secondary-title&gt;&lt;/titles&gt;&lt;pages&gt;248-261&lt;/pages&gt;&lt;volume&gt;54&lt;/volume&gt;&lt;number&gt;2&lt;/number&gt;&lt;keywords&gt;&lt;keyword&gt;Chronic kidney disease&lt;/keyword&gt;&lt;keyword&gt;low birth weight&lt;/keyword&gt;&lt;keyword&gt;systematic reviews&lt;/keyword&gt;&lt;keyword&gt;meta-analysis&lt;/keyword&gt;&lt;keyword&gt;end-stage renal disease&lt;/keyword&gt;&lt;keyword&gt;albuminuria&lt;/keyword&gt;&lt;keyword&gt;glomerular filtration rate&lt;/keyword&gt;&lt;/keywords&gt;&lt;dates&gt;&lt;year&gt;2009&lt;/year&gt;&lt;/dates&gt;&lt;publisher&gt;W.B. Saunders&lt;/publisher&gt;&lt;accession-num&gt;S0272-6386(09)00422-3&lt;/accession-num&gt;&lt;urls&gt;&lt;related-urls&gt;&lt;url&gt;http://linkinghub.elsevier.com/retrieve/pii/S0272638609004223?showall=true &lt;/url&gt;&lt;/related-urls&gt;&lt;/urls&gt;&lt;/record&gt;&lt;/Cite&gt;&lt;Cite&gt;&lt;Author&gt;Huxley&lt;/Author&gt;&lt;Year&gt;2007&lt;/Year&gt;&lt;RecNum&gt;785&lt;/RecNum&gt;&lt;record&gt;&lt;rec-number&gt;785&lt;/rec-number&gt;&lt;ref-type name="Journal Article"&gt;17&lt;/ref-type&gt;&lt;contributors&gt;&lt;authors&gt;&lt;author&gt;Huxley, R.&lt;/author&gt;&lt;author&gt;Owen, C. G.&lt;/author&gt;&lt;author&gt;Whincup, P. H.&lt;/author&gt;&lt;author&gt;Cook, D. G.&lt;/author&gt;&lt;author&gt;Rich-Edwards, J.&lt;/author&gt;&lt;author&gt;Smith, G. D.&lt;/author&gt;&lt;author&gt;Collins, R.&lt;/author&gt;&lt;/authors&gt;&lt;/contributors&gt;&lt;titles&gt;&lt;title&gt;Is birth weight a risk factor for ischemic heart disease in later life?&lt;/title&gt;&lt;secondary-title&gt;Am J Clin Nutr&lt;/secondary-title&gt;&lt;/titles&gt;&lt;pages&gt;1244&lt;/pages&gt;&lt;volume&gt;85&lt;/volume&gt;&lt;number&gt;5&lt;/number&gt;&lt;dates&gt;&lt;year&gt;2007&lt;/year&gt;&lt;/dates&gt;&lt;urls&gt;&lt;/urls&gt;&lt;/record&gt;&lt;/Cite&gt;&lt;/EndNote&gt;</w:instrText>
      </w:r>
      <w:r w:rsidR="00381E2C" w:rsidRPr="003D3DED">
        <w:rPr>
          <w:rFonts w:ascii="Times New Roman" w:hAnsi="Times New Roman" w:cs="Times New Roman"/>
        </w:rPr>
        <w:fldChar w:fldCharType="separate"/>
      </w:r>
      <w:r w:rsidR="00B4416E">
        <w:rPr>
          <w:rFonts w:ascii="Times New Roman" w:hAnsi="Times New Roman" w:cs="Times New Roman"/>
        </w:rPr>
        <w:t>(Balci et al. 2010; Huxley et al. 2007; White et al. 2009)</w:t>
      </w:r>
      <w:r w:rsidR="00381E2C" w:rsidRPr="003D3DED">
        <w:rPr>
          <w:rFonts w:ascii="Times New Roman" w:hAnsi="Times New Roman" w:cs="Times New Roman"/>
        </w:rPr>
        <w:fldChar w:fldCharType="end"/>
      </w:r>
      <w:r w:rsidR="008E51CB">
        <w:rPr>
          <w:rFonts w:ascii="Times New Roman" w:hAnsi="Times New Roman" w:cs="Times New Roman"/>
        </w:rPr>
        <w:t>.</w:t>
      </w:r>
      <w:r w:rsidR="003D3DED" w:rsidRPr="003D3DED">
        <w:rPr>
          <w:rFonts w:ascii="Times New Roman" w:hAnsi="Times New Roman" w:cs="Times New Roman"/>
        </w:rPr>
        <w:t xml:space="preserve"> </w:t>
      </w:r>
      <w:r w:rsidR="00132C4E">
        <w:rPr>
          <w:rFonts w:ascii="Times New Roman" w:hAnsi="Times New Roman" w:cs="Times New Roman"/>
        </w:rPr>
        <w:t xml:space="preserve">Therefore, </w:t>
      </w:r>
      <w:r w:rsidR="0075017E">
        <w:rPr>
          <w:rFonts w:ascii="Times New Roman" w:hAnsi="Times New Roman" w:cs="Times New Roman"/>
        </w:rPr>
        <w:t>our observed</w:t>
      </w:r>
      <w:r w:rsidR="003D3DED" w:rsidRPr="003D3DED">
        <w:rPr>
          <w:rFonts w:ascii="Times New Roman" w:hAnsi="Times New Roman" w:cs="Times New Roman"/>
        </w:rPr>
        <w:t xml:space="preserve"> </w:t>
      </w:r>
      <w:r w:rsidR="00B032FC">
        <w:rPr>
          <w:rFonts w:ascii="Times New Roman" w:hAnsi="Times New Roman" w:cs="Times New Roman"/>
        </w:rPr>
        <w:t>associations between</w:t>
      </w:r>
      <w:r w:rsidR="00657B13">
        <w:rPr>
          <w:rFonts w:ascii="Times New Roman" w:hAnsi="Times New Roman" w:cs="Times New Roman"/>
        </w:rPr>
        <w:t xml:space="preserve"> green spaces</w:t>
      </w:r>
      <w:r w:rsidR="00B032FC">
        <w:rPr>
          <w:rFonts w:ascii="Times New Roman" w:hAnsi="Times New Roman" w:cs="Times New Roman"/>
        </w:rPr>
        <w:t xml:space="preserve"> and foetal growth</w:t>
      </w:r>
      <w:r w:rsidR="003D3DED" w:rsidRPr="003D3DED">
        <w:rPr>
          <w:rFonts w:ascii="Times New Roman" w:hAnsi="Times New Roman" w:cs="Times New Roman"/>
        </w:rPr>
        <w:t xml:space="preserve">, especially among pregnant women of lower SES who are more affected by adverse pregnancy </w:t>
      </w:r>
      <w:r w:rsidR="003D3DED" w:rsidRPr="003D3DED">
        <w:rPr>
          <w:rFonts w:ascii="Times New Roman" w:hAnsi="Times New Roman" w:cs="Times New Roman"/>
        </w:rPr>
        <w:lastRenderedPageBreak/>
        <w:t xml:space="preserve">outcomes, could be incorporated in </w:t>
      </w:r>
      <w:r w:rsidR="00EF2195">
        <w:rPr>
          <w:rFonts w:ascii="Times New Roman" w:hAnsi="Times New Roman" w:cs="Times New Roman"/>
        </w:rPr>
        <w:t xml:space="preserve">translating </w:t>
      </w:r>
      <w:r w:rsidR="000653D0">
        <w:rPr>
          <w:rFonts w:ascii="Times New Roman" w:hAnsi="Times New Roman" w:cs="Times New Roman"/>
        </w:rPr>
        <w:t>evidence into policies</w:t>
      </w:r>
      <w:r w:rsidR="003D3DED" w:rsidRPr="003D3DED">
        <w:rPr>
          <w:rFonts w:ascii="Times New Roman" w:hAnsi="Times New Roman" w:cs="Times New Roman"/>
        </w:rPr>
        <w:t xml:space="preserve"> </w:t>
      </w:r>
      <w:r w:rsidR="009B43DD">
        <w:rPr>
          <w:rFonts w:ascii="Times New Roman" w:hAnsi="Times New Roman" w:cs="Times New Roman"/>
        </w:rPr>
        <w:t xml:space="preserve">regarding </w:t>
      </w:r>
      <w:r w:rsidR="003D3DED" w:rsidRPr="003D3DED">
        <w:rPr>
          <w:rFonts w:ascii="Times New Roman" w:hAnsi="Times New Roman" w:cs="Times New Roman"/>
        </w:rPr>
        <w:t>de</w:t>
      </w:r>
      <w:r w:rsidR="000653D0">
        <w:rPr>
          <w:rFonts w:ascii="Times New Roman" w:hAnsi="Times New Roman" w:cs="Times New Roman"/>
        </w:rPr>
        <w:t>v</w:t>
      </w:r>
      <w:r w:rsidR="00C3133B">
        <w:rPr>
          <w:rFonts w:ascii="Times New Roman" w:hAnsi="Times New Roman" w:cs="Times New Roman"/>
        </w:rPr>
        <w:t>elop</w:t>
      </w:r>
      <w:r w:rsidR="00944802">
        <w:rPr>
          <w:rFonts w:ascii="Times New Roman" w:hAnsi="Times New Roman" w:cs="Times New Roman"/>
        </w:rPr>
        <w:t>ment of</w:t>
      </w:r>
      <w:r w:rsidR="009B43DD">
        <w:rPr>
          <w:rFonts w:ascii="Times New Roman" w:hAnsi="Times New Roman" w:cs="Times New Roman"/>
        </w:rPr>
        <w:t xml:space="preserve"> </w:t>
      </w:r>
      <w:r w:rsidR="00C3133B">
        <w:rPr>
          <w:rFonts w:ascii="Times New Roman" w:hAnsi="Times New Roman" w:cs="Times New Roman"/>
        </w:rPr>
        <w:t xml:space="preserve">urban green spaces </w:t>
      </w:r>
      <w:r w:rsidR="009B43DD">
        <w:rPr>
          <w:rFonts w:ascii="Times New Roman" w:hAnsi="Times New Roman" w:cs="Times New Roman"/>
        </w:rPr>
        <w:t xml:space="preserve">and </w:t>
      </w:r>
      <w:r w:rsidR="00944802">
        <w:rPr>
          <w:rFonts w:ascii="Times New Roman" w:hAnsi="Times New Roman" w:cs="Times New Roman"/>
        </w:rPr>
        <w:t>provision of such spaces</w:t>
      </w:r>
      <w:r w:rsidR="00657B13">
        <w:rPr>
          <w:rFonts w:ascii="Times New Roman" w:hAnsi="Times New Roman" w:cs="Times New Roman"/>
        </w:rPr>
        <w:t xml:space="preserve"> in</w:t>
      </w:r>
      <w:r w:rsidR="00C3133B">
        <w:rPr>
          <w:rFonts w:ascii="Times New Roman" w:hAnsi="Times New Roman" w:cs="Times New Roman"/>
        </w:rPr>
        <w:t xml:space="preserve"> </w:t>
      </w:r>
      <w:r w:rsidR="003D3DED" w:rsidRPr="003D3DED">
        <w:rPr>
          <w:rFonts w:ascii="Times New Roman" w:hAnsi="Times New Roman" w:cs="Times New Roman"/>
        </w:rPr>
        <w:t>socioeconomically deprived areas</w:t>
      </w:r>
      <w:r w:rsidR="00C3133B">
        <w:rPr>
          <w:rFonts w:ascii="Times New Roman" w:hAnsi="Times New Roman" w:cs="Times New Roman"/>
        </w:rPr>
        <w:t xml:space="preserve"> </w:t>
      </w:r>
      <w:r w:rsidR="00063335">
        <w:rPr>
          <w:rFonts w:ascii="Times New Roman" w:hAnsi="Times New Roman" w:cs="Times New Roman"/>
        </w:rPr>
        <w:t xml:space="preserve">in order </w:t>
      </w:r>
      <w:r w:rsidR="00C3133B">
        <w:rPr>
          <w:rFonts w:ascii="Times New Roman" w:hAnsi="Times New Roman" w:cs="Times New Roman"/>
        </w:rPr>
        <w:t>to tackle health inequalities</w:t>
      </w:r>
      <w:r w:rsidR="003D3DED" w:rsidRPr="003D3DED">
        <w:rPr>
          <w:rFonts w:ascii="Times New Roman" w:hAnsi="Times New Roman" w:cs="Times New Roman"/>
        </w:rPr>
        <w:t xml:space="preserve">. Our findings, if confirmed by future studies, also highlight a need for targeted interventions </w:t>
      </w:r>
      <w:r w:rsidR="0002209F">
        <w:rPr>
          <w:rFonts w:ascii="Times New Roman" w:hAnsi="Times New Roman" w:cs="Times New Roman"/>
        </w:rPr>
        <w:t>to reduce</w:t>
      </w:r>
      <w:r w:rsidR="003D3DED" w:rsidRPr="003D3DED">
        <w:rPr>
          <w:rFonts w:ascii="Times New Roman" w:hAnsi="Times New Roman" w:cs="Times New Roman"/>
        </w:rPr>
        <w:t xml:space="preserve"> the ethnic </w:t>
      </w:r>
      <w:r w:rsidR="0002209F">
        <w:rPr>
          <w:rFonts w:ascii="Times New Roman" w:hAnsi="Times New Roman" w:cs="Times New Roman"/>
        </w:rPr>
        <w:t>differences</w:t>
      </w:r>
      <w:r w:rsidR="003D3DED" w:rsidRPr="003D3DED">
        <w:rPr>
          <w:rFonts w:ascii="Times New Roman" w:hAnsi="Times New Roman" w:cs="Times New Roman"/>
        </w:rPr>
        <w:t xml:space="preserve"> </w:t>
      </w:r>
      <w:r w:rsidR="0002209F">
        <w:rPr>
          <w:rFonts w:ascii="Times New Roman" w:hAnsi="Times New Roman" w:cs="Times New Roman"/>
        </w:rPr>
        <w:t xml:space="preserve">in which </w:t>
      </w:r>
      <w:r w:rsidR="003D3DED" w:rsidRPr="003D3DED">
        <w:rPr>
          <w:rFonts w:ascii="Times New Roman" w:hAnsi="Times New Roman" w:cs="Times New Roman"/>
        </w:rPr>
        <w:t>pregnant women</w:t>
      </w:r>
      <w:r w:rsidR="0002209F">
        <w:rPr>
          <w:rFonts w:ascii="Times New Roman" w:hAnsi="Times New Roman" w:cs="Times New Roman"/>
        </w:rPr>
        <w:t xml:space="preserve"> can benefit from local natural environments</w:t>
      </w:r>
      <w:r w:rsidR="003D3DED" w:rsidRPr="003D3DED">
        <w:rPr>
          <w:rFonts w:ascii="Times New Roman" w:hAnsi="Times New Roman" w:cs="Times New Roman"/>
        </w:rPr>
        <w:t xml:space="preserve">. We recommend further studies on </w:t>
      </w:r>
      <w:r w:rsidR="007547DB">
        <w:rPr>
          <w:rFonts w:ascii="Times New Roman" w:hAnsi="Times New Roman" w:cs="Times New Roman"/>
        </w:rPr>
        <w:t>this association in other multi</w:t>
      </w:r>
      <w:r w:rsidR="003D3DED" w:rsidRPr="003D3DED">
        <w:rPr>
          <w:rFonts w:ascii="Times New Roman" w:hAnsi="Times New Roman" w:cs="Times New Roman"/>
        </w:rPr>
        <w:t xml:space="preserve">ethnic populations with careful characterization of the quality of green spaces and investigating the possible mechanism(s) </w:t>
      </w:r>
      <w:r w:rsidR="00EF2195">
        <w:rPr>
          <w:rFonts w:ascii="Times New Roman" w:hAnsi="Times New Roman" w:cs="Times New Roman"/>
        </w:rPr>
        <w:t>underlying</w:t>
      </w:r>
      <w:r w:rsidR="003D3DED" w:rsidRPr="003D3DED">
        <w:rPr>
          <w:rFonts w:ascii="Times New Roman" w:hAnsi="Times New Roman" w:cs="Times New Roman"/>
        </w:rPr>
        <w:t xml:space="preserve"> this association.</w:t>
      </w:r>
    </w:p>
    <w:p w:rsidR="006404FD" w:rsidRDefault="006404FD" w:rsidP="006404FD">
      <w:pPr>
        <w:spacing w:after="0"/>
        <w:rPr>
          <w:rFonts w:ascii="Times New Roman" w:hAnsi="Times New Roman" w:cs="Times New Roman"/>
        </w:rPr>
      </w:pPr>
    </w:p>
    <w:p w:rsidR="006404FD" w:rsidRDefault="006404FD" w:rsidP="006404FD">
      <w:pPr>
        <w:spacing w:after="0"/>
        <w:rPr>
          <w:rFonts w:ascii="Times New Roman" w:hAnsi="Times New Roman" w:cs="Times New Roman"/>
        </w:rPr>
        <w:sectPr w:rsidR="006404FD">
          <w:footerReference w:type="default" r:id="rId11"/>
          <w:pgSz w:w="11906" w:h="16838"/>
          <w:pgMar w:top="1417" w:right="1701" w:bottom="1417" w:left="1701" w:header="709" w:footer="709" w:gutter="0"/>
          <w:cols w:sep="1" w:space="708"/>
          <w:docGrid w:linePitch="360"/>
        </w:sectPr>
      </w:pPr>
    </w:p>
    <w:p w:rsidR="006404FD" w:rsidRPr="00D210D9" w:rsidRDefault="006404FD" w:rsidP="00EB2F6E">
      <w:pPr>
        <w:spacing w:after="0"/>
        <w:rPr>
          <w:rFonts w:ascii="Times New Roman" w:hAnsi="Times New Roman" w:cs="Times New Roman"/>
          <w:b/>
        </w:rPr>
      </w:pPr>
      <w:r w:rsidRPr="00893360">
        <w:rPr>
          <w:rFonts w:ascii="Times New Roman" w:hAnsi="Times New Roman" w:cs="Times New Roman"/>
          <w:b/>
        </w:rPr>
        <w:lastRenderedPageBreak/>
        <w:t>Acknowledgements</w:t>
      </w:r>
      <w:r>
        <w:rPr>
          <w:rFonts w:ascii="Times New Roman" w:hAnsi="Times New Roman" w:cs="Times New Roman"/>
          <w:b/>
        </w:rPr>
        <w:t>:</w:t>
      </w:r>
      <w:r w:rsidRPr="00893360">
        <w:rPr>
          <w:rFonts w:ascii="Times New Roman" w:hAnsi="Times New Roman" w:cs="Times New Roman"/>
          <w:b/>
        </w:rPr>
        <w:t xml:space="preserve"> </w:t>
      </w:r>
      <w:r w:rsidRPr="00D23C99">
        <w:rPr>
          <w:rFonts w:ascii="Times New Roman" w:hAnsi="Times New Roman" w:cs="Times New Roman"/>
          <w:bCs/>
        </w:rPr>
        <w:t xml:space="preserve">Born in Bradford is only possible because of the enthusiasm and commitment of the Children and Parents in BiB. We are grateful to all the participants, health professionals and researchers who have made Born in Bradford happen. </w:t>
      </w:r>
      <w:r w:rsidRPr="004F7DAA">
        <w:rPr>
          <w:rFonts w:ascii="Times New Roman" w:hAnsi="Times New Roman" w:cs="Times New Roman"/>
          <w:bCs/>
        </w:rPr>
        <w:t xml:space="preserve">This study was conducted as part of PHENOTYPE project (Positive Health Effects of the Natural Outdoor Environment in Typical Populations in Different Regions in Europe) </w:t>
      </w:r>
      <w:r w:rsidRPr="004F7DAA">
        <w:rPr>
          <w:rFonts w:ascii="Times New Roman" w:hAnsi="Times New Roman" w:cs="Times New Roman"/>
        </w:rPr>
        <w:t>(</w:t>
      </w:r>
      <w:hyperlink r:id="rId12" w:history="1">
        <w:r w:rsidRPr="004F7DAA">
          <w:rPr>
            <w:rStyle w:val="Hyperlink"/>
            <w:rFonts w:ascii="Times New Roman" w:hAnsi="Times New Roman" w:cs="Times New Roman"/>
          </w:rPr>
          <w:t>www.phenotype.eu</w:t>
        </w:r>
      </w:hyperlink>
      <w:r w:rsidRPr="004F7DAA">
        <w:rPr>
          <w:rFonts w:ascii="Times New Roman" w:hAnsi="Times New Roman" w:cs="Times New Roman"/>
        </w:rPr>
        <w:t xml:space="preserve">) </w:t>
      </w:r>
      <w:r w:rsidRPr="004F7DAA">
        <w:rPr>
          <w:rFonts w:ascii="Times New Roman" w:hAnsi="Times New Roman" w:cs="Times New Roman"/>
          <w:bCs/>
        </w:rPr>
        <w:t xml:space="preserve">funded by the European Commission Seventh Framework Programme (Grant No. 282996). </w:t>
      </w:r>
      <w:r w:rsidRPr="004F7DAA">
        <w:rPr>
          <w:rFonts w:ascii="Times New Roman" w:hAnsi="Times New Roman" w:cs="Times New Roman"/>
        </w:rPr>
        <w:t xml:space="preserve">Payam Dadvand is funded by </w:t>
      </w:r>
      <w:r w:rsidR="00EB2F6E" w:rsidRPr="000D2ECC">
        <w:rPr>
          <w:rFonts w:ascii="Times New Roman" w:hAnsi="Times New Roman" w:cs="Times New Roman"/>
        </w:rPr>
        <w:t>a Ramón y Cajal fellowship (RYC-2012-10995) awarded by the Spanish Mini</w:t>
      </w:r>
      <w:r w:rsidR="00EB2F6E">
        <w:rPr>
          <w:rFonts w:ascii="Times New Roman" w:hAnsi="Times New Roman" w:cs="Times New Roman"/>
        </w:rPr>
        <w:t>stry of Economy and Finance</w:t>
      </w:r>
      <w:r w:rsidRPr="004F7DAA">
        <w:rPr>
          <w:rFonts w:ascii="Times New Roman" w:hAnsi="Times New Roman" w:cs="Times New Roman"/>
        </w:rPr>
        <w:t>.</w:t>
      </w:r>
    </w:p>
    <w:p w:rsidR="006404FD" w:rsidRPr="00B223A5" w:rsidRDefault="006404FD" w:rsidP="006404FD">
      <w:pPr>
        <w:spacing w:after="0"/>
        <w:rPr>
          <w:rFonts w:ascii="Times New Roman" w:hAnsi="Times New Roman" w:cs="Times New Roman"/>
          <w:b/>
        </w:rPr>
      </w:pPr>
    </w:p>
    <w:p w:rsidR="006404FD" w:rsidRPr="00B223A5" w:rsidRDefault="006404FD" w:rsidP="006404FD">
      <w:pPr>
        <w:spacing w:after="0"/>
        <w:rPr>
          <w:rFonts w:ascii="Times New Roman" w:hAnsi="Times New Roman" w:cs="Times New Roman"/>
        </w:rPr>
      </w:pPr>
      <w:r w:rsidRPr="00837CC9">
        <w:rPr>
          <w:rFonts w:ascii="Times New Roman" w:hAnsi="Times New Roman" w:cs="Times New Roman"/>
          <w:b/>
        </w:rPr>
        <w:t>Competing Interests Declaration:</w:t>
      </w:r>
      <w:r w:rsidRPr="00837CC9">
        <w:rPr>
          <w:rFonts w:ascii="Times New Roman" w:hAnsi="Times New Roman" w:cs="Times New Roman"/>
        </w:rPr>
        <w:t xml:space="preserve"> Authors declare that they have no conflicts of interests to disclose.</w:t>
      </w:r>
    </w:p>
    <w:p w:rsidR="007136E7" w:rsidRPr="00B223A5" w:rsidRDefault="003D3DED" w:rsidP="006404FD">
      <w:pPr>
        <w:spacing w:after="0"/>
        <w:rPr>
          <w:rFonts w:ascii="Times New Roman" w:hAnsi="Times New Roman" w:cs="Times New Roman"/>
        </w:rPr>
      </w:pPr>
      <w:r w:rsidRPr="003D3DED">
        <w:rPr>
          <w:rFonts w:ascii="Times New Roman" w:hAnsi="Times New Roman" w:cs="Times New Roman"/>
        </w:rPr>
        <w:t xml:space="preserve"> </w:t>
      </w:r>
    </w:p>
    <w:p w:rsidR="007136E7" w:rsidRPr="00B223A5" w:rsidRDefault="007136E7">
      <w:pPr>
        <w:spacing w:after="0"/>
        <w:rPr>
          <w:rFonts w:ascii="Times New Roman" w:hAnsi="Times New Roman" w:cs="Times New Roman"/>
        </w:rPr>
      </w:pPr>
    </w:p>
    <w:p w:rsidR="007136E7" w:rsidRPr="00B223A5" w:rsidRDefault="007136E7">
      <w:pPr>
        <w:spacing w:after="0"/>
        <w:rPr>
          <w:rFonts w:ascii="Times New Roman" w:hAnsi="Times New Roman" w:cs="Times New Roman"/>
        </w:rPr>
        <w:sectPr w:rsidR="007136E7" w:rsidRPr="00B223A5">
          <w:pgSz w:w="11906" w:h="16838"/>
          <w:pgMar w:top="1417" w:right="1701" w:bottom="1417" w:left="1701" w:header="709" w:footer="709" w:gutter="0"/>
          <w:cols w:sep="1" w:space="708"/>
          <w:docGrid w:linePitch="360"/>
        </w:sectPr>
      </w:pPr>
    </w:p>
    <w:p w:rsidR="007136E7" w:rsidRDefault="004F7DAA">
      <w:pPr>
        <w:spacing w:after="0"/>
        <w:rPr>
          <w:rFonts w:ascii="Times New Roman" w:hAnsi="Times New Roman" w:cs="Times New Roman"/>
          <w:b/>
          <w:bCs/>
        </w:rPr>
      </w:pPr>
      <w:r w:rsidRPr="004F7DAA">
        <w:rPr>
          <w:rFonts w:ascii="Times New Roman" w:hAnsi="Times New Roman" w:cs="Times New Roman"/>
          <w:b/>
          <w:bCs/>
        </w:rPr>
        <w:lastRenderedPageBreak/>
        <w:t>REFERENCES</w:t>
      </w:r>
    </w:p>
    <w:p w:rsidR="00440888" w:rsidRPr="00B223A5" w:rsidRDefault="00440888">
      <w:pPr>
        <w:spacing w:after="0"/>
        <w:rPr>
          <w:rFonts w:ascii="Times New Roman" w:hAnsi="Times New Roman" w:cs="Times New Roman"/>
          <w:b/>
          <w:bCs/>
        </w:rPr>
      </w:pPr>
    </w:p>
    <w:p w:rsidR="00214C40" w:rsidRDefault="00381E2C" w:rsidP="00214C40">
      <w:pPr>
        <w:spacing w:after="240" w:line="360" w:lineRule="auto"/>
        <w:ind w:left="720" w:hanging="720"/>
        <w:rPr>
          <w:rFonts w:ascii="Times New Roman" w:hAnsi="Times New Roman" w:cs="Times New Roman"/>
        </w:rPr>
      </w:pPr>
      <w:r>
        <w:rPr>
          <w:rFonts w:ascii="Times New Roman" w:hAnsi="Times New Roman" w:cs="Times New Roman"/>
        </w:rPr>
        <w:fldChar w:fldCharType="begin"/>
      </w:r>
      <w:r w:rsidR="00440888">
        <w:rPr>
          <w:rFonts w:ascii="Times New Roman" w:hAnsi="Times New Roman" w:cs="Times New Roman"/>
        </w:rPr>
        <w:instrText xml:space="preserve"> ADDIN EN.REFLIST </w:instrText>
      </w:r>
      <w:r>
        <w:rPr>
          <w:rFonts w:ascii="Times New Roman" w:hAnsi="Times New Roman" w:cs="Times New Roman"/>
        </w:rPr>
        <w:fldChar w:fldCharType="separate"/>
      </w:r>
      <w:r w:rsidR="000D1B3C">
        <w:rPr>
          <w:rFonts w:ascii="Times New Roman" w:hAnsi="Times New Roman" w:cs="Times New Roman"/>
        </w:rPr>
        <w:t>Agyemang, C.,van Hooijdonk, C.,Wendel-Vos, W., et al., Ethnic differences in the effect of environmental stressors on blood pressure and hypertension in the Netherlands. BMC Public Health 2007;7:118.</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Almanza, E.,Jerrett, M.,Dunton, G., et al., A study of community design, greenness, and physical activity in children using satellite, GPS and accelerometer data. Health place 2012;18:46-54.</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Balci, M.M.,Acikel, S.,Akdemir, R., Low birth weight and increased cardiovascular risk: Fetal programming. Int J Cardiol 2010;144:110-111.</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Bell, M.L.,Belanger, K.,Ebisu, K., et al., Prenatal exposure to fine particulate matter and birth weight: variations by particulate constituents and sources. Epidemiology 2010;21:884-891.</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Bolte, G.,Tamburlini, G.,Kohlhuber, M., Environmental inequalities among children in Europe--evaluation of scientific evidence and policy implications. Eur J Public Health 2010;20:14-20.</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Both, M.I.,Overvest, M.A.,Wildhagen, M.F., et al., The association of daily physical activity and birth outcome: a population-based cohort study. Eur J Epidemiol 2010;26:421-429.</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Bowler, D.,Buyung-Ali, L.,Knight, T., et al., A systematic review of evidence for the added benefits to health of exposure to natural environments. BMC Public Health 2010;10:456.</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Dadvand, P.,de Nazelle, A.,Figueras, F., et al., Green space, health inequality and pregnancy. Environ Int 2012a;40:110-115.</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Dadvand , P.,de Nazelle, A.,Triguero-Mas, M., et al., Surrounding Greenness and Exposure to Air Pollution During Pregnancy: An Analysis of Personal Monitoring Data Environ Health Perspect 2012;120:1286-1290.</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lastRenderedPageBreak/>
        <w:t>Dadvand, P.,Parker, J.,Bell, M., et al., Particulate Air Pollution and Fetal Growth: A Multi-Country Evaluation of Effect and Heterogeneity. Environ Health Perspect 2013;121:267-373.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Dadvand, P.,Sunyer, J.,Basagaña, X., et al., Surrounding Greenness and Pregnancy Outcomes in Four Spanish Birth Cohorts. Environ Health Perspect 2012b;120:1481-1487.</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De Vries, S.,Verheij, R.A.,Groenewegen, P.P., et al., Natural environments-healthy environments? An exploratory analysis of the relationship between greenspace and health. Environ Plan A 2003;35:1717-1732.</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Donovan, G.H.,Michael, Y.L.,Butry, D.T., et al., Urban trees and the risk of poor birth outcomes. Health Place 2011;17:390-393.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 xml:space="preserve">European Environment Agency. 2007. Urban Atlas. Available: </w:t>
      </w:r>
      <w:hyperlink r:id="rId13" w:history="1">
        <w:r w:rsidRPr="000D1B3C">
          <w:rPr>
            <w:rStyle w:val="Hyperlink"/>
            <w:rFonts w:ascii="Times New Roman" w:hAnsi="Times New Roman" w:cs="Times New Roman"/>
          </w:rPr>
          <w:t>http://www.eea.europa.eu/data-and-maps/data/urban-atlas</w:t>
        </w:r>
      </w:hyperlink>
      <w:r>
        <w:rPr>
          <w:rFonts w:ascii="Times New Roman" w:hAnsi="Times New Roman" w:cs="Times New Roman"/>
        </w:rPr>
        <w:t xml:space="preserve"> [accessed February 10 2013].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 xml:space="preserve">Expert Group on the urban environment. 2001. Towards a Local Sustainability Profile - European Common Indicators. Available: </w:t>
      </w:r>
      <w:hyperlink r:id="rId14" w:history="1">
        <w:r w:rsidRPr="000D1B3C">
          <w:rPr>
            <w:rStyle w:val="Hyperlink"/>
            <w:rFonts w:ascii="Times New Roman" w:hAnsi="Times New Roman" w:cs="Times New Roman"/>
          </w:rPr>
          <w:t>http://ec.europa.eu/environment/urban/pdf/local_sustainability_en.pdf</w:t>
        </w:r>
      </w:hyperlink>
      <w:r>
        <w:rPr>
          <w:rFonts w:ascii="Times New Roman" w:hAnsi="Times New Roman" w:cs="Times New Roman"/>
        </w:rPr>
        <w:t xml:space="preserve"> [accessed January 7 2013].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Givoni, B., Impact of planted areas on urban environmental quality: a review. Atmospheric Environment Part B Urban Atmosphere 1991;25:289-299.</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Greenspace Scotland. Health Impact Assessment of greenspace A Guide. Eilidh Johnston. Stirling, Scotland: Greenspace Scotland; 2008.</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Grigsby-Toussaint, D.S.,Chi, S.-H.,Fiese, B.H., Where they live, how they play: Neighborhood greenness and outdoor physical activity among preschoolers. Int J Health Geogr 2011;10:66.</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Grote, N.K.,Bridge, J.A.,Gavin, A.R., et al., A Meta-analysis of Depression During Pregnancy and the Risk of Preterm Birth, Low Birth Weight, and Intrauterine Growth Restriction. Arch Gen Psychiatry 2010;67:1012-1024.</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lastRenderedPageBreak/>
        <w:t>Huxley, R.,Owen, C.G.,Whincup, P.H., et al., Is birth weight a risk factor for ischemic heart disease in later life? Am J Clin Nutr 2007;85:1244.</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Lachowycz, K.,Jones, A.P., Greenspace and obesity: a systematic review of the evidence. Obes Rev 2011;12:e183-e189.</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Laurent, O.,Wu, J.,Li, L., et al., Green spaces and pregnancy outcomes in Southern California. Health Place 2013;24:190-195.</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Lee, A.C.,Maheswaran, R., The health benefits of urban green spaces: a review of the evidence. J Public Health (Oxf) 2011;33:212-222.</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Leiferman, J.,Evenson, K., The Effect of Regular Leisure Physical Activity on Birth Outcomes. Matern Child Health J 2003;7:59-64.</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Lovasi, G.,Jacobson, J.,Quinn, J., et al., Is the Environment Near Home and School Associated with Physical Activity and Adiposity of Urban Preschool Children? J Urban Health 2011;88:1143-1157.</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Lovasi, G.S.,O'Neil-Dunne, J.P.M.,Lu, J.W.T., et al., Urban Tree Canopy and Asthma, Wheeze, Rhinitis, and Allergic Sensitization to Tree Pollen in a New York City Birth Cohort. Environ Health Perspect 2013;doi:10.1289/ehp.1205513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Maas, J.; 2008. Vitamin G: Green environments-Healthy environments. Utrecht: Nivel.</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Maas, J.,Verheij, R.A.,de Vries, S., et al., Morbidity is related to a green living environment. J Epidemiol Community Health 2009;63:967-973.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Markevych, I.,Fuertes, E.,Tiesler, C.M.T., et al., Surrounding greenness and birth weight: Results from the GINIplus and LISAplus birth cohorts in Munich. Health place 2014;26:39-46.</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McCormack, G.R.,Rock, M.,Toohey, A.M., et al., Characteristics of urban parks associated with park use and physical activity: A review of qualitative research. Health Place 2010;16:712-726.</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 xml:space="preserve">McLennan, D.,Barnes, H.,Noble, M., et al. 2011. The English Indices of Deprivation 2010. Available: </w:t>
      </w:r>
      <w:r>
        <w:rPr>
          <w:rFonts w:ascii="Times New Roman" w:hAnsi="Times New Roman" w:cs="Times New Roman"/>
        </w:rPr>
        <w:lastRenderedPageBreak/>
        <w:t>https://</w:t>
      </w:r>
      <w:hyperlink r:id="rId15" w:history="1">
        <w:r w:rsidRPr="000D1B3C">
          <w:rPr>
            <w:rStyle w:val="Hyperlink"/>
            <w:rFonts w:ascii="Times New Roman" w:hAnsi="Times New Roman" w:cs="Times New Roman"/>
          </w:rPr>
          <w:t>www.gov.uk/government/uploads/system/uploads/attachment_data/file/6320/1870718.pdf</w:t>
        </w:r>
      </w:hyperlink>
      <w:r>
        <w:rPr>
          <w:rFonts w:ascii="Times New Roman" w:hAnsi="Times New Roman" w:cs="Times New Roman"/>
        </w:rPr>
        <w:t xml:space="preserve"> [accessed July 2 2013].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Mitchell, R.,Popham, F., Effect of exposure to natural environment on health inequalities: an observational population study. Lancet 2008;372:1655-1660.</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Morris, N. Black and Minority Ethnic groups and public open space-Literature Review. Edinburgh OPENspace Research Centre, Edinburgh Unversity/Heriot Watt University; 2003.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Natural England. Monitor of engagement with the natural environment: the national survey on people and the natural environment. Natural England Commissioned Reports. Sheffield Natural England; 2013.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Nieuwenhuijsen, M.J.,Hanneke, K.,Gidlow, C., et al., Positive health effects of the natural outdoor environment  in typical populations in different regions in Europe (PHENOTYPE). Environ Health Perspect Submitted</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 xml:space="preserve">Office for National Statistics. 2012. 2011 Census, Population and Household Estimates for Small Areas in England and Wales. Available: </w:t>
      </w:r>
      <w:hyperlink r:id="rId16" w:history="1">
        <w:r w:rsidRPr="000D1B3C">
          <w:rPr>
            <w:rStyle w:val="Hyperlink"/>
            <w:rFonts w:ascii="Times New Roman" w:hAnsi="Times New Roman" w:cs="Times New Roman"/>
          </w:rPr>
          <w:t>http://www.ons.gov.uk/ons/dcp171778_288463.pdf</w:t>
        </w:r>
      </w:hyperlink>
      <w:r>
        <w:rPr>
          <w:rFonts w:ascii="Times New Roman" w:hAnsi="Times New Roman" w:cs="Times New Roman"/>
        </w:rPr>
        <w:t xml:space="preserve"> [accessed July 2 2013].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Pickett, K.E.,Pearl, M., Multilevel analyses of neighbourhood socioeconomic context and health outcomes: a critical review. J Epidemiol Community Health 2001;55:111-122.</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Poudevigne, M.S.,Oconnor, P.J., A review of physical activity patterns in pregnant women and their relationship to psychological health. Sports Med 2006;36:19-38.</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Rhew, I.C.,Vander Stoep, A.,Kearney, A., et al., Validation of the Normalized Difference Vegetation Index as a measure of neighborhood greenness. Ann Epidemiol 2011;21:946-952.</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Rondo, P.H.C.,Ferreira, R.F.,Nogueira, F., et al., Maternal psychological stress and distress as predictors of low birth weight, prematurity and intrauterine growth retardation. Eur J Clin Nutr 2003;57:266-272.</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lastRenderedPageBreak/>
        <w:t>Ross, C.,Mirowsky, J., Neighborhood Socioeconomic Status and Health: Context or Composition? City and Community 2008;7:163-179.</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Sapkota, A.,Chelikowsky, A.P.,Nachman, K.E., et al., Exposure to particulate matter and adverse birth outcomes: a comprehensive review and meta-analysis. Air Qual Atmos Health 2010;DOI 10.1007/s11869-010-0106-3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Schwanen, T.,Dijst, M.,Dieleman, F.M., A microlevel analysis of residential context and travel time. Environ Plan A 2002;34:1487-1508.</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Su, J.G.,Jerrett, M.,de Nazelle, A., et al., Does exposure to air pollution in urban parks have socioeconomic, racial or ethnic gradients? Environ Res 2011;111:319-328.</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US Geology Survey. 2011. Global Visualization Viewer. Available: https://lpdaac.usgs.gov/get_data/glovis [accessed 15 January 2012].</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 xml:space="preserve">Weier, J.,Herring, D. 2011. Measuring vegetation (NDVI &amp; EVI). Available: </w:t>
      </w:r>
      <w:hyperlink r:id="rId17" w:history="1">
        <w:r w:rsidRPr="000D1B3C">
          <w:rPr>
            <w:rStyle w:val="Hyperlink"/>
            <w:rFonts w:ascii="Times New Roman" w:hAnsi="Times New Roman" w:cs="Times New Roman"/>
          </w:rPr>
          <w:t>http://earthobservatory.nasa.gov/Features/MeasuringVegetation/</w:t>
        </w:r>
      </w:hyperlink>
      <w:r>
        <w:rPr>
          <w:rFonts w:ascii="Times New Roman" w:hAnsi="Times New Roman" w:cs="Times New Roman"/>
        </w:rPr>
        <w:t xml:space="preserve"> [accessed 17 November, 2013.</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White, S.L.,Perkovic, V.,Cass, A., et al., Is Low Birth Weight an Antecedent of CKD in Later Life? A Systematic Review of Observational Studies. Am J Kidney Dis 2009;54:248-261.</w:t>
      </w:r>
    </w:p>
    <w:p w:rsidR="00214C40" w:rsidRDefault="000D1B3C" w:rsidP="00214C40">
      <w:pPr>
        <w:spacing w:after="240" w:line="360" w:lineRule="auto"/>
        <w:ind w:left="720" w:hanging="720"/>
        <w:rPr>
          <w:rFonts w:ascii="Times New Roman" w:hAnsi="Times New Roman" w:cs="Times New Roman"/>
        </w:rPr>
      </w:pPr>
      <w:r>
        <w:rPr>
          <w:rFonts w:ascii="Times New Roman" w:hAnsi="Times New Roman" w:cs="Times New Roman"/>
        </w:rPr>
        <w:t>Woodruff, T.J.,Parker, J.D.,Adams, K., et al., International collaboration on air pollution and pregnancy outcomes (ICAPPO). Int J Environ Res Public Health 2010;7:2638-2652.</w:t>
      </w:r>
    </w:p>
    <w:p w:rsidR="000D1B3C" w:rsidRDefault="000D1B3C" w:rsidP="000D1B3C">
      <w:pPr>
        <w:spacing w:after="0" w:line="360" w:lineRule="auto"/>
        <w:ind w:left="720" w:hanging="720"/>
        <w:rPr>
          <w:rFonts w:ascii="Times New Roman" w:hAnsi="Times New Roman" w:cs="Times New Roman"/>
        </w:rPr>
      </w:pPr>
      <w:r>
        <w:rPr>
          <w:rFonts w:ascii="Times New Roman" w:hAnsi="Times New Roman" w:cs="Times New Roman"/>
        </w:rPr>
        <w:t>Wright, J.,Small, N.,Raynor, P., et al., Cohort profile: The Born in Bradford multi-ethnic family cohort study. Int J Epidemiol 2013;42:978-991.</w:t>
      </w:r>
    </w:p>
    <w:p w:rsidR="00214C40" w:rsidRDefault="00214C40" w:rsidP="00214C40">
      <w:pPr>
        <w:spacing w:after="0" w:line="360" w:lineRule="auto"/>
        <w:rPr>
          <w:rFonts w:ascii="Times New Roman" w:hAnsi="Times New Roman" w:cs="Times New Roman"/>
        </w:rPr>
      </w:pPr>
    </w:p>
    <w:p w:rsidR="00214C40" w:rsidRDefault="00381E2C">
      <w:pPr>
        <w:spacing w:after="0" w:line="360" w:lineRule="auto"/>
        <w:ind w:left="720" w:hanging="720"/>
        <w:rPr>
          <w:rFonts w:ascii="Times New Roman" w:hAnsi="Times New Roman" w:cs="Times New Roman"/>
        </w:rPr>
      </w:pPr>
      <w:r>
        <w:rPr>
          <w:rFonts w:ascii="Times New Roman" w:hAnsi="Times New Roman" w:cs="Times New Roman"/>
        </w:rPr>
        <w:fldChar w:fldCharType="end"/>
      </w:r>
    </w:p>
    <w:p w:rsidR="007136E7" w:rsidRPr="00F71B45" w:rsidRDefault="007136E7">
      <w:pPr>
        <w:spacing w:after="0"/>
        <w:rPr>
          <w:rFonts w:ascii="Times New Roman" w:hAnsi="Times New Roman" w:cs="Times New Roman"/>
        </w:rPr>
      </w:pPr>
    </w:p>
    <w:p w:rsidR="007136E7" w:rsidRPr="00B223A5" w:rsidRDefault="007136E7">
      <w:pPr>
        <w:spacing w:after="0"/>
        <w:ind w:left="720" w:hanging="720"/>
        <w:rPr>
          <w:rFonts w:ascii="Times New Roman" w:hAnsi="Times New Roman" w:cs="Times New Roman"/>
        </w:rPr>
      </w:pPr>
    </w:p>
    <w:p w:rsidR="007136E7" w:rsidRPr="00B223A5" w:rsidRDefault="007136E7">
      <w:pPr>
        <w:spacing w:after="0"/>
        <w:ind w:left="720" w:hanging="720"/>
        <w:rPr>
          <w:rFonts w:ascii="Times New Roman" w:hAnsi="Times New Roman" w:cs="Times New Roman"/>
        </w:rPr>
        <w:sectPr w:rsidR="007136E7" w:rsidRPr="00B223A5">
          <w:footerReference w:type="default" r:id="rId18"/>
          <w:pgSz w:w="11906" w:h="16838"/>
          <w:pgMar w:top="1417" w:right="1701" w:bottom="1417" w:left="1701" w:header="709" w:footer="709" w:gutter="0"/>
          <w:cols w:sep="1" w:space="708"/>
          <w:docGrid w:linePitch="360"/>
        </w:sectPr>
      </w:pPr>
    </w:p>
    <w:p w:rsidR="0078358F" w:rsidRDefault="003D3DED">
      <w:pPr>
        <w:spacing w:after="0" w:line="360" w:lineRule="auto"/>
        <w:rPr>
          <w:rFonts w:ascii="Times New Roman" w:hAnsi="Times New Roman" w:cs="Times New Roman"/>
          <w:sz w:val="22"/>
        </w:rPr>
      </w:pPr>
      <w:r w:rsidRPr="003D3DED">
        <w:rPr>
          <w:rFonts w:ascii="Times New Roman" w:hAnsi="Times New Roman" w:cs="Times New Roman"/>
          <w:b/>
          <w:bCs/>
          <w:sz w:val="22"/>
        </w:rPr>
        <w:lastRenderedPageBreak/>
        <w:t>Table 1.</w:t>
      </w:r>
      <w:r w:rsidRPr="003D3DED">
        <w:rPr>
          <w:rFonts w:ascii="Times New Roman" w:hAnsi="Times New Roman" w:cs="Times New Roman"/>
          <w:sz w:val="22"/>
        </w:rPr>
        <w:t xml:space="preserve"> Characteristics of study </w:t>
      </w:r>
      <w:r w:rsidR="00D23C99">
        <w:rPr>
          <w:rFonts w:ascii="Times New Roman" w:hAnsi="Times New Roman" w:cs="Times New Roman"/>
          <w:sz w:val="22"/>
        </w:rPr>
        <w:t>participant</w:t>
      </w:r>
      <w:r w:rsidRPr="003D3DED">
        <w:rPr>
          <w:rFonts w:ascii="Times New Roman" w:hAnsi="Times New Roman" w:cs="Times New Roman"/>
          <w:sz w:val="22"/>
        </w:rPr>
        <w:t>s. Results are presented as count (%) for categorical variables and as median (interquartile range) for continuous variables.</w:t>
      </w:r>
    </w:p>
    <w:p w:rsidR="00F1671E" w:rsidRDefault="00F1671E">
      <w:pPr>
        <w:spacing w:after="0" w:line="360" w:lineRule="auto"/>
        <w:rPr>
          <w:rFonts w:ascii="Times New Roman" w:hAnsi="Times New Roman" w:cs="Times New Roman"/>
          <w:sz w:val="22"/>
        </w:rPr>
      </w:pPr>
    </w:p>
    <w:tbl>
      <w:tblPr>
        <w:tblStyle w:val="TableGrid"/>
        <w:tblW w:w="102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1529"/>
        <w:gridCol w:w="1559"/>
        <w:gridCol w:w="1791"/>
        <w:gridCol w:w="1843"/>
      </w:tblGrid>
      <w:tr w:rsidR="00F1671E" w:rsidRPr="00F1671E" w:rsidTr="00206BA2">
        <w:trPr>
          <w:trHeight w:val="495"/>
          <w:jc w:val="center"/>
        </w:trPr>
        <w:tc>
          <w:tcPr>
            <w:tcW w:w="3496" w:type="dxa"/>
            <w:tcBorders>
              <w:top w:val="single" w:sz="24" w:space="0" w:color="4F81BD"/>
              <w:bottom w:val="single" w:sz="12" w:space="0" w:color="4F81BD"/>
            </w:tcBorders>
            <w:noWrap/>
          </w:tcPr>
          <w:p w:rsidR="00F1671E" w:rsidRPr="00F1671E" w:rsidRDefault="00F1671E" w:rsidP="00F1671E">
            <w:pPr>
              <w:spacing w:line="276" w:lineRule="auto"/>
              <w:ind w:left="720" w:hanging="720"/>
              <w:rPr>
                <w:rFonts w:ascii="Times New Roman" w:hAnsi="Times New Roman" w:cs="Times New Roman"/>
              </w:rPr>
            </w:pPr>
          </w:p>
        </w:tc>
        <w:tc>
          <w:tcPr>
            <w:tcW w:w="1529" w:type="dxa"/>
            <w:tcBorders>
              <w:top w:val="single" w:sz="24" w:space="0" w:color="4F81BD"/>
              <w:bottom w:val="single" w:sz="12" w:space="0" w:color="4F81BD"/>
            </w:tcBorders>
          </w:tcPr>
          <w:p w:rsidR="00F1671E" w:rsidRPr="00F1671E" w:rsidRDefault="00F1671E" w:rsidP="00F1671E">
            <w:pPr>
              <w:spacing w:line="276" w:lineRule="auto"/>
              <w:ind w:left="720" w:hanging="720"/>
              <w:jc w:val="center"/>
              <w:rPr>
                <w:rFonts w:ascii="Times New Roman" w:hAnsi="Times New Roman" w:cs="Times New Roman"/>
                <w:b/>
                <w:bCs/>
              </w:rPr>
            </w:pPr>
            <w:r w:rsidRPr="00F1671E">
              <w:rPr>
                <w:rFonts w:ascii="Times New Roman" w:hAnsi="Times New Roman" w:cs="Times New Roman"/>
                <w:b/>
                <w:bCs/>
              </w:rPr>
              <w:t>Total</w:t>
            </w:r>
          </w:p>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(N=</w:t>
            </w:r>
            <w:r w:rsidR="00CD3E97">
              <w:rPr>
                <w:rFonts w:ascii="Times New Roman" w:hAnsi="Times New Roman" w:cs="Times New Roman"/>
              </w:rPr>
              <w:t>10,780</w:t>
            </w:r>
            <w:r w:rsidRPr="00F1671E">
              <w:rPr>
                <w:rFonts w:ascii="Times New Roman" w:hAnsi="Times New Roman" w:cs="Times New Roman"/>
              </w:rPr>
              <w:t>)</w:t>
            </w:r>
          </w:p>
        </w:tc>
        <w:tc>
          <w:tcPr>
            <w:tcW w:w="1559" w:type="dxa"/>
            <w:tcBorders>
              <w:top w:val="single" w:sz="24" w:space="0" w:color="4F81BD"/>
              <w:bottom w:val="single" w:sz="12" w:space="0" w:color="4F81BD"/>
            </w:tcBorders>
          </w:tcPr>
          <w:p w:rsidR="00F1671E" w:rsidRPr="00F1671E" w:rsidRDefault="00F1671E" w:rsidP="00F1671E">
            <w:pPr>
              <w:spacing w:line="276" w:lineRule="auto"/>
              <w:ind w:right="-25"/>
              <w:jc w:val="center"/>
              <w:rPr>
                <w:rFonts w:ascii="Times New Roman" w:hAnsi="Times New Roman" w:cs="Times New Roman"/>
                <w:b/>
                <w:bCs/>
              </w:rPr>
            </w:pPr>
            <w:r w:rsidRPr="00F1671E">
              <w:rPr>
                <w:rFonts w:ascii="Times New Roman" w:hAnsi="Times New Roman" w:cs="Times New Roman"/>
                <w:b/>
                <w:bCs/>
              </w:rPr>
              <w:t>White British</w:t>
            </w:r>
          </w:p>
          <w:p w:rsidR="00F1671E" w:rsidRPr="00F1671E" w:rsidRDefault="00F1671E" w:rsidP="00F1671E">
            <w:pPr>
              <w:spacing w:line="276" w:lineRule="auto"/>
              <w:ind w:right="-147"/>
              <w:jc w:val="center"/>
              <w:rPr>
                <w:rFonts w:ascii="Times New Roman" w:hAnsi="Times New Roman" w:cs="Times New Roman"/>
              </w:rPr>
            </w:pPr>
            <w:r w:rsidRPr="00F1671E">
              <w:rPr>
                <w:rFonts w:ascii="Times New Roman" w:hAnsi="Times New Roman" w:cs="Times New Roman"/>
              </w:rPr>
              <w:t>(N=4</w:t>
            </w:r>
            <w:r w:rsidR="00CD3E97">
              <w:rPr>
                <w:rFonts w:ascii="Times New Roman" w:hAnsi="Times New Roman" w:cs="Times New Roman"/>
              </w:rPr>
              <w:t>,</w:t>
            </w:r>
            <w:r w:rsidRPr="00F1671E">
              <w:rPr>
                <w:rFonts w:ascii="Times New Roman" w:hAnsi="Times New Roman" w:cs="Times New Roman"/>
              </w:rPr>
              <w:t>283)</w:t>
            </w:r>
          </w:p>
        </w:tc>
        <w:tc>
          <w:tcPr>
            <w:tcW w:w="1791" w:type="dxa"/>
            <w:tcBorders>
              <w:top w:val="single" w:sz="24" w:space="0" w:color="4F81BD"/>
              <w:bottom w:val="single" w:sz="12" w:space="0" w:color="4F81BD"/>
            </w:tcBorders>
          </w:tcPr>
          <w:p w:rsidR="00F1671E" w:rsidRPr="00F1671E" w:rsidRDefault="00F1671E" w:rsidP="00F1671E">
            <w:pPr>
              <w:spacing w:line="276" w:lineRule="auto"/>
              <w:ind w:left="720" w:right="-162" w:hanging="720"/>
              <w:jc w:val="center"/>
              <w:rPr>
                <w:rFonts w:ascii="Times New Roman" w:hAnsi="Times New Roman" w:cs="Times New Roman"/>
                <w:b/>
                <w:bCs/>
              </w:rPr>
            </w:pPr>
            <w:r w:rsidRPr="00F1671E">
              <w:rPr>
                <w:rFonts w:ascii="Times New Roman" w:hAnsi="Times New Roman" w:cs="Times New Roman"/>
                <w:b/>
                <w:bCs/>
              </w:rPr>
              <w:t>Pakistani Origin</w:t>
            </w:r>
          </w:p>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(N=4</w:t>
            </w:r>
            <w:r w:rsidR="00CD3E97">
              <w:rPr>
                <w:rFonts w:ascii="Times New Roman" w:hAnsi="Times New Roman" w:cs="Times New Roman"/>
              </w:rPr>
              <w:t>,</w:t>
            </w:r>
            <w:r w:rsidRPr="00F1671E">
              <w:rPr>
                <w:rFonts w:ascii="Times New Roman" w:hAnsi="Times New Roman" w:cs="Times New Roman"/>
              </w:rPr>
              <w:t>889)</w:t>
            </w:r>
          </w:p>
        </w:tc>
        <w:tc>
          <w:tcPr>
            <w:tcW w:w="1843" w:type="dxa"/>
            <w:tcBorders>
              <w:top w:val="single" w:sz="24" w:space="0" w:color="4F81BD"/>
              <w:bottom w:val="single" w:sz="12" w:space="0" w:color="4F81BD"/>
            </w:tcBorders>
          </w:tcPr>
          <w:p w:rsidR="00F1671E" w:rsidRPr="00F1671E" w:rsidRDefault="00F1671E" w:rsidP="00F1671E">
            <w:pPr>
              <w:spacing w:line="276" w:lineRule="auto"/>
              <w:ind w:left="598" w:hanging="598"/>
              <w:jc w:val="center"/>
              <w:rPr>
                <w:rFonts w:ascii="Times New Roman" w:hAnsi="Times New Roman" w:cs="Times New Roman"/>
                <w:b/>
                <w:bCs/>
              </w:rPr>
            </w:pPr>
            <w:r w:rsidRPr="00F1671E">
              <w:rPr>
                <w:rFonts w:ascii="Times New Roman" w:hAnsi="Times New Roman" w:cs="Times New Roman"/>
                <w:b/>
                <w:bCs/>
              </w:rPr>
              <w:t>Other Ethnic Groups</w:t>
            </w:r>
          </w:p>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(N=1</w:t>
            </w:r>
            <w:r w:rsidR="00CD3E97">
              <w:rPr>
                <w:rFonts w:ascii="Times New Roman" w:hAnsi="Times New Roman" w:cs="Times New Roman"/>
              </w:rPr>
              <w:t>,</w:t>
            </w:r>
            <w:r w:rsidRPr="00F1671E">
              <w:rPr>
                <w:rFonts w:ascii="Times New Roman" w:hAnsi="Times New Roman" w:cs="Times New Roman"/>
              </w:rPr>
              <w:t>608)</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b/>
                <w:bCs/>
              </w:rPr>
            </w:pPr>
            <w:r w:rsidRPr="00F1671E">
              <w:rPr>
                <w:rFonts w:ascii="Times New Roman" w:hAnsi="Times New Roman" w:cs="Times New Roman"/>
                <w:b/>
                <w:bCs/>
              </w:rPr>
              <w:t>Gestational age (week)</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39.9 (1.9)</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40.0 (1.9)</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39.7 (1.9)</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39.9 (2.0)</w:t>
            </w:r>
          </w:p>
        </w:tc>
      </w:tr>
      <w:tr w:rsidR="00F1671E" w:rsidRPr="00F1671E" w:rsidTr="00206BA2">
        <w:trPr>
          <w:trHeight w:val="300"/>
          <w:jc w:val="center"/>
        </w:trPr>
        <w:tc>
          <w:tcPr>
            <w:tcW w:w="3496" w:type="dxa"/>
            <w:shd w:val="clear" w:color="auto" w:fill="FFFFFF"/>
            <w:noWrap/>
          </w:tcPr>
          <w:p w:rsidR="00F1671E" w:rsidRPr="00F1671E" w:rsidRDefault="00F1671E" w:rsidP="00F1671E">
            <w:pPr>
              <w:spacing w:line="276" w:lineRule="auto"/>
              <w:ind w:left="720" w:hanging="720"/>
              <w:rPr>
                <w:rFonts w:ascii="Times New Roman" w:hAnsi="Times New Roman" w:cs="Times New Roman"/>
                <w:b/>
                <w:bCs/>
              </w:rPr>
            </w:pPr>
            <w:r w:rsidRPr="00F1671E">
              <w:rPr>
                <w:rFonts w:ascii="Times New Roman" w:hAnsi="Times New Roman" w:cs="Times New Roman"/>
                <w:b/>
                <w:bCs/>
              </w:rPr>
              <w:t>Sex</w:t>
            </w:r>
          </w:p>
        </w:tc>
        <w:tc>
          <w:tcPr>
            <w:tcW w:w="1529"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shd w:val="clear" w:color="auto" w:fill="FFFFFF"/>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Female</w:t>
            </w:r>
          </w:p>
        </w:tc>
        <w:tc>
          <w:tcPr>
            <w:tcW w:w="1529"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5240 (48.6%)</w:t>
            </w:r>
          </w:p>
        </w:tc>
        <w:tc>
          <w:tcPr>
            <w:tcW w:w="1559"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2063 (48.2%)</w:t>
            </w:r>
          </w:p>
        </w:tc>
        <w:tc>
          <w:tcPr>
            <w:tcW w:w="1791"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2394 (49%)</w:t>
            </w:r>
          </w:p>
        </w:tc>
        <w:tc>
          <w:tcPr>
            <w:tcW w:w="1843"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783(48.7%)</w:t>
            </w:r>
          </w:p>
        </w:tc>
      </w:tr>
      <w:tr w:rsidR="00F1671E" w:rsidRPr="00F1671E" w:rsidTr="00206BA2">
        <w:trPr>
          <w:trHeight w:val="300"/>
          <w:jc w:val="center"/>
        </w:trPr>
        <w:tc>
          <w:tcPr>
            <w:tcW w:w="3496" w:type="dxa"/>
            <w:shd w:val="clear" w:color="auto" w:fill="FFFFFF"/>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Male</w:t>
            </w:r>
          </w:p>
        </w:tc>
        <w:tc>
          <w:tcPr>
            <w:tcW w:w="1529"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5540 (51.4%)</w:t>
            </w:r>
          </w:p>
        </w:tc>
        <w:tc>
          <w:tcPr>
            <w:tcW w:w="1559"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2220 (51.8%)</w:t>
            </w:r>
          </w:p>
        </w:tc>
        <w:tc>
          <w:tcPr>
            <w:tcW w:w="1791"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2495 (51%)</w:t>
            </w:r>
          </w:p>
        </w:tc>
        <w:tc>
          <w:tcPr>
            <w:tcW w:w="1843" w:type="dxa"/>
            <w:shd w:val="clear" w:color="auto" w:fill="FFFFFF"/>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825 (51.3%)</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b/>
                <w:bCs/>
              </w:rPr>
            </w:pPr>
            <w:r w:rsidRPr="00F1671E">
              <w:rPr>
                <w:rFonts w:ascii="Times New Roman" w:hAnsi="Times New Roman" w:cs="Times New Roman"/>
                <w:b/>
                <w:bCs/>
              </w:rPr>
              <w:t>Parity</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0</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4255 (41.0%)</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2007 (48.4%)</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1503 (32.1%)</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745 (48.2%)</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1</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2998 (28.9%)</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1297 (31.3%)</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1246 (26.6%)</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455 (29.4%)</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3118 (30.1%)</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839 (20.3%)</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1934 (41.3%)</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345 (22.3%)</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Missing</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409</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140</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206</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63</w:t>
            </w:r>
          </w:p>
        </w:tc>
      </w:tr>
      <w:tr w:rsidR="00F1671E" w:rsidRPr="00F1671E" w:rsidTr="00206BA2">
        <w:trPr>
          <w:trHeight w:val="300"/>
          <w:jc w:val="center"/>
        </w:trPr>
        <w:tc>
          <w:tcPr>
            <w:tcW w:w="3496" w:type="dxa"/>
            <w:noWrap/>
          </w:tcPr>
          <w:p w:rsidR="00F1671E" w:rsidRPr="00F1671E" w:rsidRDefault="00F1671E" w:rsidP="009E6092">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Maternal </w:t>
            </w:r>
            <w:r w:rsidR="009E6092">
              <w:rPr>
                <w:rFonts w:ascii="Times New Roman" w:hAnsi="Times New Roman" w:cs="Times New Roman"/>
                <w:b/>
                <w:bCs/>
              </w:rPr>
              <w:t>a</w:t>
            </w:r>
            <w:r w:rsidR="009E6092" w:rsidRPr="00F1671E">
              <w:rPr>
                <w:rFonts w:ascii="Times New Roman" w:hAnsi="Times New Roman" w:cs="Times New Roman"/>
                <w:b/>
                <w:bCs/>
              </w:rPr>
              <w:t xml:space="preserve">ge </w:t>
            </w:r>
            <w:r w:rsidRPr="00F1671E">
              <w:rPr>
                <w:rFonts w:ascii="Times New Roman" w:hAnsi="Times New Roman" w:cs="Times New Roman"/>
                <w:b/>
                <w:bCs/>
              </w:rPr>
              <w:t>(year)</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&lt;20</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592 (5.5%)</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437 (10.2%)</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94 (1.9%)</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61 (3.8%)</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≥20 &amp; &lt;25</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2697 (25.1%)</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1157 (27.1%)</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1221 (25.0%)</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319 (19.9%)</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≥25 &amp; &lt;30</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3505 (32.6%)</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1210 (28.3%)</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1734 (35.5%)</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561 (34.9%)</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≥30 &amp; &lt;35</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2517 (23.4%)</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884 (20.7%)</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1198 (24.5%)</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435 (27.1%)</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≥35 &amp; 40</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1180 (11.0%)</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473 (11.1%)</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515 (10.6%)</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192 (12.0%)</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≥40</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269 (2.5%)</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113 (2.6%)</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118 (2.4%)</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38 (2.4%)</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Missing</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9</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9</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w:t>
            </w:r>
          </w:p>
        </w:tc>
      </w:tr>
      <w:tr w:rsidR="00F1671E" w:rsidRPr="00F1671E" w:rsidTr="00206BA2">
        <w:trPr>
          <w:trHeight w:val="300"/>
          <w:jc w:val="center"/>
        </w:trPr>
        <w:tc>
          <w:tcPr>
            <w:tcW w:w="3496" w:type="dxa"/>
            <w:shd w:val="clear" w:color="auto" w:fill="C6D9F1"/>
            <w:noWrap/>
          </w:tcPr>
          <w:p w:rsidR="00F1671E" w:rsidRPr="00F1671E" w:rsidRDefault="00F1671E" w:rsidP="009E6092">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Maternal </w:t>
            </w:r>
            <w:r w:rsidR="009E6092">
              <w:rPr>
                <w:rFonts w:ascii="Times New Roman" w:hAnsi="Times New Roman" w:cs="Times New Roman"/>
                <w:b/>
                <w:bCs/>
              </w:rPr>
              <w:t>e</w:t>
            </w:r>
            <w:r w:rsidR="009E6092" w:rsidRPr="00F1671E">
              <w:rPr>
                <w:rFonts w:ascii="Times New Roman" w:hAnsi="Times New Roman" w:cs="Times New Roman"/>
                <w:b/>
                <w:bCs/>
              </w:rPr>
              <w:t xml:space="preserve">ducation </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Less than five GCSEs</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2333 (21.6%)</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854 (19.9%)</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1270 (26.0%)</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209 (13.0%)</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Five GCSE or A level equivalent</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4880 (45.3%)</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2188 (51.1%)</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2144 (43.9%)</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548 (34.1%)</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higher than A level equivalent</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2745 (25.5%)</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831 (19.4%)</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1262 (25.8%)</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652 (40.5%)</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Other</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822 (7.6%)</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410 (9.6%)</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213 (4.4%)</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199 (12.4%)</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IMD score  (2010) </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b/>
                <w:bCs/>
              </w:rPr>
              <w:t xml:space="preserve">     </w:t>
            </w:r>
            <w:r w:rsidRPr="00F1671E">
              <w:rPr>
                <w:rFonts w:ascii="Times New Roman" w:hAnsi="Times New Roman" w:cs="Times New Roman"/>
              </w:rPr>
              <w:t>First tertile (Least deprived)</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3530 (32.8%)</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2060 (48.2%)</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972 (19.9%)</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498 (31.1%)</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b/>
                <w:bCs/>
              </w:rPr>
              <w:t xml:space="preserve">     </w:t>
            </w:r>
            <w:r w:rsidRPr="00F1671E">
              <w:rPr>
                <w:rFonts w:ascii="Times New Roman" w:hAnsi="Times New Roman" w:cs="Times New Roman"/>
              </w:rPr>
              <w:t xml:space="preserve">Second tertile </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3528 (32.8%)</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1095 (25.6%)</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1937 (39.7%)</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496 (30.9%)</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b/>
                <w:bCs/>
              </w:rPr>
              <w:t xml:space="preserve">     </w:t>
            </w:r>
            <w:r w:rsidRPr="00F1671E">
              <w:rPr>
                <w:rFonts w:ascii="Times New Roman" w:hAnsi="Times New Roman" w:cs="Times New Roman"/>
              </w:rPr>
              <w:t>Third tertile (Most deprived)</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3701 (34.4%)</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1120 (26.2)</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1971 (40.4%)</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610 (38.0%)</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b/>
                <w:bCs/>
              </w:rPr>
              <w:t xml:space="preserve">     </w:t>
            </w:r>
            <w:r w:rsidRPr="00F1671E">
              <w:rPr>
                <w:rFonts w:ascii="Times New Roman" w:hAnsi="Times New Roman" w:cs="Times New Roman"/>
              </w:rPr>
              <w:t>Missing</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21</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9</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w:t>
            </w:r>
          </w:p>
        </w:tc>
      </w:tr>
      <w:tr w:rsidR="00F1671E" w:rsidRPr="00F1671E" w:rsidTr="00206BA2">
        <w:trPr>
          <w:trHeight w:val="300"/>
          <w:jc w:val="center"/>
        </w:trPr>
        <w:tc>
          <w:tcPr>
            <w:tcW w:w="3496" w:type="dxa"/>
            <w:shd w:val="clear" w:color="auto" w:fill="C6D9F1"/>
            <w:noWrap/>
          </w:tcPr>
          <w:p w:rsidR="00F1671E" w:rsidRPr="00F1671E" w:rsidRDefault="00F1671E" w:rsidP="009E6092">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Maternal </w:t>
            </w:r>
            <w:r w:rsidR="009E6092">
              <w:rPr>
                <w:rFonts w:ascii="Times New Roman" w:hAnsi="Times New Roman" w:cs="Times New Roman"/>
                <w:b/>
                <w:bCs/>
              </w:rPr>
              <w:t>b</w:t>
            </w:r>
            <w:r w:rsidR="009E6092" w:rsidRPr="00F1671E">
              <w:rPr>
                <w:rFonts w:ascii="Times New Roman" w:hAnsi="Times New Roman" w:cs="Times New Roman"/>
                <w:b/>
                <w:bCs/>
              </w:rPr>
              <w:t xml:space="preserve">ody </w:t>
            </w:r>
            <w:r w:rsidR="009E6092">
              <w:rPr>
                <w:rFonts w:ascii="Times New Roman" w:hAnsi="Times New Roman" w:cs="Times New Roman"/>
                <w:b/>
                <w:bCs/>
              </w:rPr>
              <w:t>m</w:t>
            </w:r>
            <w:r w:rsidR="009E6092" w:rsidRPr="00F1671E">
              <w:rPr>
                <w:rFonts w:ascii="Times New Roman" w:hAnsi="Times New Roman" w:cs="Times New Roman"/>
                <w:b/>
                <w:bCs/>
              </w:rPr>
              <w:t xml:space="preserve">ass </w:t>
            </w:r>
            <w:r w:rsidR="009E6092">
              <w:rPr>
                <w:rFonts w:ascii="Times New Roman" w:hAnsi="Times New Roman" w:cs="Times New Roman"/>
                <w:b/>
                <w:bCs/>
              </w:rPr>
              <w:t>i</w:t>
            </w:r>
            <w:r w:rsidR="009E6092" w:rsidRPr="00F1671E">
              <w:rPr>
                <w:rFonts w:ascii="Times New Roman" w:hAnsi="Times New Roman" w:cs="Times New Roman"/>
                <w:b/>
                <w:bCs/>
              </w:rPr>
              <w:t>ndex</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27.4 (6.9)</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27.9 (7.4)</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27.3 (6.5)</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26.8 (6.7)</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Missing</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404</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133</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209</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62</w:t>
            </w:r>
          </w:p>
        </w:tc>
      </w:tr>
      <w:tr w:rsidR="00F1671E" w:rsidRPr="00F1671E" w:rsidTr="00206BA2">
        <w:trPr>
          <w:trHeight w:val="300"/>
          <w:jc w:val="center"/>
        </w:trPr>
        <w:tc>
          <w:tcPr>
            <w:tcW w:w="3496" w:type="dxa"/>
            <w:noWrap/>
          </w:tcPr>
          <w:p w:rsidR="00F1671E" w:rsidRPr="00F1671E" w:rsidRDefault="00F1671E" w:rsidP="009E6092">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Maternal </w:t>
            </w:r>
            <w:r w:rsidR="009E6092">
              <w:rPr>
                <w:rFonts w:ascii="Times New Roman" w:hAnsi="Times New Roman" w:cs="Times New Roman"/>
                <w:b/>
                <w:bCs/>
              </w:rPr>
              <w:t>a</w:t>
            </w:r>
            <w:r w:rsidR="009E6092" w:rsidRPr="00F1671E">
              <w:rPr>
                <w:rFonts w:ascii="Times New Roman" w:hAnsi="Times New Roman" w:cs="Times New Roman"/>
                <w:b/>
                <w:bCs/>
              </w:rPr>
              <w:t xml:space="preserve">lcohol </w:t>
            </w:r>
            <w:r w:rsidRPr="00F1671E">
              <w:rPr>
                <w:rFonts w:ascii="Times New Roman" w:hAnsi="Times New Roman" w:cs="Times New Roman"/>
                <w:b/>
                <w:bCs/>
              </w:rPr>
              <w:t>consumption</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No</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7446 (69.2%)</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1378 (32.2%)</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4859 (99.7%)</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1209 (75.4%)</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Yes</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3307 (30.8%)</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2898 (67.8%)</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15 (0.3%)</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394 (24.6%)</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Missing</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27</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7</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15</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w:t>
            </w:r>
          </w:p>
        </w:tc>
      </w:tr>
      <w:tr w:rsidR="00F1671E" w:rsidRPr="00F1671E" w:rsidTr="00206BA2">
        <w:trPr>
          <w:trHeight w:val="300"/>
          <w:jc w:val="center"/>
        </w:trPr>
        <w:tc>
          <w:tcPr>
            <w:tcW w:w="3496" w:type="dxa"/>
            <w:shd w:val="clear" w:color="auto" w:fill="C6D9F1"/>
            <w:noWrap/>
          </w:tcPr>
          <w:p w:rsidR="00F1671E" w:rsidRPr="00F1671E" w:rsidRDefault="00F1671E" w:rsidP="009E6092">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Maternal </w:t>
            </w:r>
            <w:r w:rsidR="009E6092">
              <w:rPr>
                <w:rFonts w:ascii="Times New Roman" w:hAnsi="Times New Roman" w:cs="Times New Roman"/>
                <w:b/>
                <w:bCs/>
              </w:rPr>
              <w:t>t</w:t>
            </w:r>
            <w:r w:rsidR="009E6092" w:rsidRPr="00F1671E">
              <w:rPr>
                <w:rFonts w:ascii="Times New Roman" w:hAnsi="Times New Roman" w:cs="Times New Roman"/>
                <w:b/>
                <w:bCs/>
              </w:rPr>
              <w:t xml:space="preserve">obacco </w:t>
            </w:r>
            <w:r w:rsidR="009E6092">
              <w:rPr>
                <w:rFonts w:ascii="Times New Roman" w:hAnsi="Times New Roman" w:cs="Times New Roman"/>
                <w:b/>
                <w:bCs/>
              </w:rPr>
              <w:t>s</w:t>
            </w:r>
            <w:r w:rsidR="009E6092" w:rsidRPr="00F1671E">
              <w:rPr>
                <w:rFonts w:ascii="Times New Roman" w:hAnsi="Times New Roman" w:cs="Times New Roman"/>
                <w:b/>
                <w:bCs/>
              </w:rPr>
              <w:t>moking</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No</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8466 (82.2%)</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2459 (62.4%)</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4624 (96.2%)</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1383 (88.9%)</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Yes</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1838 (17.8%)</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1482 (37.6%)</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184 (3.8%)</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172 (11.1%)</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Missing</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476</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342</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81</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53</w:t>
            </w:r>
          </w:p>
        </w:tc>
      </w:tr>
      <w:tr w:rsidR="00F1671E" w:rsidRPr="00F1671E" w:rsidTr="00206BA2">
        <w:trPr>
          <w:trHeight w:val="300"/>
          <w:jc w:val="center"/>
        </w:trPr>
        <w:tc>
          <w:tcPr>
            <w:tcW w:w="3496" w:type="dxa"/>
            <w:noWrap/>
          </w:tcPr>
          <w:p w:rsidR="00F1671E" w:rsidRPr="00F1671E" w:rsidRDefault="00F1671E" w:rsidP="009E6092">
            <w:pPr>
              <w:spacing w:line="276" w:lineRule="auto"/>
              <w:ind w:left="720" w:hanging="720"/>
              <w:rPr>
                <w:rFonts w:ascii="Times New Roman" w:hAnsi="Times New Roman" w:cs="Times New Roman"/>
                <w:b/>
                <w:bCs/>
              </w:rPr>
            </w:pPr>
            <w:r w:rsidRPr="00F1671E">
              <w:rPr>
                <w:rFonts w:ascii="Times New Roman" w:hAnsi="Times New Roman" w:cs="Times New Roman"/>
                <w:b/>
                <w:bCs/>
              </w:rPr>
              <w:t xml:space="preserve">Maternal </w:t>
            </w:r>
            <w:r w:rsidR="009E6092">
              <w:rPr>
                <w:rFonts w:ascii="Times New Roman" w:hAnsi="Times New Roman" w:cs="Times New Roman"/>
                <w:b/>
                <w:bCs/>
              </w:rPr>
              <w:t>p</w:t>
            </w:r>
            <w:r w:rsidR="009E6092" w:rsidRPr="00F1671E">
              <w:rPr>
                <w:rFonts w:ascii="Times New Roman" w:hAnsi="Times New Roman" w:cs="Times New Roman"/>
                <w:b/>
                <w:bCs/>
              </w:rPr>
              <w:t xml:space="preserve">assive </w:t>
            </w:r>
            <w:r w:rsidR="009E6092">
              <w:rPr>
                <w:rFonts w:ascii="Times New Roman" w:hAnsi="Times New Roman" w:cs="Times New Roman"/>
                <w:b/>
                <w:bCs/>
              </w:rPr>
              <w:t>s</w:t>
            </w:r>
            <w:r w:rsidR="009E6092" w:rsidRPr="00F1671E">
              <w:rPr>
                <w:rFonts w:ascii="Times New Roman" w:hAnsi="Times New Roman" w:cs="Times New Roman"/>
                <w:b/>
                <w:bCs/>
              </w:rPr>
              <w:t>moking</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No</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7300 (68.1%)</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2440 (57.2%)</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3675 (75.7%)</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1185 (74.1%)</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lastRenderedPageBreak/>
              <w:t xml:space="preserve">     Yes</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3419 (31.9%)</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1828 (42.8%)</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1177 (24.3%)</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414 (25.9%)</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Missing</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61</w:t>
            </w: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15</w:t>
            </w: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37</w:t>
            </w: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9</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b/>
                <w:bCs/>
              </w:rPr>
            </w:pPr>
            <w:r w:rsidRPr="00F1671E">
              <w:rPr>
                <w:rFonts w:ascii="Times New Roman" w:hAnsi="Times New Roman" w:cs="Times New Roman"/>
                <w:b/>
                <w:bCs/>
              </w:rPr>
              <w:t>Year of conception</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2006</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1042 (9.7%)</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411 (9.6%)</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489 (10%)</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142 (8.8%)</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2007</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2692 (25.0%)</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1073 (25.1%)</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1221 (25.0%)</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398 (24.8%)</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2008</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2875 (26.7%)</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1096 (25.6%)</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1362 (27.9%)</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417 (25.9%)</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2009</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2846 (26.4%)</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1158 (27%)</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1242 (25.4%)</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446 (27.7%)</w:t>
            </w:r>
          </w:p>
        </w:tc>
      </w:tr>
      <w:tr w:rsidR="00F1671E" w:rsidRPr="00F1671E" w:rsidTr="00206BA2">
        <w:trPr>
          <w:trHeight w:val="300"/>
          <w:jc w:val="center"/>
        </w:trPr>
        <w:tc>
          <w:tcPr>
            <w:tcW w:w="3496" w:type="dxa"/>
            <w:shd w:val="clear" w:color="auto" w:fill="C6D9F1"/>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2010</w:t>
            </w:r>
          </w:p>
        </w:tc>
        <w:tc>
          <w:tcPr>
            <w:tcW w:w="152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1325 (12.3%)</w:t>
            </w:r>
          </w:p>
        </w:tc>
        <w:tc>
          <w:tcPr>
            <w:tcW w:w="1559"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545 (12.7%)</w:t>
            </w:r>
          </w:p>
        </w:tc>
        <w:tc>
          <w:tcPr>
            <w:tcW w:w="1791"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575 (11.8%)</w:t>
            </w:r>
          </w:p>
        </w:tc>
        <w:tc>
          <w:tcPr>
            <w:tcW w:w="1843" w:type="dxa"/>
            <w:shd w:val="clear" w:color="auto" w:fill="C6D9F1"/>
            <w:noWrap/>
          </w:tcPr>
          <w:p w:rsidR="00F1671E" w:rsidRPr="00F1671E" w:rsidRDefault="00F1671E" w:rsidP="00F1671E">
            <w:pPr>
              <w:spacing w:line="276" w:lineRule="auto"/>
              <w:ind w:left="720" w:hanging="720"/>
              <w:jc w:val="center"/>
              <w:rPr>
                <w:rFonts w:ascii="Times New Roman" w:hAnsi="Times New Roman" w:cs="Times New Roman"/>
              </w:rPr>
            </w:pPr>
            <w:r w:rsidRPr="00F1671E">
              <w:rPr>
                <w:rFonts w:ascii="Times New Roman" w:hAnsi="Times New Roman" w:cs="Times New Roman"/>
              </w:rPr>
              <w:t>205 (12.7%)</w:t>
            </w:r>
          </w:p>
        </w:tc>
      </w:tr>
      <w:tr w:rsidR="00F1671E" w:rsidRPr="00F1671E" w:rsidTr="00206BA2">
        <w:trPr>
          <w:trHeight w:val="300"/>
          <w:jc w:val="center"/>
        </w:trPr>
        <w:tc>
          <w:tcPr>
            <w:tcW w:w="3496" w:type="dxa"/>
            <w:noWrap/>
          </w:tcPr>
          <w:p w:rsidR="00F1671E" w:rsidRPr="00F1671E" w:rsidRDefault="00F1671E" w:rsidP="00F1671E">
            <w:pPr>
              <w:spacing w:line="276" w:lineRule="auto"/>
              <w:ind w:left="720" w:hanging="720"/>
              <w:rPr>
                <w:rFonts w:ascii="Times New Roman" w:hAnsi="Times New Roman" w:cs="Times New Roman"/>
                <w:b/>
                <w:bCs/>
              </w:rPr>
            </w:pPr>
            <w:r w:rsidRPr="00F1671E">
              <w:rPr>
                <w:rFonts w:ascii="Times New Roman" w:hAnsi="Times New Roman" w:cs="Times New Roman"/>
                <w:b/>
                <w:bCs/>
              </w:rPr>
              <w:t>Season of conception</w:t>
            </w:r>
          </w:p>
        </w:tc>
        <w:tc>
          <w:tcPr>
            <w:tcW w:w="152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559"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791" w:type="dxa"/>
            <w:noWrap/>
          </w:tcPr>
          <w:p w:rsidR="00F1671E" w:rsidRPr="00F1671E" w:rsidRDefault="00F1671E" w:rsidP="00F1671E">
            <w:pPr>
              <w:spacing w:line="276" w:lineRule="auto"/>
              <w:ind w:left="720" w:hanging="720"/>
              <w:jc w:val="center"/>
              <w:rPr>
                <w:rFonts w:ascii="Times New Roman" w:hAnsi="Times New Roman" w:cs="Times New Roman"/>
              </w:rPr>
            </w:pPr>
          </w:p>
        </w:tc>
        <w:tc>
          <w:tcPr>
            <w:tcW w:w="1843" w:type="dxa"/>
            <w:noWrap/>
          </w:tcPr>
          <w:p w:rsidR="00F1671E" w:rsidRPr="00F1671E" w:rsidRDefault="00F1671E" w:rsidP="00F1671E">
            <w:pPr>
              <w:spacing w:line="276" w:lineRule="auto"/>
              <w:ind w:left="720" w:hanging="720"/>
              <w:jc w:val="center"/>
              <w:rPr>
                <w:rFonts w:ascii="Times New Roman" w:hAnsi="Times New Roman" w:cs="Times New Roman"/>
              </w:rPr>
            </w:pPr>
          </w:p>
        </w:tc>
      </w:tr>
      <w:tr w:rsidR="00F1671E" w:rsidRPr="00F1671E" w:rsidTr="00206BA2">
        <w:trPr>
          <w:trHeight w:val="300"/>
          <w:jc w:val="center"/>
        </w:trPr>
        <w:tc>
          <w:tcPr>
            <w:tcW w:w="3496" w:type="dxa"/>
            <w:noWrap/>
          </w:tcPr>
          <w:p w:rsidR="00EC43A4" w:rsidRDefault="00F1671E">
            <w:pPr>
              <w:spacing w:line="276" w:lineRule="auto"/>
              <w:ind w:left="720" w:hanging="720"/>
              <w:rPr>
                <w:rFonts w:ascii="Times New Roman" w:hAnsi="Times New Roman" w:cs="Times New Roman"/>
              </w:rPr>
            </w:pPr>
            <w:r w:rsidRPr="00F1671E">
              <w:rPr>
                <w:rFonts w:ascii="Times New Roman" w:hAnsi="Times New Roman" w:cs="Times New Roman"/>
              </w:rPr>
              <w:t xml:space="preserve">     </w:t>
            </w:r>
            <w:r w:rsidR="009D5B16">
              <w:rPr>
                <w:rFonts w:ascii="Times New Roman" w:hAnsi="Times New Roman" w:cs="Times New Roman"/>
              </w:rPr>
              <w:t>Spring</w:t>
            </w:r>
          </w:p>
        </w:tc>
        <w:tc>
          <w:tcPr>
            <w:tcW w:w="1529" w:type="dxa"/>
            <w:noWrap/>
          </w:tcPr>
          <w:p w:rsidR="00F1671E" w:rsidRPr="00F1671E" w:rsidRDefault="001D49C3" w:rsidP="00F1671E">
            <w:pPr>
              <w:spacing w:line="276" w:lineRule="auto"/>
              <w:ind w:left="720" w:hanging="720"/>
              <w:jc w:val="center"/>
              <w:rPr>
                <w:rFonts w:ascii="Times New Roman" w:hAnsi="Times New Roman" w:cs="Times New Roman"/>
              </w:rPr>
            </w:pPr>
            <w:r>
              <w:rPr>
                <w:rFonts w:ascii="Times New Roman" w:hAnsi="Times New Roman" w:cs="Times New Roman"/>
              </w:rPr>
              <w:t>2807 (26.0%)</w:t>
            </w:r>
          </w:p>
        </w:tc>
        <w:tc>
          <w:tcPr>
            <w:tcW w:w="1559" w:type="dxa"/>
            <w:noWrap/>
          </w:tcPr>
          <w:p w:rsidR="00F1671E"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1151 (26.9%)</w:t>
            </w:r>
          </w:p>
        </w:tc>
        <w:tc>
          <w:tcPr>
            <w:tcW w:w="1791" w:type="dxa"/>
            <w:noWrap/>
          </w:tcPr>
          <w:p w:rsidR="00F1671E" w:rsidRPr="00F1671E" w:rsidRDefault="00BE38A3" w:rsidP="00F1671E">
            <w:pPr>
              <w:spacing w:line="276" w:lineRule="auto"/>
              <w:ind w:left="720" w:hanging="720"/>
              <w:jc w:val="center"/>
              <w:rPr>
                <w:rFonts w:ascii="Times New Roman" w:hAnsi="Times New Roman" w:cs="Times New Roman"/>
              </w:rPr>
            </w:pPr>
            <w:r>
              <w:rPr>
                <w:rFonts w:ascii="Times New Roman" w:hAnsi="Times New Roman" w:cs="Times New Roman"/>
              </w:rPr>
              <w:t>1231 (25.2%)</w:t>
            </w:r>
          </w:p>
        </w:tc>
        <w:tc>
          <w:tcPr>
            <w:tcW w:w="1843" w:type="dxa"/>
            <w:noWrap/>
          </w:tcPr>
          <w:p w:rsidR="00F1671E"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425 (26.4%)</w:t>
            </w:r>
          </w:p>
        </w:tc>
      </w:tr>
      <w:tr w:rsidR="009D5B16" w:rsidRPr="00F1671E" w:rsidTr="00206BA2">
        <w:trPr>
          <w:trHeight w:val="300"/>
          <w:jc w:val="center"/>
        </w:trPr>
        <w:tc>
          <w:tcPr>
            <w:tcW w:w="3496" w:type="dxa"/>
            <w:noWrap/>
          </w:tcPr>
          <w:p w:rsidR="009D5B16" w:rsidRPr="00F1671E" w:rsidRDefault="009D5B16" w:rsidP="00F1671E">
            <w:pPr>
              <w:spacing w:line="276" w:lineRule="auto"/>
              <w:ind w:left="720" w:hanging="720"/>
              <w:rPr>
                <w:rFonts w:ascii="Times New Roman" w:hAnsi="Times New Roman" w:cs="Times New Roman"/>
              </w:rPr>
            </w:pPr>
            <w:r>
              <w:rPr>
                <w:rFonts w:ascii="Times New Roman" w:hAnsi="Times New Roman" w:cs="Times New Roman"/>
              </w:rPr>
              <w:t xml:space="preserve">     Summer</w:t>
            </w:r>
          </w:p>
        </w:tc>
        <w:tc>
          <w:tcPr>
            <w:tcW w:w="1529" w:type="dxa"/>
            <w:noWrap/>
          </w:tcPr>
          <w:p w:rsidR="009D5B16" w:rsidRPr="00F1671E" w:rsidRDefault="001D49C3" w:rsidP="00F1671E">
            <w:pPr>
              <w:spacing w:line="276" w:lineRule="auto"/>
              <w:ind w:left="720" w:hanging="720"/>
              <w:jc w:val="center"/>
              <w:rPr>
                <w:rFonts w:ascii="Times New Roman" w:hAnsi="Times New Roman" w:cs="Times New Roman"/>
              </w:rPr>
            </w:pPr>
            <w:r>
              <w:rPr>
                <w:rFonts w:ascii="Times New Roman" w:hAnsi="Times New Roman" w:cs="Times New Roman"/>
              </w:rPr>
              <w:t>2313 (21.5%)</w:t>
            </w:r>
          </w:p>
        </w:tc>
        <w:tc>
          <w:tcPr>
            <w:tcW w:w="1559" w:type="dxa"/>
            <w:noWrap/>
          </w:tcPr>
          <w:p w:rsidR="009D5B16"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916 (21.4%)</w:t>
            </w:r>
          </w:p>
        </w:tc>
        <w:tc>
          <w:tcPr>
            <w:tcW w:w="1791" w:type="dxa"/>
            <w:noWrap/>
          </w:tcPr>
          <w:p w:rsidR="009D5B16" w:rsidRPr="00F1671E" w:rsidRDefault="00BE38A3" w:rsidP="00F1671E">
            <w:pPr>
              <w:spacing w:line="276" w:lineRule="auto"/>
              <w:ind w:left="720" w:hanging="720"/>
              <w:jc w:val="center"/>
              <w:rPr>
                <w:rFonts w:ascii="Times New Roman" w:hAnsi="Times New Roman" w:cs="Times New Roman"/>
              </w:rPr>
            </w:pPr>
            <w:r>
              <w:rPr>
                <w:rFonts w:ascii="Times New Roman" w:hAnsi="Times New Roman" w:cs="Times New Roman"/>
              </w:rPr>
              <w:t>1047 (21.4%)</w:t>
            </w:r>
          </w:p>
        </w:tc>
        <w:tc>
          <w:tcPr>
            <w:tcW w:w="1843" w:type="dxa"/>
            <w:noWrap/>
          </w:tcPr>
          <w:p w:rsidR="009D5B16"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350 (21.8%)</w:t>
            </w:r>
          </w:p>
        </w:tc>
      </w:tr>
      <w:tr w:rsidR="009D5B16" w:rsidRPr="00F1671E" w:rsidTr="00206BA2">
        <w:trPr>
          <w:trHeight w:val="300"/>
          <w:jc w:val="center"/>
        </w:trPr>
        <w:tc>
          <w:tcPr>
            <w:tcW w:w="3496" w:type="dxa"/>
            <w:noWrap/>
          </w:tcPr>
          <w:p w:rsidR="009D5B16" w:rsidRPr="00F1671E" w:rsidRDefault="009D5B16" w:rsidP="00F1671E">
            <w:pPr>
              <w:spacing w:line="276" w:lineRule="auto"/>
              <w:ind w:left="720" w:hanging="720"/>
              <w:rPr>
                <w:rFonts w:ascii="Times New Roman" w:hAnsi="Times New Roman" w:cs="Times New Roman"/>
              </w:rPr>
            </w:pPr>
            <w:r>
              <w:rPr>
                <w:rFonts w:ascii="Times New Roman" w:hAnsi="Times New Roman" w:cs="Times New Roman"/>
              </w:rPr>
              <w:t xml:space="preserve">     Autumn</w:t>
            </w:r>
          </w:p>
        </w:tc>
        <w:tc>
          <w:tcPr>
            <w:tcW w:w="1529" w:type="dxa"/>
            <w:noWrap/>
          </w:tcPr>
          <w:p w:rsidR="009D5B16" w:rsidRPr="00F1671E" w:rsidRDefault="001D49C3" w:rsidP="00F1671E">
            <w:pPr>
              <w:spacing w:line="276" w:lineRule="auto"/>
              <w:ind w:left="720" w:hanging="720"/>
              <w:jc w:val="center"/>
              <w:rPr>
                <w:rFonts w:ascii="Times New Roman" w:hAnsi="Times New Roman" w:cs="Times New Roman"/>
              </w:rPr>
            </w:pPr>
            <w:r>
              <w:rPr>
                <w:rFonts w:ascii="Times New Roman" w:hAnsi="Times New Roman" w:cs="Times New Roman"/>
              </w:rPr>
              <w:t>2833 (26.3%)</w:t>
            </w:r>
          </w:p>
        </w:tc>
        <w:tc>
          <w:tcPr>
            <w:tcW w:w="1559" w:type="dxa"/>
            <w:noWrap/>
          </w:tcPr>
          <w:p w:rsidR="009D5B16"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1079 (25.2%)</w:t>
            </w:r>
          </w:p>
        </w:tc>
        <w:tc>
          <w:tcPr>
            <w:tcW w:w="1791" w:type="dxa"/>
            <w:noWrap/>
          </w:tcPr>
          <w:p w:rsidR="009D5B16" w:rsidRPr="00F1671E" w:rsidRDefault="00BE38A3" w:rsidP="00F1671E">
            <w:pPr>
              <w:spacing w:line="276" w:lineRule="auto"/>
              <w:ind w:left="720" w:hanging="720"/>
              <w:jc w:val="center"/>
              <w:rPr>
                <w:rFonts w:ascii="Times New Roman" w:hAnsi="Times New Roman" w:cs="Times New Roman"/>
              </w:rPr>
            </w:pPr>
            <w:r>
              <w:rPr>
                <w:rFonts w:ascii="Times New Roman" w:hAnsi="Times New Roman" w:cs="Times New Roman"/>
              </w:rPr>
              <w:t>1330 (27.2%)</w:t>
            </w:r>
          </w:p>
        </w:tc>
        <w:tc>
          <w:tcPr>
            <w:tcW w:w="1843" w:type="dxa"/>
            <w:noWrap/>
          </w:tcPr>
          <w:p w:rsidR="009D5B16"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424 (26.4%)</w:t>
            </w:r>
          </w:p>
        </w:tc>
      </w:tr>
      <w:tr w:rsidR="00F1671E" w:rsidRPr="00F1671E" w:rsidTr="00206BA2">
        <w:trPr>
          <w:trHeight w:val="300"/>
          <w:jc w:val="center"/>
        </w:trPr>
        <w:tc>
          <w:tcPr>
            <w:tcW w:w="3496" w:type="dxa"/>
            <w:tcBorders>
              <w:bottom w:val="single" w:sz="24" w:space="0" w:color="4F81BD"/>
            </w:tcBorders>
            <w:noWrap/>
          </w:tcPr>
          <w:p w:rsidR="00F1671E" w:rsidRPr="00F1671E" w:rsidRDefault="00F1671E" w:rsidP="00F1671E">
            <w:pPr>
              <w:spacing w:line="276" w:lineRule="auto"/>
              <w:ind w:left="720" w:hanging="720"/>
              <w:rPr>
                <w:rFonts w:ascii="Times New Roman" w:hAnsi="Times New Roman" w:cs="Times New Roman"/>
              </w:rPr>
            </w:pPr>
            <w:r w:rsidRPr="00F1671E">
              <w:rPr>
                <w:rFonts w:ascii="Times New Roman" w:hAnsi="Times New Roman" w:cs="Times New Roman"/>
              </w:rPr>
              <w:t xml:space="preserve">     </w:t>
            </w:r>
            <w:r w:rsidR="009D5B16">
              <w:rPr>
                <w:rFonts w:ascii="Times New Roman" w:hAnsi="Times New Roman" w:cs="Times New Roman"/>
              </w:rPr>
              <w:t>Winter</w:t>
            </w:r>
          </w:p>
        </w:tc>
        <w:tc>
          <w:tcPr>
            <w:tcW w:w="1529" w:type="dxa"/>
            <w:tcBorders>
              <w:bottom w:val="single" w:sz="24" w:space="0" w:color="4F81BD"/>
            </w:tcBorders>
            <w:noWrap/>
          </w:tcPr>
          <w:p w:rsidR="00F1671E" w:rsidRPr="00F1671E" w:rsidRDefault="001D49C3" w:rsidP="00F1671E">
            <w:pPr>
              <w:spacing w:line="276" w:lineRule="auto"/>
              <w:ind w:left="720" w:hanging="720"/>
              <w:jc w:val="center"/>
              <w:rPr>
                <w:rFonts w:ascii="Times New Roman" w:hAnsi="Times New Roman" w:cs="Times New Roman"/>
              </w:rPr>
            </w:pPr>
            <w:r>
              <w:rPr>
                <w:rFonts w:ascii="Times New Roman" w:hAnsi="Times New Roman" w:cs="Times New Roman"/>
              </w:rPr>
              <w:t>2827 (26.2%)</w:t>
            </w:r>
          </w:p>
        </w:tc>
        <w:tc>
          <w:tcPr>
            <w:tcW w:w="1559" w:type="dxa"/>
            <w:tcBorders>
              <w:bottom w:val="single" w:sz="24" w:space="0" w:color="4F81BD"/>
            </w:tcBorders>
            <w:noWrap/>
          </w:tcPr>
          <w:p w:rsidR="00F1671E"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1137 (26.6%)</w:t>
            </w:r>
          </w:p>
        </w:tc>
        <w:tc>
          <w:tcPr>
            <w:tcW w:w="1791" w:type="dxa"/>
            <w:tcBorders>
              <w:bottom w:val="single" w:sz="24" w:space="0" w:color="4F81BD"/>
            </w:tcBorders>
            <w:noWrap/>
          </w:tcPr>
          <w:p w:rsidR="00F1671E" w:rsidRPr="00F1671E" w:rsidRDefault="00BE38A3" w:rsidP="00F1671E">
            <w:pPr>
              <w:spacing w:line="276" w:lineRule="auto"/>
              <w:ind w:left="720" w:hanging="720"/>
              <w:jc w:val="center"/>
              <w:rPr>
                <w:rFonts w:ascii="Times New Roman" w:hAnsi="Times New Roman" w:cs="Times New Roman"/>
              </w:rPr>
            </w:pPr>
            <w:r>
              <w:rPr>
                <w:rFonts w:ascii="Times New Roman" w:hAnsi="Times New Roman" w:cs="Times New Roman"/>
              </w:rPr>
              <w:t>1281 (26.2%)</w:t>
            </w:r>
          </w:p>
        </w:tc>
        <w:tc>
          <w:tcPr>
            <w:tcW w:w="1843" w:type="dxa"/>
            <w:tcBorders>
              <w:bottom w:val="single" w:sz="24" w:space="0" w:color="4F81BD"/>
            </w:tcBorders>
            <w:noWrap/>
          </w:tcPr>
          <w:p w:rsidR="00F1671E" w:rsidRPr="00F1671E" w:rsidRDefault="00D73AD8" w:rsidP="00F1671E">
            <w:pPr>
              <w:spacing w:line="276" w:lineRule="auto"/>
              <w:ind w:left="720" w:hanging="720"/>
              <w:jc w:val="center"/>
              <w:rPr>
                <w:rFonts w:ascii="Times New Roman" w:hAnsi="Times New Roman" w:cs="Times New Roman"/>
              </w:rPr>
            </w:pPr>
            <w:r>
              <w:rPr>
                <w:rFonts w:ascii="Times New Roman" w:hAnsi="Times New Roman" w:cs="Times New Roman"/>
              </w:rPr>
              <w:t>409 (25.4%)</w:t>
            </w:r>
          </w:p>
        </w:tc>
      </w:tr>
    </w:tbl>
    <w:p w:rsidR="00F1671E" w:rsidRDefault="00F1671E">
      <w:pPr>
        <w:spacing w:after="0" w:line="360" w:lineRule="auto"/>
        <w:rPr>
          <w:rFonts w:ascii="Times New Roman" w:hAnsi="Times New Roman" w:cs="Times New Roman"/>
          <w:sz w:val="22"/>
        </w:rPr>
      </w:pPr>
    </w:p>
    <w:p w:rsidR="007136E7" w:rsidRPr="00B223A5" w:rsidRDefault="007136E7">
      <w:pPr>
        <w:spacing w:after="0"/>
        <w:ind w:left="720" w:hanging="720"/>
        <w:rPr>
          <w:rFonts w:ascii="Times New Roman" w:hAnsi="Times New Roman" w:cs="Times New Roman"/>
        </w:rPr>
        <w:sectPr w:rsidR="007136E7" w:rsidRPr="00B223A5">
          <w:footerReference w:type="default" r:id="rId19"/>
          <w:pgSz w:w="11906" w:h="16838"/>
          <w:pgMar w:top="1417" w:right="1701" w:bottom="1417" w:left="1701" w:header="709" w:footer="709" w:gutter="0"/>
          <w:cols w:sep="1" w:space="708"/>
          <w:docGrid w:linePitch="360"/>
        </w:sectPr>
      </w:pPr>
    </w:p>
    <w:p w:rsidR="00EC43A4" w:rsidRDefault="003D3DED">
      <w:pPr>
        <w:spacing w:after="0" w:line="360" w:lineRule="auto"/>
        <w:rPr>
          <w:rFonts w:ascii="Times New Roman" w:hAnsi="Times New Roman" w:cs="Times New Roman"/>
        </w:rPr>
      </w:pPr>
      <w:r w:rsidRPr="003D3DED">
        <w:rPr>
          <w:rFonts w:ascii="Times New Roman" w:hAnsi="Times New Roman" w:cs="Times New Roman"/>
          <w:b/>
          <w:bCs/>
        </w:rPr>
        <w:lastRenderedPageBreak/>
        <w:t>Table 2.</w:t>
      </w:r>
      <w:r w:rsidRPr="003D3DED">
        <w:rPr>
          <w:rFonts w:ascii="Times New Roman" w:hAnsi="Times New Roman" w:cs="Times New Roman"/>
        </w:rPr>
        <w:t xml:space="preserve"> Median </w:t>
      </w:r>
      <w:r w:rsidR="00B32F77">
        <w:rPr>
          <w:rFonts w:ascii="Times New Roman" w:hAnsi="Times New Roman" w:cs="Times New Roman"/>
        </w:rPr>
        <w:t xml:space="preserve">and </w:t>
      </w:r>
      <w:r w:rsidRPr="003D3DED">
        <w:rPr>
          <w:rFonts w:ascii="Times New Roman" w:hAnsi="Times New Roman" w:cs="Times New Roman"/>
        </w:rPr>
        <w:t>interquartile range</w:t>
      </w:r>
      <w:r w:rsidR="00B32F77">
        <w:rPr>
          <w:rFonts w:ascii="Times New Roman" w:hAnsi="Times New Roman" w:cs="Times New Roman"/>
        </w:rPr>
        <w:t xml:space="preserve"> (in brackets)</w:t>
      </w:r>
      <w:r w:rsidRPr="003D3DED">
        <w:rPr>
          <w:rFonts w:ascii="Times New Roman" w:hAnsi="Times New Roman" w:cs="Times New Roman"/>
        </w:rPr>
        <w:t xml:space="preserve"> of birth weight and average NDVI across buffers of 10</w:t>
      </w:r>
      <w:r w:rsidR="00A51F1F">
        <w:rPr>
          <w:rFonts w:ascii="Times New Roman" w:hAnsi="Times New Roman" w:cs="Times New Roman"/>
        </w:rPr>
        <w:t>0 m</w:t>
      </w:r>
      <w:r w:rsidRPr="003D3DED">
        <w:rPr>
          <w:rFonts w:ascii="Times New Roman" w:hAnsi="Times New Roman" w:cs="Times New Roman"/>
        </w:rPr>
        <w:t>, 25</w:t>
      </w:r>
      <w:r w:rsidR="00A51F1F">
        <w:rPr>
          <w:rFonts w:ascii="Times New Roman" w:hAnsi="Times New Roman" w:cs="Times New Roman"/>
        </w:rPr>
        <w:t>0 m</w:t>
      </w:r>
      <w:r w:rsidRPr="003D3DED">
        <w:rPr>
          <w:rFonts w:ascii="Times New Roman" w:hAnsi="Times New Roman" w:cs="Times New Roman"/>
        </w:rPr>
        <w:t>, and 50</w:t>
      </w:r>
      <w:r w:rsidR="00A51F1F">
        <w:rPr>
          <w:rFonts w:ascii="Times New Roman" w:hAnsi="Times New Roman" w:cs="Times New Roman"/>
        </w:rPr>
        <w:t>0 m</w:t>
      </w:r>
      <w:r w:rsidRPr="003D3DED">
        <w:rPr>
          <w:rFonts w:ascii="Times New Roman" w:hAnsi="Times New Roman" w:cs="Times New Roman"/>
        </w:rPr>
        <w:t xml:space="preserve"> around residential addresses separately for all </w:t>
      </w:r>
      <w:r w:rsidR="00D23C99">
        <w:rPr>
          <w:rFonts w:ascii="Times New Roman" w:hAnsi="Times New Roman" w:cs="Times New Roman"/>
        </w:rPr>
        <w:t>participant</w:t>
      </w:r>
      <w:r w:rsidRPr="003D3DED">
        <w:rPr>
          <w:rFonts w:ascii="Times New Roman" w:hAnsi="Times New Roman" w:cs="Times New Roman"/>
        </w:rPr>
        <w:t>s and strata of maternal ethnicity, education, and neighbourhood SES.</w:t>
      </w:r>
    </w:p>
    <w:p w:rsidR="00EC43A4" w:rsidRDefault="00EC43A4">
      <w:pPr>
        <w:spacing w:after="0" w:line="360" w:lineRule="auto"/>
        <w:ind w:left="720" w:hanging="720"/>
        <w:rPr>
          <w:rFonts w:ascii="Times New Roman" w:hAnsi="Times New Roman" w:cs="Times New Roman"/>
        </w:rPr>
      </w:pPr>
    </w:p>
    <w:tbl>
      <w:tblPr>
        <w:tblStyle w:val="TableGrid"/>
        <w:tblW w:w="14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179"/>
        <w:gridCol w:w="541"/>
        <w:gridCol w:w="1388"/>
        <w:gridCol w:w="1789"/>
        <w:gridCol w:w="1534"/>
        <w:gridCol w:w="1672"/>
        <w:gridCol w:w="1756"/>
      </w:tblGrid>
      <w:tr w:rsidR="00C95760" w:rsidRPr="002F5C3F" w:rsidTr="002F5C3F">
        <w:trPr>
          <w:jc w:val="center"/>
        </w:trPr>
        <w:tc>
          <w:tcPr>
            <w:tcW w:w="3466" w:type="dxa"/>
            <w:tcBorders>
              <w:top w:val="single" w:sz="24" w:space="0" w:color="4F81BD"/>
            </w:tcBorders>
          </w:tcPr>
          <w:p w:rsidR="00EC43A4" w:rsidRDefault="00EC43A4">
            <w:pPr>
              <w:spacing w:line="360" w:lineRule="auto"/>
              <w:rPr>
                <w:rFonts w:ascii="Times New Roman" w:hAnsi="Times New Roman" w:cs="Times New Roman"/>
              </w:rPr>
            </w:pPr>
          </w:p>
        </w:tc>
        <w:tc>
          <w:tcPr>
            <w:tcW w:w="2179" w:type="dxa"/>
            <w:tcBorders>
              <w:top w:val="single" w:sz="24"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Birth Weight (g)</w:t>
            </w:r>
          </w:p>
        </w:tc>
        <w:tc>
          <w:tcPr>
            <w:tcW w:w="541" w:type="dxa"/>
            <w:tcBorders>
              <w:top w:val="single" w:sz="24" w:space="0" w:color="4F81BD"/>
            </w:tcBorders>
          </w:tcPr>
          <w:p w:rsidR="00EC43A4" w:rsidRDefault="00EC43A4">
            <w:pPr>
              <w:spacing w:line="360" w:lineRule="auto"/>
              <w:jc w:val="center"/>
              <w:rPr>
                <w:rFonts w:ascii="Times New Roman" w:hAnsi="Times New Roman" w:cs="Times New Roman"/>
                <w:b/>
                <w:bCs/>
              </w:rPr>
            </w:pPr>
          </w:p>
        </w:tc>
        <w:tc>
          <w:tcPr>
            <w:tcW w:w="1388" w:type="dxa"/>
            <w:tcBorders>
              <w:top w:val="single" w:sz="24" w:space="0" w:color="4F81BD"/>
              <w:bottom w:val="outset" w:sz="12" w:space="0" w:color="4F81BD" w:themeColor="accent1"/>
            </w:tcBorders>
          </w:tcPr>
          <w:p w:rsidR="00EC43A4" w:rsidRDefault="00EC43A4">
            <w:pPr>
              <w:spacing w:line="360" w:lineRule="auto"/>
              <w:jc w:val="center"/>
              <w:rPr>
                <w:rFonts w:ascii="Times New Roman" w:hAnsi="Times New Roman" w:cs="Times New Roman"/>
                <w:b/>
                <w:bCs/>
              </w:rPr>
            </w:pPr>
          </w:p>
        </w:tc>
        <w:tc>
          <w:tcPr>
            <w:tcW w:w="4995" w:type="dxa"/>
            <w:gridSpan w:val="3"/>
            <w:tcBorders>
              <w:top w:val="single" w:sz="24" w:space="0" w:color="4F81BD"/>
              <w:bottom w:val="single" w:sz="12"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Residential Surrounding Greenness</w:t>
            </w:r>
          </w:p>
        </w:tc>
        <w:tc>
          <w:tcPr>
            <w:tcW w:w="1756" w:type="dxa"/>
            <w:tcBorders>
              <w:top w:val="single" w:sz="24" w:space="0" w:color="4F81BD"/>
              <w:bottom w:val="single" w:sz="12" w:space="0" w:color="4F81BD"/>
            </w:tcBorders>
          </w:tcPr>
          <w:p w:rsidR="00EC43A4" w:rsidRDefault="00EC43A4">
            <w:pPr>
              <w:spacing w:line="360" w:lineRule="auto"/>
              <w:jc w:val="center"/>
              <w:rPr>
                <w:rFonts w:ascii="Times New Roman" w:hAnsi="Times New Roman" w:cs="Times New Roman"/>
                <w:b/>
                <w:bCs/>
              </w:rPr>
            </w:pPr>
          </w:p>
        </w:tc>
      </w:tr>
      <w:tr w:rsidR="00C95760" w:rsidRPr="002F5C3F" w:rsidTr="002F5C3F">
        <w:trPr>
          <w:jc w:val="center"/>
        </w:trPr>
        <w:tc>
          <w:tcPr>
            <w:tcW w:w="3466" w:type="dxa"/>
            <w:tcBorders>
              <w:bottom w:val="single" w:sz="12" w:space="0" w:color="4F81BD"/>
            </w:tcBorders>
          </w:tcPr>
          <w:p w:rsidR="00EC43A4" w:rsidRDefault="00EC43A4">
            <w:pPr>
              <w:spacing w:line="360" w:lineRule="auto"/>
              <w:rPr>
                <w:rFonts w:ascii="Times New Roman" w:hAnsi="Times New Roman" w:cs="Times New Roman"/>
              </w:rPr>
            </w:pPr>
          </w:p>
        </w:tc>
        <w:tc>
          <w:tcPr>
            <w:tcW w:w="2179" w:type="dxa"/>
            <w:tcBorders>
              <w:bottom w:val="single" w:sz="12" w:space="0" w:color="4F81BD"/>
            </w:tcBorders>
          </w:tcPr>
          <w:p w:rsidR="00EC43A4" w:rsidRDefault="00EC43A4">
            <w:pPr>
              <w:spacing w:line="360" w:lineRule="auto"/>
              <w:jc w:val="center"/>
              <w:rPr>
                <w:rFonts w:ascii="Times New Roman" w:hAnsi="Times New Roman" w:cs="Times New Roman"/>
                <w:b/>
                <w:bCs/>
              </w:rPr>
            </w:pPr>
          </w:p>
        </w:tc>
        <w:tc>
          <w:tcPr>
            <w:tcW w:w="541" w:type="dxa"/>
            <w:tcBorders>
              <w:bottom w:val="single" w:sz="12" w:space="0" w:color="4F81BD"/>
            </w:tcBorders>
          </w:tcPr>
          <w:p w:rsidR="00EC43A4" w:rsidRDefault="00EC43A4">
            <w:pPr>
              <w:spacing w:line="360" w:lineRule="auto"/>
              <w:jc w:val="center"/>
              <w:rPr>
                <w:rFonts w:ascii="Times New Roman" w:hAnsi="Times New Roman" w:cs="Times New Roman"/>
                <w:b/>
                <w:bCs/>
              </w:rPr>
            </w:pPr>
          </w:p>
        </w:tc>
        <w:tc>
          <w:tcPr>
            <w:tcW w:w="1388" w:type="dxa"/>
            <w:tcBorders>
              <w:top w:val="outset" w:sz="12" w:space="0" w:color="4F81BD" w:themeColor="accent1"/>
              <w:bottom w:val="single" w:sz="12"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50 m buffer</w:t>
            </w:r>
          </w:p>
        </w:tc>
        <w:tc>
          <w:tcPr>
            <w:tcW w:w="1789" w:type="dxa"/>
            <w:tcBorders>
              <w:top w:val="single" w:sz="12" w:space="0" w:color="4F81BD"/>
              <w:bottom w:val="single" w:sz="12"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100 m Buffer</w:t>
            </w:r>
          </w:p>
        </w:tc>
        <w:tc>
          <w:tcPr>
            <w:tcW w:w="1534" w:type="dxa"/>
            <w:tcBorders>
              <w:top w:val="single" w:sz="12" w:space="0" w:color="4F81BD"/>
              <w:bottom w:val="single" w:sz="12"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250 m Buffer</w:t>
            </w:r>
          </w:p>
        </w:tc>
        <w:tc>
          <w:tcPr>
            <w:tcW w:w="1672" w:type="dxa"/>
            <w:tcBorders>
              <w:top w:val="single" w:sz="12" w:space="0" w:color="4F81BD"/>
              <w:bottom w:val="single" w:sz="12"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500 m Buffer</w:t>
            </w:r>
          </w:p>
        </w:tc>
        <w:tc>
          <w:tcPr>
            <w:tcW w:w="1756" w:type="dxa"/>
            <w:tcBorders>
              <w:top w:val="single" w:sz="12" w:space="0" w:color="4F81BD"/>
              <w:bottom w:val="single" w:sz="12" w:space="0" w:color="4F81BD"/>
            </w:tcBorders>
          </w:tcPr>
          <w:p w:rsidR="00EC43A4" w:rsidRDefault="006E0967">
            <w:pPr>
              <w:spacing w:line="360" w:lineRule="auto"/>
              <w:jc w:val="center"/>
              <w:rPr>
                <w:rFonts w:ascii="Times New Roman" w:hAnsi="Times New Roman" w:cs="Times New Roman"/>
                <w:b/>
                <w:bCs/>
              </w:rPr>
            </w:pPr>
            <w:r>
              <w:rPr>
                <w:rFonts w:ascii="Times New Roman" w:hAnsi="Times New Roman" w:cs="Times New Roman"/>
                <w:b/>
                <w:bCs/>
              </w:rPr>
              <w:t>1000 m buffer</w:t>
            </w:r>
          </w:p>
        </w:tc>
      </w:tr>
      <w:tr w:rsidR="00CF55F8" w:rsidRPr="002F5C3F" w:rsidTr="00CD3B73">
        <w:trPr>
          <w:jc w:val="center"/>
        </w:trPr>
        <w:tc>
          <w:tcPr>
            <w:tcW w:w="3466" w:type="dxa"/>
            <w:tcBorders>
              <w:top w:val="single" w:sz="12" w:space="0" w:color="4F81BD"/>
            </w:tcBorders>
          </w:tcPr>
          <w:p w:rsidR="00EC43A4" w:rsidRDefault="00CF55F8">
            <w:pPr>
              <w:spacing w:line="360" w:lineRule="auto"/>
              <w:rPr>
                <w:rFonts w:ascii="Times New Roman" w:hAnsi="Times New Roman" w:cs="Times New Roman"/>
                <w:b/>
                <w:bCs/>
              </w:rPr>
            </w:pPr>
            <w:r>
              <w:rPr>
                <w:rFonts w:ascii="Times New Roman" w:hAnsi="Times New Roman" w:cs="Times New Roman"/>
                <w:b/>
                <w:bCs/>
              </w:rPr>
              <w:t>All participants</w:t>
            </w:r>
          </w:p>
        </w:tc>
        <w:tc>
          <w:tcPr>
            <w:tcW w:w="2179" w:type="dxa"/>
            <w:tcBorders>
              <w:top w:val="single" w:sz="12" w:space="0" w:color="4F81BD"/>
            </w:tcBorders>
          </w:tcPr>
          <w:p w:rsidR="00EC43A4" w:rsidRDefault="00CF55F8">
            <w:pPr>
              <w:spacing w:line="360" w:lineRule="auto"/>
              <w:jc w:val="center"/>
              <w:rPr>
                <w:rFonts w:ascii="Times New Roman" w:hAnsi="Times New Roman" w:cs="Times New Roman"/>
              </w:rPr>
            </w:pPr>
            <w:r>
              <w:rPr>
                <w:rFonts w:ascii="Times New Roman" w:hAnsi="Times New Roman" w:cs="Times New Roman"/>
              </w:rPr>
              <w:t>3250 (660)</w:t>
            </w:r>
          </w:p>
        </w:tc>
        <w:tc>
          <w:tcPr>
            <w:tcW w:w="541" w:type="dxa"/>
            <w:tcBorders>
              <w:top w:val="single" w:sz="12" w:space="0" w:color="4F81BD"/>
            </w:tcBorders>
          </w:tcPr>
          <w:p w:rsidR="00EC43A4" w:rsidRDefault="00EC43A4">
            <w:pPr>
              <w:spacing w:line="360" w:lineRule="auto"/>
              <w:jc w:val="center"/>
              <w:rPr>
                <w:rFonts w:ascii="Times New Roman" w:hAnsi="Times New Roman" w:cs="Times New Roman"/>
              </w:rPr>
            </w:pPr>
          </w:p>
        </w:tc>
        <w:tc>
          <w:tcPr>
            <w:tcW w:w="1388" w:type="dxa"/>
            <w:tcBorders>
              <w:top w:val="single" w:sz="12" w:space="0" w:color="4F81BD"/>
            </w:tcBorders>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0.19 (0.17)</w:t>
            </w:r>
          </w:p>
        </w:tc>
        <w:tc>
          <w:tcPr>
            <w:tcW w:w="1789" w:type="dxa"/>
            <w:tcBorders>
              <w:top w:val="single" w:sz="12" w:space="0" w:color="4F81BD"/>
            </w:tcBorders>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0.21 (0.16)</w:t>
            </w:r>
          </w:p>
        </w:tc>
        <w:tc>
          <w:tcPr>
            <w:tcW w:w="1534" w:type="dxa"/>
            <w:tcBorders>
              <w:top w:val="single" w:sz="12" w:space="0" w:color="4F81BD"/>
            </w:tcBorders>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(0.15)</w:t>
            </w:r>
          </w:p>
        </w:tc>
        <w:tc>
          <w:tcPr>
            <w:tcW w:w="1672" w:type="dxa"/>
            <w:tcBorders>
              <w:top w:val="single" w:sz="12" w:space="0" w:color="4F81BD"/>
            </w:tcBorders>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0.25 (0.14)</w:t>
            </w:r>
          </w:p>
        </w:tc>
        <w:tc>
          <w:tcPr>
            <w:tcW w:w="1756" w:type="dxa"/>
            <w:tcBorders>
              <w:top w:val="single" w:sz="12" w:space="0" w:color="4F81BD"/>
            </w:tcBorders>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0.26 (0.13)</w:t>
            </w:r>
          </w:p>
        </w:tc>
      </w:tr>
      <w:tr w:rsidR="00CF55F8" w:rsidRPr="002F5C3F" w:rsidTr="00CD3B73">
        <w:trPr>
          <w:jc w:val="center"/>
        </w:trPr>
        <w:tc>
          <w:tcPr>
            <w:tcW w:w="3466" w:type="dxa"/>
            <w:shd w:val="clear" w:color="auto" w:fill="C6D9F1"/>
          </w:tcPr>
          <w:p w:rsidR="00EC43A4" w:rsidRDefault="00CF55F8">
            <w:pPr>
              <w:spacing w:line="360" w:lineRule="auto"/>
              <w:rPr>
                <w:rFonts w:ascii="Times New Roman" w:hAnsi="Times New Roman" w:cs="Times New Roman"/>
                <w:b/>
                <w:bCs/>
              </w:rPr>
            </w:pPr>
            <w:r>
              <w:rPr>
                <w:rFonts w:ascii="Times New Roman" w:hAnsi="Times New Roman" w:cs="Times New Roman"/>
                <w:b/>
                <w:bCs/>
              </w:rPr>
              <w:t>Maternal Ethnicity</w:t>
            </w:r>
          </w:p>
        </w:tc>
        <w:tc>
          <w:tcPr>
            <w:tcW w:w="2179" w:type="dxa"/>
            <w:shd w:val="clear" w:color="auto" w:fill="C6D9F1"/>
          </w:tcPr>
          <w:p w:rsidR="00EC43A4" w:rsidRDefault="00EC43A4">
            <w:pPr>
              <w:spacing w:line="360" w:lineRule="auto"/>
              <w:jc w:val="center"/>
              <w:rPr>
                <w:rFonts w:ascii="Times New Roman" w:hAnsi="Times New Roman" w:cs="Times New Roman"/>
              </w:rPr>
            </w:pP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EC43A4">
            <w:pPr>
              <w:spacing w:line="360" w:lineRule="auto"/>
              <w:jc w:val="center"/>
              <w:rPr>
                <w:rFonts w:asciiTheme="majorBidi" w:hAnsiTheme="majorBidi" w:cstheme="majorBidi"/>
              </w:rPr>
            </w:pPr>
          </w:p>
        </w:tc>
        <w:tc>
          <w:tcPr>
            <w:tcW w:w="1789" w:type="dxa"/>
            <w:shd w:val="clear" w:color="auto" w:fill="C6D9F1"/>
            <w:vAlign w:val="bottom"/>
          </w:tcPr>
          <w:p w:rsidR="00EC43A4" w:rsidRDefault="00EC43A4">
            <w:pPr>
              <w:spacing w:line="360" w:lineRule="auto"/>
              <w:jc w:val="center"/>
              <w:rPr>
                <w:rFonts w:asciiTheme="majorBidi" w:hAnsiTheme="majorBidi" w:cstheme="majorBidi"/>
              </w:rPr>
            </w:pPr>
          </w:p>
        </w:tc>
        <w:tc>
          <w:tcPr>
            <w:tcW w:w="1534" w:type="dxa"/>
            <w:shd w:val="clear" w:color="auto" w:fill="C6D9F1"/>
            <w:vAlign w:val="bottom"/>
          </w:tcPr>
          <w:p w:rsidR="00EC43A4" w:rsidRDefault="00EC43A4">
            <w:pPr>
              <w:spacing w:line="360" w:lineRule="auto"/>
              <w:jc w:val="center"/>
              <w:rPr>
                <w:rFonts w:asciiTheme="majorBidi" w:hAnsiTheme="majorBidi" w:cstheme="majorBidi"/>
              </w:rPr>
            </w:pPr>
          </w:p>
        </w:tc>
        <w:tc>
          <w:tcPr>
            <w:tcW w:w="1672" w:type="dxa"/>
            <w:shd w:val="clear" w:color="auto" w:fill="C6D9F1"/>
            <w:vAlign w:val="bottom"/>
          </w:tcPr>
          <w:p w:rsidR="00EC43A4" w:rsidRDefault="00EC43A4">
            <w:pPr>
              <w:spacing w:line="360" w:lineRule="auto"/>
              <w:jc w:val="center"/>
              <w:rPr>
                <w:rFonts w:asciiTheme="majorBidi" w:hAnsiTheme="majorBidi" w:cstheme="majorBidi"/>
              </w:rPr>
            </w:pPr>
          </w:p>
        </w:tc>
        <w:tc>
          <w:tcPr>
            <w:tcW w:w="1756" w:type="dxa"/>
            <w:shd w:val="clear" w:color="auto" w:fill="C6D9F1"/>
            <w:vAlign w:val="bottom"/>
          </w:tcPr>
          <w:p w:rsidR="00EC43A4" w:rsidRDefault="00EC43A4">
            <w:pPr>
              <w:spacing w:line="360" w:lineRule="auto"/>
              <w:jc w:val="center"/>
              <w:rPr>
                <w:rFonts w:asciiTheme="majorBidi" w:hAnsiTheme="majorBidi" w:cstheme="majorBidi"/>
              </w:rPr>
            </w:pPr>
          </w:p>
        </w:tc>
      </w:tr>
      <w:tr w:rsidR="00CF55F8" w:rsidRPr="002F5C3F" w:rsidTr="00CD3B73">
        <w:trPr>
          <w:jc w:val="center"/>
        </w:trPr>
        <w:tc>
          <w:tcPr>
            <w:tcW w:w="3466" w:type="dxa"/>
            <w:shd w:val="clear" w:color="auto" w:fill="C6D9F1"/>
          </w:tcPr>
          <w:p w:rsidR="00EC43A4" w:rsidRDefault="00CF55F8">
            <w:pPr>
              <w:spacing w:line="360" w:lineRule="auto"/>
              <w:rPr>
                <w:rFonts w:ascii="Times New Roman" w:hAnsi="Times New Roman" w:cs="Times New Roman"/>
              </w:rPr>
            </w:pPr>
            <w:r>
              <w:rPr>
                <w:rFonts w:ascii="Times New Roman" w:hAnsi="Times New Roman" w:cs="Times New Roman"/>
              </w:rPr>
              <w:t xml:space="preserve">     White British</w:t>
            </w:r>
          </w:p>
        </w:tc>
        <w:tc>
          <w:tcPr>
            <w:tcW w:w="2179" w:type="dxa"/>
            <w:shd w:val="clear" w:color="auto" w:fill="C6D9F1"/>
          </w:tcPr>
          <w:p w:rsidR="00EC43A4" w:rsidRDefault="00CF55F8">
            <w:pPr>
              <w:spacing w:line="360" w:lineRule="auto"/>
              <w:jc w:val="center"/>
              <w:rPr>
                <w:rFonts w:ascii="Times New Roman" w:hAnsi="Times New Roman" w:cs="Times New Roman"/>
              </w:rPr>
            </w:pPr>
            <w:r>
              <w:rPr>
                <w:rFonts w:ascii="Times New Roman" w:hAnsi="Times New Roman" w:cs="Times New Roman"/>
              </w:rPr>
              <w:t>3380 (680)</w:t>
            </w: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0.25 (0.12)</w:t>
            </w:r>
          </w:p>
        </w:tc>
        <w:tc>
          <w:tcPr>
            <w:tcW w:w="1789"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0.26 (0.12)</w:t>
            </w:r>
          </w:p>
        </w:tc>
        <w:tc>
          <w:tcPr>
            <w:tcW w:w="1534"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0.28 (0.11)</w:t>
            </w:r>
          </w:p>
        </w:tc>
        <w:tc>
          <w:tcPr>
            <w:tcW w:w="1672"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0.3</w:t>
            </w:r>
            <w:r w:rsidR="00CD3B73">
              <w:rPr>
                <w:rFonts w:asciiTheme="majorBidi" w:hAnsiTheme="majorBidi" w:cstheme="majorBidi"/>
                <w:color w:val="000000"/>
              </w:rPr>
              <w:t>0</w:t>
            </w:r>
            <w:r w:rsidRPr="005618BC">
              <w:rPr>
                <w:rFonts w:asciiTheme="majorBidi" w:hAnsiTheme="majorBidi" w:cstheme="majorBidi"/>
                <w:color w:val="000000"/>
              </w:rPr>
              <w:t xml:space="preserve"> (0.1</w:t>
            </w:r>
            <w:r w:rsidR="00CD3B73">
              <w:rPr>
                <w:rFonts w:asciiTheme="majorBidi" w:hAnsiTheme="majorBidi" w:cstheme="majorBidi"/>
                <w:color w:val="000000"/>
              </w:rPr>
              <w:t>0</w:t>
            </w:r>
            <w:r w:rsidRPr="005618BC">
              <w:rPr>
                <w:rFonts w:asciiTheme="majorBidi" w:hAnsiTheme="majorBidi" w:cstheme="majorBidi"/>
                <w:color w:val="000000"/>
              </w:rPr>
              <w:t>)</w:t>
            </w:r>
          </w:p>
        </w:tc>
        <w:tc>
          <w:tcPr>
            <w:tcW w:w="1756"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0.31 (0.12)</w:t>
            </w:r>
          </w:p>
        </w:tc>
      </w:tr>
      <w:tr w:rsidR="00CF55F8" w:rsidRPr="002F5C3F" w:rsidTr="00CD3B73">
        <w:trPr>
          <w:jc w:val="center"/>
        </w:trPr>
        <w:tc>
          <w:tcPr>
            <w:tcW w:w="3466" w:type="dxa"/>
            <w:shd w:val="clear" w:color="auto" w:fill="C6D9F1"/>
          </w:tcPr>
          <w:p w:rsidR="00EC43A4" w:rsidRDefault="00CF55F8">
            <w:pPr>
              <w:spacing w:line="360" w:lineRule="auto"/>
              <w:rPr>
                <w:rFonts w:ascii="Times New Roman" w:hAnsi="Times New Roman" w:cs="Times New Roman"/>
              </w:rPr>
            </w:pPr>
            <w:r>
              <w:rPr>
                <w:rFonts w:ascii="Times New Roman" w:hAnsi="Times New Roman" w:cs="Times New Roman"/>
              </w:rPr>
              <w:t xml:space="preserve">     Pakistani origin</w:t>
            </w:r>
          </w:p>
        </w:tc>
        <w:tc>
          <w:tcPr>
            <w:tcW w:w="2179" w:type="dxa"/>
            <w:shd w:val="clear" w:color="auto" w:fill="C6D9F1"/>
          </w:tcPr>
          <w:p w:rsidR="00EC43A4" w:rsidRDefault="00CF55F8">
            <w:pPr>
              <w:spacing w:line="360" w:lineRule="auto"/>
              <w:jc w:val="center"/>
              <w:rPr>
                <w:rFonts w:ascii="Times New Roman" w:hAnsi="Times New Roman" w:cs="Times New Roman"/>
              </w:rPr>
            </w:pPr>
            <w:r>
              <w:rPr>
                <w:rFonts w:ascii="Times New Roman" w:hAnsi="Times New Roman" w:cs="Times New Roman"/>
              </w:rPr>
              <w:t>3140 (630)</w:t>
            </w: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0.19 (0.17)</w:t>
            </w:r>
          </w:p>
        </w:tc>
        <w:tc>
          <w:tcPr>
            <w:tcW w:w="1789"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0.21 (0.16)</w:t>
            </w:r>
          </w:p>
        </w:tc>
        <w:tc>
          <w:tcPr>
            <w:tcW w:w="1534"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0.22 (0.15)</w:t>
            </w:r>
          </w:p>
        </w:tc>
        <w:tc>
          <w:tcPr>
            <w:tcW w:w="1672"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0.24 (0.14)</w:t>
            </w:r>
          </w:p>
        </w:tc>
        <w:tc>
          <w:tcPr>
            <w:tcW w:w="1756"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0.25 (0.13)</w:t>
            </w:r>
          </w:p>
        </w:tc>
      </w:tr>
      <w:tr w:rsidR="00CF55F8" w:rsidRPr="002F5C3F" w:rsidTr="00CD3B73">
        <w:trPr>
          <w:jc w:val="center"/>
        </w:trPr>
        <w:tc>
          <w:tcPr>
            <w:tcW w:w="3466" w:type="dxa"/>
            <w:shd w:val="clear" w:color="auto" w:fill="C6D9F1"/>
          </w:tcPr>
          <w:p w:rsidR="00EC43A4" w:rsidRDefault="00CF55F8">
            <w:pPr>
              <w:spacing w:line="360" w:lineRule="auto"/>
              <w:rPr>
                <w:rFonts w:ascii="Times New Roman" w:hAnsi="Times New Roman" w:cs="Times New Roman"/>
              </w:rPr>
            </w:pPr>
            <w:r>
              <w:rPr>
                <w:rFonts w:ascii="Times New Roman" w:hAnsi="Times New Roman" w:cs="Times New Roman"/>
              </w:rPr>
              <w:t xml:space="preserve">     Other</w:t>
            </w:r>
          </w:p>
        </w:tc>
        <w:tc>
          <w:tcPr>
            <w:tcW w:w="2179" w:type="dxa"/>
            <w:shd w:val="clear" w:color="auto" w:fill="C6D9F1"/>
          </w:tcPr>
          <w:p w:rsidR="00EC43A4" w:rsidRDefault="00CF55F8">
            <w:pPr>
              <w:spacing w:line="360" w:lineRule="auto"/>
              <w:jc w:val="center"/>
              <w:rPr>
                <w:rFonts w:ascii="Times New Roman" w:hAnsi="Times New Roman" w:cs="Times New Roman"/>
              </w:rPr>
            </w:pPr>
            <w:r>
              <w:rPr>
                <w:rFonts w:ascii="Times New Roman" w:hAnsi="Times New Roman" w:cs="Times New Roman"/>
              </w:rPr>
              <w:t>3220 (643)</w:t>
            </w: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0.13 (0.16)</w:t>
            </w:r>
          </w:p>
        </w:tc>
        <w:tc>
          <w:tcPr>
            <w:tcW w:w="1789"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0.14 (0.15)</w:t>
            </w:r>
          </w:p>
        </w:tc>
        <w:tc>
          <w:tcPr>
            <w:tcW w:w="1534"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0.17 (0.14)</w:t>
            </w:r>
          </w:p>
        </w:tc>
        <w:tc>
          <w:tcPr>
            <w:tcW w:w="1672"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0.19 (0.13)</w:t>
            </w:r>
          </w:p>
        </w:tc>
        <w:tc>
          <w:tcPr>
            <w:tcW w:w="1756"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0.22 (0.09)</w:t>
            </w:r>
          </w:p>
        </w:tc>
      </w:tr>
      <w:tr w:rsidR="00CF55F8" w:rsidRPr="002F5C3F" w:rsidTr="00CD3B73">
        <w:trPr>
          <w:jc w:val="center"/>
        </w:trPr>
        <w:tc>
          <w:tcPr>
            <w:tcW w:w="3466" w:type="dxa"/>
          </w:tcPr>
          <w:p w:rsidR="00EC43A4" w:rsidRDefault="00CF55F8">
            <w:pPr>
              <w:spacing w:line="360" w:lineRule="auto"/>
              <w:ind w:left="720" w:hanging="720"/>
              <w:rPr>
                <w:rFonts w:ascii="Times New Roman" w:hAnsi="Times New Roman" w:cs="Times New Roman"/>
                <w:b/>
                <w:bCs/>
              </w:rPr>
            </w:pPr>
            <w:r>
              <w:rPr>
                <w:rFonts w:ascii="Times New Roman" w:hAnsi="Times New Roman" w:cs="Times New Roman"/>
                <w:b/>
                <w:bCs/>
              </w:rPr>
              <w:t>Maternal Education</w:t>
            </w:r>
          </w:p>
        </w:tc>
        <w:tc>
          <w:tcPr>
            <w:tcW w:w="2179" w:type="dxa"/>
          </w:tcPr>
          <w:p w:rsidR="00EC43A4" w:rsidRDefault="00EC43A4">
            <w:pPr>
              <w:spacing w:line="360" w:lineRule="auto"/>
              <w:jc w:val="center"/>
              <w:rPr>
                <w:rFonts w:ascii="Times New Roman" w:hAnsi="Times New Roman" w:cs="Times New Roman"/>
              </w:rPr>
            </w:pPr>
          </w:p>
        </w:tc>
        <w:tc>
          <w:tcPr>
            <w:tcW w:w="541" w:type="dxa"/>
          </w:tcPr>
          <w:p w:rsidR="00EC43A4" w:rsidRDefault="00EC43A4">
            <w:pPr>
              <w:spacing w:line="360" w:lineRule="auto"/>
              <w:jc w:val="center"/>
              <w:rPr>
                <w:rFonts w:ascii="Times New Roman" w:hAnsi="Times New Roman" w:cs="Times New Roman"/>
              </w:rPr>
            </w:pPr>
          </w:p>
        </w:tc>
        <w:tc>
          <w:tcPr>
            <w:tcW w:w="1388" w:type="dxa"/>
            <w:vAlign w:val="bottom"/>
          </w:tcPr>
          <w:p w:rsidR="00EC43A4" w:rsidRDefault="00EC43A4">
            <w:pPr>
              <w:spacing w:line="360" w:lineRule="auto"/>
              <w:jc w:val="center"/>
              <w:rPr>
                <w:rFonts w:asciiTheme="majorBidi" w:hAnsiTheme="majorBidi" w:cstheme="majorBidi"/>
              </w:rPr>
            </w:pPr>
          </w:p>
        </w:tc>
        <w:tc>
          <w:tcPr>
            <w:tcW w:w="1789" w:type="dxa"/>
            <w:vAlign w:val="bottom"/>
          </w:tcPr>
          <w:p w:rsidR="00EC43A4" w:rsidRDefault="00EC43A4">
            <w:pPr>
              <w:spacing w:line="360" w:lineRule="auto"/>
              <w:jc w:val="center"/>
              <w:rPr>
                <w:rFonts w:asciiTheme="majorBidi" w:hAnsiTheme="majorBidi" w:cstheme="majorBidi"/>
              </w:rPr>
            </w:pPr>
          </w:p>
        </w:tc>
        <w:tc>
          <w:tcPr>
            <w:tcW w:w="1534" w:type="dxa"/>
            <w:vAlign w:val="bottom"/>
          </w:tcPr>
          <w:p w:rsidR="00EC43A4" w:rsidRDefault="00EC43A4">
            <w:pPr>
              <w:spacing w:line="360" w:lineRule="auto"/>
              <w:jc w:val="center"/>
              <w:rPr>
                <w:rFonts w:asciiTheme="majorBidi" w:hAnsiTheme="majorBidi" w:cstheme="majorBidi"/>
              </w:rPr>
            </w:pPr>
          </w:p>
        </w:tc>
        <w:tc>
          <w:tcPr>
            <w:tcW w:w="1672" w:type="dxa"/>
            <w:vAlign w:val="bottom"/>
          </w:tcPr>
          <w:p w:rsidR="00EC43A4" w:rsidRDefault="00EC43A4">
            <w:pPr>
              <w:spacing w:line="360" w:lineRule="auto"/>
              <w:jc w:val="center"/>
              <w:rPr>
                <w:rFonts w:asciiTheme="majorBidi" w:hAnsiTheme="majorBidi" w:cstheme="majorBidi"/>
              </w:rPr>
            </w:pPr>
          </w:p>
        </w:tc>
        <w:tc>
          <w:tcPr>
            <w:tcW w:w="1756" w:type="dxa"/>
            <w:vAlign w:val="bottom"/>
          </w:tcPr>
          <w:p w:rsidR="00EC43A4" w:rsidRDefault="00EC43A4">
            <w:pPr>
              <w:spacing w:line="360" w:lineRule="auto"/>
              <w:jc w:val="center"/>
              <w:rPr>
                <w:rFonts w:asciiTheme="majorBidi" w:hAnsiTheme="majorBidi" w:cstheme="majorBidi"/>
              </w:rPr>
            </w:pPr>
          </w:p>
        </w:tc>
      </w:tr>
      <w:tr w:rsidR="00CF55F8" w:rsidRPr="002F5C3F" w:rsidTr="00CD3B73">
        <w:trPr>
          <w:jc w:val="center"/>
        </w:trPr>
        <w:tc>
          <w:tcPr>
            <w:tcW w:w="3466" w:type="dxa"/>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Less than five GCSEs</w:t>
            </w:r>
          </w:p>
        </w:tc>
        <w:tc>
          <w:tcPr>
            <w:tcW w:w="2179" w:type="dxa"/>
          </w:tcPr>
          <w:p w:rsidR="00EC43A4" w:rsidRDefault="00CF55F8">
            <w:pPr>
              <w:spacing w:line="360" w:lineRule="auto"/>
              <w:jc w:val="center"/>
              <w:rPr>
                <w:rFonts w:ascii="Times New Roman" w:hAnsi="Times New Roman" w:cs="Times New Roman"/>
              </w:rPr>
            </w:pPr>
            <w:r>
              <w:rPr>
                <w:rFonts w:ascii="Times New Roman" w:hAnsi="Times New Roman" w:cs="Times New Roman"/>
              </w:rPr>
              <w:t>3200 (650)</w:t>
            </w:r>
          </w:p>
        </w:tc>
        <w:tc>
          <w:tcPr>
            <w:tcW w:w="541" w:type="dxa"/>
          </w:tcPr>
          <w:p w:rsidR="00EC43A4" w:rsidRDefault="00EC43A4">
            <w:pPr>
              <w:spacing w:line="360" w:lineRule="auto"/>
              <w:jc w:val="center"/>
              <w:rPr>
                <w:rFonts w:ascii="Times New Roman" w:hAnsi="Times New Roman" w:cs="Times New Roman"/>
              </w:rPr>
            </w:pPr>
          </w:p>
        </w:tc>
        <w:tc>
          <w:tcPr>
            <w:tcW w:w="1388"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0.17 (0.18)</w:t>
            </w:r>
          </w:p>
        </w:tc>
        <w:tc>
          <w:tcPr>
            <w:tcW w:w="1789"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0.18 (0.17)</w:t>
            </w:r>
          </w:p>
        </w:tc>
        <w:tc>
          <w:tcPr>
            <w:tcW w:w="1534"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w:t>
            </w:r>
            <w:r w:rsidR="00CD3B73">
              <w:rPr>
                <w:rFonts w:asciiTheme="majorBidi" w:hAnsiTheme="majorBidi" w:cstheme="majorBidi"/>
                <w:color w:val="000000"/>
              </w:rPr>
              <w:t>0</w:t>
            </w:r>
            <w:r w:rsidRPr="005618BC">
              <w:rPr>
                <w:rFonts w:asciiTheme="majorBidi" w:hAnsiTheme="majorBidi" w:cstheme="majorBidi"/>
                <w:color w:val="000000"/>
              </w:rPr>
              <w:t xml:space="preserve"> (0.15)</w:t>
            </w:r>
          </w:p>
        </w:tc>
        <w:tc>
          <w:tcPr>
            <w:tcW w:w="1672"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(0.15)</w:t>
            </w:r>
          </w:p>
        </w:tc>
        <w:tc>
          <w:tcPr>
            <w:tcW w:w="1756"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(0.11)</w:t>
            </w:r>
          </w:p>
        </w:tc>
      </w:tr>
      <w:tr w:rsidR="00CF55F8" w:rsidRPr="002F5C3F" w:rsidTr="00CD3B73">
        <w:trPr>
          <w:jc w:val="center"/>
        </w:trPr>
        <w:tc>
          <w:tcPr>
            <w:tcW w:w="3466" w:type="dxa"/>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Five GCSE or A level equivalent</w:t>
            </w:r>
          </w:p>
        </w:tc>
        <w:tc>
          <w:tcPr>
            <w:tcW w:w="2179" w:type="dxa"/>
          </w:tcPr>
          <w:p w:rsidR="00EC43A4" w:rsidRDefault="00CF55F8">
            <w:pPr>
              <w:spacing w:line="360" w:lineRule="auto"/>
              <w:jc w:val="center"/>
              <w:rPr>
                <w:rFonts w:ascii="Times New Roman" w:hAnsi="Times New Roman" w:cs="Times New Roman"/>
              </w:rPr>
            </w:pPr>
            <w:r>
              <w:rPr>
                <w:rFonts w:ascii="Times New Roman" w:hAnsi="Times New Roman" w:cs="Times New Roman"/>
              </w:rPr>
              <w:t>3250 (660)</w:t>
            </w:r>
          </w:p>
        </w:tc>
        <w:tc>
          <w:tcPr>
            <w:tcW w:w="541" w:type="dxa"/>
          </w:tcPr>
          <w:p w:rsidR="00EC43A4" w:rsidRDefault="00EC43A4">
            <w:pPr>
              <w:spacing w:line="360" w:lineRule="auto"/>
              <w:jc w:val="center"/>
              <w:rPr>
                <w:rFonts w:ascii="Times New Roman" w:hAnsi="Times New Roman" w:cs="Times New Roman"/>
              </w:rPr>
            </w:pPr>
          </w:p>
        </w:tc>
        <w:tc>
          <w:tcPr>
            <w:tcW w:w="1388"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w:t>
            </w:r>
            <w:r w:rsidR="00CD3B73">
              <w:rPr>
                <w:rFonts w:asciiTheme="majorBidi" w:hAnsiTheme="majorBidi" w:cstheme="majorBidi"/>
                <w:color w:val="000000"/>
              </w:rPr>
              <w:t>0</w:t>
            </w:r>
            <w:r w:rsidRPr="005618BC">
              <w:rPr>
                <w:rFonts w:asciiTheme="majorBidi" w:hAnsiTheme="majorBidi" w:cstheme="majorBidi"/>
                <w:color w:val="000000"/>
              </w:rPr>
              <w:t xml:space="preserve"> (0.17)</w:t>
            </w:r>
          </w:p>
        </w:tc>
        <w:tc>
          <w:tcPr>
            <w:tcW w:w="1789"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0.21 (0.16)</w:t>
            </w:r>
          </w:p>
        </w:tc>
        <w:tc>
          <w:tcPr>
            <w:tcW w:w="1534"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(0.15)</w:t>
            </w:r>
          </w:p>
        </w:tc>
        <w:tc>
          <w:tcPr>
            <w:tcW w:w="1672"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0.26 (0.14)</w:t>
            </w:r>
          </w:p>
        </w:tc>
        <w:tc>
          <w:tcPr>
            <w:tcW w:w="1756"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0.26 (0.13)</w:t>
            </w:r>
          </w:p>
        </w:tc>
      </w:tr>
      <w:tr w:rsidR="00CF55F8" w:rsidRPr="002F5C3F" w:rsidTr="00CD3B73">
        <w:trPr>
          <w:jc w:val="center"/>
        </w:trPr>
        <w:tc>
          <w:tcPr>
            <w:tcW w:w="3466" w:type="dxa"/>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Higher than A level equivalent</w:t>
            </w:r>
          </w:p>
        </w:tc>
        <w:tc>
          <w:tcPr>
            <w:tcW w:w="2179" w:type="dxa"/>
          </w:tcPr>
          <w:p w:rsidR="00EC43A4" w:rsidRDefault="00CF55F8">
            <w:pPr>
              <w:spacing w:line="360" w:lineRule="auto"/>
              <w:jc w:val="center"/>
              <w:rPr>
                <w:rFonts w:ascii="Times New Roman" w:hAnsi="Times New Roman" w:cs="Times New Roman"/>
              </w:rPr>
            </w:pPr>
            <w:r>
              <w:rPr>
                <w:rFonts w:ascii="Times New Roman" w:hAnsi="Times New Roman" w:cs="Times New Roman"/>
              </w:rPr>
              <w:t>3260 (680)</w:t>
            </w:r>
          </w:p>
        </w:tc>
        <w:tc>
          <w:tcPr>
            <w:tcW w:w="541" w:type="dxa"/>
          </w:tcPr>
          <w:p w:rsidR="00EC43A4" w:rsidRDefault="00EC43A4">
            <w:pPr>
              <w:spacing w:line="360" w:lineRule="auto"/>
              <w:jc w:val="center"/>
              <w:rPr>
                <w:rFonts w:ascii="Times New Roman" w:hAnsi="Times New Roman" w:cs="Times New Roman"/>
              </w:rPr>
            </w:pPr>
          </w:p>
        </w:tc>
        <w:tc>
          <w:tcPr>
            <w:tcW w:w="1388"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w:t>
            </w:r>
            <w:r w:rsidR="00CD3B73">
              <w:rPr>
                <w:rFonts w:asciiTheme="majorBidi" w:hAnsiTheme="majorBidi" w:cstheme="majorBidi"/>
                <w:color w:val="000000"/>
              </w:rPr>
              <w:t>0</w:t>
            </w:r>
            <w:r w:rsidRPr="005618BC">
              <w:rPr>
                <w:rFonts w:asciiTheme="majorBidi" w:hAnsiTheme="majorBidi" w:cstheme="majorBidi"/>
                <w:color w:val="000000"/>
              </w:rPr>
              <w:t xml:space="preserve"> (0.16)</w:t>
            </w:r>
          </w:p>
        </w:tc>
        <w:tc>
          <w:tcPr>
            <w:tcW w:w="1789"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0.22 (0.16)</w:t>
            </w:r>
          </w:p>
        </w:tc>
        <w:tc>
          <w:tcPr>
            <w:tcW w:w="1534"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0.24 (0.14)</w:t>
            </w:r>
          </w:p>
        </w:tc>
        <w:tc>
          <w:tcPr>
            <w:tcW w:w="1672"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0.27 (0.13)</w:t>
            </w:r>
          </w:p>
        </w:tc>
        <w:tc>
          <w:tcPr>
            <w:tcW w:w="1756"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0.27 (0.13)</w:t>
            </w:r>
          </w:p>
        </w:tc>
      </w:tr>
      <w:tr w:rsidR="00CF55F8" w:rsidRPr="002F5C3F" w:rsidTr="00CD3B73">
        <w:trPr>
          <w:jc w:val="center"/>
        </w:trPr>
        <w:tc>
          <w:tcPr>
            <w:tcW w:w="3466" w:type="dxa"/>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Other</w:t>
            </w:r>
          </w:p>
        </w:tc>
        <w:tc>
          <w:tcPr>
            <w:tcW w:w="2179" w:type="dxa"/>
          </w:tcPr>
          <w:p w:rsidR="00EC43A4" w:rsidRDefault="00CF55F8">
            <w:pPr>
              <w:spacing w:line="360" w:lineRule="auto"/>
              <w:jc w:val="center"/>
              <w:rPr>
                <w:rFonts w:ascii="Times New Roman" w:hAnsi="Times New Roman" w:cs="Times New Roman"/>
              </w:rPr>
            </w:pPr>
            <w:r>
              <w:rPr>
                <w:rFonts w:ascii="Times New Roman" w:hAnsi="Times New Roman" w:cs="Times New Roman"/>
              </w:rPr>
              <w:t>3315 (639)</w:t>
            </w:r>
          </w:p>
        </w:tc>
        <w:tc>
          <w:tcPr>
            <w:tcW w:w="541" w:type="dxa"/>
          </w:tcPr>
          <w:p w:rsidR="00EC43A4" w:rsidRDefault="00EC43A4">
            <w:pPr>
              <w:spacing w:line="360" w:lineRule="auto"/>
              <w:jc w:val="center"/>
              <w:rPr>
                <w:rFonts w:ascii="Times New Roman" w:hAnsi="Times New Roman" w:cs="Times New Roman"/>
              </w:rPr>
            </w:pPr>
          </w:p>
        </w:tc>
        <w:tc>
          <w:tcPr>
            <w:tcW w:w="1388"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0.22 (0.15)</w:t>
            </w:r>
          </w:p>
        </w:tc>
        <w:tc>
          <w:tcPr>
            <w:tcW w:w="1789"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(0.14)</w:t>
            </w:r>
          </w:p>
        </w:tc>
        <w:tc>
          <w:tcPr>
            <w:tcW w:w="1534"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0.25 (0.14)</w:t>
            </w:r>
          </w:p>
        </w:tc>
        <w:tc>
          <w:tcPr>
            <w:tcW w:w="1672"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0.28 (0.14)</w:t>
            </w:r>
          </w:p>
        </w:tc>
        <w:tc>
          <w:tcPr>
            <w:tcW w:w="1756" w:type="dxa"/>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0.28 (0.13)</w:t>
            </w:r>
          </w:p>
        </w:tc>
      </w:tr>
      <w:tr w:rsidR="00CF55F8" w:rsidRPr="002F5C3F" w:rsidTr="00CD3B73">
        <w:trPr>
          <w:jc w:val="center"/>
        </w:trPr>
        <w:tc>
          <w:tcPr>
            <w:tcW w:w="3466" w:type="dxa"/>
            <w:shd w:val="clear" w:color="auto" w:fill="C6D9F1"/>
          </w:tcPr>
          <w:p w:rsidR="00EC43A4" w:rsidRDefault="00CF55F8">
            <w:pPr>
              <w:spacing w:line="360" w:lineRule="auto"/>
              <w:ind w:left="720" w:hanging="720"/>
              <w:rPr>
                <w:rFonts w:ascii="Times New Roman" w:hAnsi="Times New Roman" w:cs="Times New Roman"/>
                <w:b/>
                <w:bCs/>
              </w:rPr>
            </w:pPr>
            <w:r>
              <w:rPr>
                <w:rFonts w:ascii="Times New Roman" w:hAnsi="Times New Roman" w:cs="Times New Roman"/>
                <w:b/>
                <w:bCs/>
              </w:rPr>
              <w:t>Neighbourhood IMD</w:t>
            </w:r>
          </w:p>
        </w:tc>
        <w:tc>
          <w:tcPr>
            <w:tcW w:w="2179" w:type="dxa"/>
            <w:shd w:val="clear" w:color="auto" w:fill="C6D9F1"/>
          </w:tcPr>
          <w:p w:rsidR="00EC43A4" w:rsidRDefault="00EC43A4">
            <w:pPr>
              <w:spacing w:line="360" w:lineRule="auto"/>
              <w:jc w:val="center"/>
              <w:rPr>
                <w:rFonts w:ascii="Times New Roman" w:hAnsi="Times New Roman" w:cs="Times New Roman"/>
              </w:rPr>
            </w:pP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EC43A4">
            <w:pPr>
              <w:spacing w:line="360" w:lineRule="auto"/>
              <w:jc w:val="center"/>
              <w:rPr>
                <w:rFonts w:asciiTheme="majorBidi" w:hAnsiTheme="majorBidi" w:cstheme="majorBidi"/>
              </w:rPr>
            </w:pPr>
          </w:p>
        </w:tc>
        <w:tc>
          <w:tcPr>
            <w:tcW w:w="1789" w:type="dxa"/>
            <w:shd w:val="clear" w:color="auto" w:fill="C6D9F1"/>
            <w:vAlign w:val="bottom"/>
          </w:tcPr>
          <w:p w:rsidR="00EC43A4" w:rsidRDefault="00EC43A4">
            <w:pPr>
              <w:spacing w:line="360" w:lineRule="auto"/>
              <w:jc w:val="center"/>
              <w:rPr>
                <w:rFonts w:asciiTheme="majorBidi" w:hAnsiTheme="majorBidi" w:cstheme="majorBidi"/>
              </w:rPr>
            </w:pPr>
          </w:p>
        </w:tc>
        <w:tc>
          <w:tcPr>
            <w:tcW w:w="1534" w:type="dxa"/>
            <w:shd w:val="clear" w:color="auto" w:fill="C6D9F1"/>
            <w:vAlign w:val="bottom"/>
          </w:tcPr>
          <w:p w:rsidR="00EC43A4" w:rsidRDefault="00EC43A4">
            <w:pPr>
              <w:spacing w:line="360" w:lineRule="auto"/>
              <w:jc w:val="center"/>
              <w:rPr>
                <w:rFonts w:asciiTheme="majorBidi" w:hAnsiTheme="majorBidi" w:cstheme="majorBidi"/>
              </w:rPr>
            </w:pPr>
          </w:p>
        </w:tc>
        <w:tc>
          <w:tcPr>
            <w:tcW w:w="1672" w:type="dxa"/>
            <w:shd w:val="clear" w:color="auto" w:fill="C6D9F1"/>
            <w:vAlign w:val="bottom"/>
          </w:tcPr>
          <w:p w:rsidR="00EC43A4" w:rsidRDefault="00EC43A4">
            <w:pPr>
              <w:spacing w:line="360" w:lineRule="auto"/>
              <w:jc w:val="center"/>
              <w:rPr>
                <w:rFonts w:asciiTheme="majorBidi" w:hAnsiTheme="majorBidi" w:cstheme="majorBidi"/>
              </w:rPr>
            </w:pPr>
          </w:p>
        </w:tc>
        <w:tc>
          <w:tcPr>
            <w:tcW w:w="1756" w:type="dxa"/>
            <w:shd w:val="clear" w:color="auto" w:fill="C6D9F1"/>
            <w:vAlign w:val="bottom"/>
          </w:tcPr>
          <w:p w:rsidR="00EC43A4" w:rsidRDefault="00EC43A4">
            <w:pPr>
              <w:spacing w:line="360" w:lineRule="auto"/>
              <w:jc w:val="center"/>
              <w:rPr>
                <w:rFonts w:asciiTheme="majorBidi" w:hAnsiTheme="majorBidi" w:cstheme="majorBidi"/>
              </w:rPr>
            </w:pPr>
          </w:p>
        </w:tc>
      </w:tr>
      <w:tr w:rsidR="00CF55F8" w:rsidRPr="002F5C3F" w:rsidTr="00CD3B73">
        <w:trPr>
          <w:jc w:val="center"/>
        </w:trPr>
        <w:tc>
          <w:tcPr>
            <w:tcW w:w="3466" w:type="dxa"/>
            <w:shd w:val="clear" w:color="auto" w:fill="C6D9F1"/>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1</w:t>
            </w:r>
            <w:r>
              <w:rPr>
                <w:rFonts w:ascii="Times New Roman" w:hAnsi="Times New Roman" w:cs="Times New Roman"/>
                <w:vertAlign w:val="superscript"/>
              </w:rPr>
              <w:t>st</w:t>
            </w:r>
            <w:r>
              <w:rPr>
                <w:rFonts w:ascii="Times New Roman" w:hAnsi="Times New Roman" w:cs="Times New Roman"/>
              </w:rPr>
              <w:t xml:space="preserve"> quartile  (Least deprived)</w:t>
            </w:r>
          </w:p>
        </w:tc>
        <w:tc>
          <w:tcPr>
            <w:tcW w:w="2179" w:type="dxa"/>
            <w:shd w:val="clear" w:color="auto" w:fill="C6D9F1"/>
          </w:tcPr>
          <w:p w:rsidR="00EC43A4" w:rsidRDefault="00CF55F8">
            <w:pPr>
              <w:spacing w:line="360" w:lineRule="auto"/>
              <w:jc w:val="center"/>
              <w:rPr>
                <w:rFonts w:ascii="Times New Roman" w:hAnsi="Times New Roman" w:cs="Times New Roman"/>
              </w:rPr>
            </w:pPr>
            <w:r>
              <w:rPr>
                <w:rFonts w:ascii="Times New Roman" w:hAnsi="Times New Roman" w:cs="Times New Roman"/>
              </w:rPr>
              <w:t>3320 (680)</w:t>
            </w: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(0.11)</w:t>
            </w:r>
          </w:p>
        </w:tc>
        <w:tc>
          <w:tcPr>
            <w:tcW w:w="1789"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0.25 (0.1</w:t>
            </w:r>
            <w:r w:rsidR="00CD3B73">
              <w:rPr>
                <w:rFonts w:asciiTheme="majorBidi" w:hAnsiTheme="majorBidi" w:cstheme="majorBidi"/>
                <w:color w:val="000000"/>
              </w:rPr>
              <w:t>0</w:t>
            </w:r>
            <w:r w:rsidRPr="005618BC">
              <w:rPr>
                <w:rFonts w:asciiTheme="majorBidi" w:hAnsiTheme="majorBidi" w:cstheme="majorBidi"/>
                <w:color w:val="000000"/>
              </w:rPr>
              <w:t>)</w:t>
            </w:r>
          </w:p>
        </w:tc>
        <w:tc>
          <w:tcPr>
            <w:tcW w:w="1534"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0.28 (0.1</w:t>
            </w:r>
            <w:r w:rsidR="00CD3B73">
              <w:rPr>
                <w:rFonts w:asciiTheme="majorBidi" w:hAnsiTheme="majorBidi" w:cstheme="majorBidi"/>
                <w:color w:val="000000"/>
              </w:rPr>
              <w:t>0</w:t>
            </w:r>
            <w:r w:rsidRPr="005618BC">
              <w:rPr>
                <w:rFonts w:asciiTheme="majorBidi" w:hAnsiTheme="majorBidi" w:cstheme="majorBidi"/>
                <w:color w:val="000000"/>
              </w:rPr>
              <w:t>)</w:t>
            </w:r>
          </w:p>
        </w:tc>
        <w:tc>
          <w:tcPr>
            <w:tcW w:w="1672"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0.3</w:t>
            </w:r>
            <w:r w:rsidR="001B4303">
              <w:rPr>
                <w:rFonts w:asciiTheme="majorBidi" w:hAnsiTheme="majorBidi" w:cstheme="majorBidi"/>
                <w:color w:val="000000"/>
              </w:rPr>
              <w:t>0</w:t>
            </w:r>
            <w:r w:rsidRPr="005618BC">
              <w:rPr>
                <w:rFonts w:asciiTheme="majorBidi" w:hAnsiTheme="majorBidi" w:cstheme="majorBidi"/>
                <w:color w:val="000000"/>
              </w:rPr>
              <w:t xml:space="preserve"> (0.1</w:t>
            </w:r>
            <w:r w:rsidR="00CD3B73">
              <w:rPr>
                <w:rFonts w:asciiTheme="majorBidi" w:hAnsiTheme="majorBidi" w:cstheme="majorBidi"/>
                <w:color w:val="000000"/>
              </w:rPr>
              <w:t>0</w:t>
            </w:r>
            <w:r w:rsidRPr="005618BC">
              <w:rPr>
                <w:rFonts w:asciiTheme="majorBidi" w:hAnsiTheme="majorBidi" w:cstheme="majorBidi"/>
                <w:color w:val="000000"/>
              </w:rPr>
              <w:t>)</w:t>
            </w:r>
          </w:p>
        </w:tc>
        <w:tc>
          <w:tcPr>
            <w:tcW w:w="1756"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0.32 (0.12)</w:t>
            </w:r>
          </w:p>
        </w:tc>
      </w:tr>
      <w:tr w:rsidR="00CF55F8" w:rsidRPr="002F5C3F" w:rsidTr="00CD3B73">
        <w:trPr>
          <w:jc w:val="center"/>
        </w:trPr>
        <w:tc>
          <w:tcPr>
            <w:tcW w:w="3466" w:type="dxa"/>
            <w:shd w:val="clear" w:color="auto" w:fill="C6D9F1"/>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quartile</w:t>
            </w:r>
          </w:p>
        </w:tc>
        <w:tc>
          <w:tcPr>
            <w:tcW w:w="2179" w:type="dxa"/>
            <w:shd w:val="clear" w:color="auto" w:fill="C6D9F1"/>
          </w:tcPr>
          <w:p w:rsidR="00EC43A4" w:rsidRDefault="00CF55F8">
            <w:pPr>
              <w:spacing w:line="360" w:lineRule="auto"/>
              <w:jc w:val="center"/>
              <w:rPr>
                <w:rFonts w:ascii="Times New Roman" w:hAnsi="Times New Roman" w:cs="Times New Roman"/>
              </w:rPr>
            </w:pPr>
            <w:r>
              <w:rPr>
                <w:rFonts w:ascii="Times New Roman" w:hAnsi="Times New Roman" w:cs="Times New Roman"/>
              </w:rPr>
              <w:t>3220 (650)</w:t>
            </w:r>
          </w:p>
        </w:tc>
        <w:tc>
          <w:tcPr>
            <w:tcW w:w="541" w:type="dxa"/>
            <w:shd w:val="clear" w:color="auto" w:fill="C6D9F1"/>
          </w:tcPr>
          <w:p w:rsidR="00EC43A4" w:rsidRDefault="00EC43A4">
            <w:pPr>
              <w:spacing w:line="360" w:lineRule="auto"/>
              <w:jc w:val="center"/>
              <w:rPr>
                <w:rFonts w:ascii="Times New Roman" w:hAnsi="Times New Roman" w:cs="Times New Roman"/>
              </w:rPr>
            </w:pPr>
          </w:p>
        </w:tc>
        <w:tc>
          <w:tcPr>
            <w:tcW w:w="1388"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0.15 (0.18)</w:t>
            </w:r>
          </w:p>
        </w:tc>
        <w:tc>
          <w:tcPr>
            <w:tcW w:w="1789"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0.17 (0.16)</w:t>
            </w:r>
          </w:p>
        </w:tc>
        <w:tc>
          <w:tcPr>
            <w:tcW w:w="1534"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0.19 (0.14)</w:t>
            </w:r>
          </w:p>
        </w:tc>
        <w:tc>
          <w:tcPr>
            <w:tcW w:w="1672"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0.23 (0.12)</w:t>
            </w:r>
          </w:p>
        </w:tc>
        <w:tc>
          <w:tcPr>
            <w:tcW w:w="1756" w:type="dxa"/>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0.24 (0.08)</w:t>
            </w:r>
          </w:p>
        </w:tc>
      </w:tr>
      <w:tr w:rsidR="00CF55F8" w:rsidRPr="002F5C3F" w:rsidTr="00CD3B73">
        <w:trPr>
          <w:jc w:val="center"/>
        </w:trPr>
        <w:tc>
          <w:tcPr>
            <w:tcW w:w="3466" w:type="dxa"/>
            <w:tcBorders>
              <w:bottom w:val="single" w:sz="24" w:space="0" w:color="4F81BD"/>
            </w:tcBorders>
            <w:shd w:val="clear" w:color="auto" w:fill="C6D9F1"/>
          </w:tcPr>
          <w:p w:rsidR="00EC43A4" w:rsidRDefault="00CF55F8">
            <w:pPr>
              <w:spacing w:line="360" w:lineRule="auto"/>
              <w:ind w:left="720" w:hanging="720"/>
              <w:rPr>
                <w:rFonts w:ascii="Times New Roman" w:hAnsi="Times New Roman" w:cs="Times New Roman"/>
              </w:rPr>
            </w:pPr>
            <w:r>
              <w:rPr>
                <w:rFonts w:ascii="Times New Roman" w:hAnsi="Times New Roman" w:cs="Times New Roman"/>
              </w:rPr>
              <w:t xml:space="preserve">     3</w:t>
            </w:r>
            <w:r>
              <w:rPr>
                <w:rFonts w:ascii="Times New Roman" w:hAnsi="Times New Roman" w:cs="Times New Roman"/>
                <w:vertAlign w:val="superscript"/>
              </w:rPr>
              <w:t>rd</w:t>
            </w:r>
            <w:r>
              <w:rPr>
                <w:rFonts w:ascii="Times New Roman" w:hAnsi="Times New Roman" w:cs="Times New Roman"/>
              </w:rPr>
              <w:t xml:space="preserve"> quartile  (Most deprived)</w:t>
            </w:r>
          </w:p>
        </w:tc>
        <w:tc>
          <w:tcPr>
            <w:tcW w:w="2179" w:type="dxa"/>
            <w:tcBorders>
              <w:bottom w:val="single" w:sz="24" w:space="0" w:color="4F81BD"/>
            </w:tcBorders>
            <w:shd w:val="clear" w:color="auto" w:fill="C6D9F1"/>
          </w:tcPr>
          <w:p w:rsidR="00EC43A4" w:rsidRDefault="00CF55F8">
            <w:pPr>
              <w:spacing w:line="360" w:lineRule="auto"/>
              <w:jc w:val="center"/>
              <w:rPr>
                <w:rFonts w:ascii="Times New Roman" w:hAnsi="Times New Roman" w:cs="Times New Roman"/>
              </w:rPr>
            </w:pPr>
            <w:r>
              <w:rPr>
                <w:rFonts w:ascii="Times New Roman" w:hAnsi="Times New Roman" w:cs="Times New Roman"/>
              </w:rPr>
              <w:t>3220 (660)</w:t>
            </w:r>
          </w:p>
        </w:tc>
        <w:tc>
          <w:tcPr>
            <w:tcW w:w="541" w:type="dxa"/>
            <w:tcBorders>
              <w:bottom w:val="single" w:sz="24" w:space="0" w:color="4F81BD"/>
            </w:tcBorders>
            <w:shd w:val="clear" w:color="auto" w:fill="C6D9F1"/>
          </w:tcPr>
          <w:p w:rsidR="00EC43A4" w:rsidRDefault="00EC43A4">
            <w:pPr>
              <w:spacing w:line="360" w:lineRule="auto"/>
              <w:jc w:val="center"/>
              <w:rPr>
                <w:rFonts w:ascii="Times New Roman" w:hAnsi="Times New Roman" w:cs="Times New Roman"/>
              </w:rPr>
            </w:pPr>
          </w:p>
        </w:tc>
        <w:tc>
          <w:tcPr>
            <w:tcW w:w="1388" w:type="dxa"/>
            <w:tcBorders>
              <w:bottom w:val="single" w:sz="24" w:space="0" w:color="4F81BD"/>
            </w:tcBorders>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0.16 (0.19)</w:t>
            </w:r>
          </w:p>
        </w:tc>
        <w:tc>
          <w:tcPr>
            <w:tcW w:w="1789" w:type="dxa"/>
            <w:tcBorders>
              <w:bottom w:val="single" w:sz="24" w:space="0" w:color="4F81BD"/>
            </w:tcBorders>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0.17 (0.18)</w:t>
            </w:r>
          </w:p>
        </w:tc>
        <w:tc>
          <w:tcPr>
            <w:tcW w:w="1534" w:type="dxa"/>
            <w:tcBorders>
              <w:bottom w:val="single" w:sz="24" w:space="0" w:color="4F81BD"/>
            </w:tcBorders>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0.18 (0.16)</w:t>
            </w:r>
          </w:p>
        </w:tc>
        <w:tc>
          <w:tcPr>
            <w:tcW w:w="1672" w:type="dxa"/>
            <w:tcBorders>
              <w:bottom w:val="single" w:sz="24" w:space="0" w:color="4F81BD"/>
            </w:tcBorders>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0.19 (0.15)</w:t>
            </w:r>
          </w:p>
        </w:tc>
        <w:tc>
          <w:tcPr>
            <w:tcW w:w="1756" w:type="dxa"/>
            <w:tcBorders>
              <w:bottom w:val="single" w:sz="24" w:space="0" w:color="4F81BD"/>
            </w:tcBorders>
            <w:shd w:val="clear" w:color="auto" w:fill="C6D9F1"/>
            <w:vAlign w:val="bottom"/>
          </w:tcPr>
          <w:p w:rsidR="00EC43A4" w:rsidRDefault="005618BC">
            <w:pPr>
              <w:spacing w:line="360" w:lineRule="auto"/>
              <w:jc w:val="center"/>
              <w:rPr>
                <w:rFonts w:asciiTheme="majorBidi" w:hAnsiTheme="majorBidi" w:cstheme="majorBidi"/>
              </w:rPr>
            </w:pPr>
            <w:r w:rsidRPr="005618BC">
              <w:rPr>
                <w:rFonts w:asciiTheme="majorBidi" w:hAnsiTheme="majorBidi" w:cstheme="majorBidi"/>
                <w:color w:val="000000"/>
              </w:rPr>
              <w:t>0.21 (0.11)</w:t>
            </w:r>
          </w:p>
        </w:tc>
      </w:tr>
    </w:tbl>
    <w:p w:rsidR="00151C00" w:rsidRDefault="003D3DED" w:rsidP="00E1071B">
      <w:pPr>
        <w:spacing w:after="0" w:line="360" w:lineRule="auto"/>
        <w:rPr>
          <w:rFonts w:ascii="Times New Roman" w:hAnsi="Times New Roman" w:cs="Times New Roman"/>
        </w:rPr>
        <w:sectPr w:rsidR="00151C00" w:rsidSect="00D843AF">
          <w:footerReference w:type="default" r:id="rId20"/>
          <w:pgSz w:w="16838" w:h="11906" w:orient="landscape"/>
          <w:pgMar w:top="1701" w:right="2096" w:bottom="1701" w:left="1417" w:header="709" w:footer="709" w:gutter="0"/>
          <w:cols w:sep="1" w:space="708"/>
          <w:docGrid w:linePitch="360"/>
        </w:sectPr>
      </w:pPr>
      <w:r w:rsidRPr="003D3DED">
        <w:rPr>
          <w:rFonts w:ascii="Times New Roman" w:hAnsi="Times New Roman" w:cs="Times New Roman"/>
        </w:rPr>
        <w:tab/>
      </w:r>
      <w:r w:rsidRPr="003D3DED">
        <w:rPr>
          <w:rFonts w:ascii="Times New Roman" w:hAnsi="Times New Roman" w:cs="Times New Roman"/>
        </w:rPr>
        <w:tab/>
      </w:r>
    </w:p>
    <w:p w:rsidR="00354FCA" w:rsidRDefault="003D3DED">
      <w:pPr>
        <w:spacing w:after="0" w:line="360" w:lineRule="auto"/>
        <w:rPr>
          <w:rFonts w:ascii="Times New Roman" w:hAnsi="Times New Roman" w:cs="Times New Roman"/>
        </w:rPr>
      </w:pPr>
      <w:r w:rsidRPr="003D3DED">
        <w:rPr>
          <w:rFonts w:ascii="Times New Roman" w:hAnsi="Times New Roman" w:cs="Times New Roman"/>
          <w:b/>
          <w:bCs/>
        </w:rPr>
        <w:lastRenderedPageBreak/>
        <w:t>Table 3.</w:t>
      </w:r>
      <w:r w:rsidRPr="003D3DED">
        <w:rPr>
          <w:rFonts w:ascii="Times New Roman" w:hAnsi="Times New Roman" w:cs="Times New Roman"/>
        </w:rPr>
        <w:t xml:space="preserve"> Regression coefficients (95% confidence interval)</w:t>
      </w:r>
      <w:r w:rsidR="00B32F77">
        <w:rPr>
          <w:rFonts w:ascii="Times New Roman" w:hAnsi="Times New Roman" w:cs="Times New Roman"/>
        </w:rPr>
        <w:t xml:space="preserve"> indicating </w:t>
      </w:r>
      <w:r w:rsidR="00C97131">
        <w:rPr>
          <w:rFonts w:ascii="Times New Roman" w:hAnsi="Times New Roman" w:cs="Times New Roman"/>
        </w:rPr>
        <w:t xml:space="preserve">the </w:t>
      </w:r>
      <w:r w:rsidR="00B32F77">
        <w:rPr>
          <w:rFonts w:ascii="Times New Roman" w:hAnsi="Times New Roman" w:cs="Times New Roman"/>
        </w:rPr>
        <w:t>change in birth weight (grams)</w:t>
      </w:r>
      <w:r w:rsidRPr="003D3DED">
        <w:rPr>
          <w:rFonts w:ascii="Times New Roman" w:hAnsi="Times New Roman" w:cs="Times New Roman"/>
        </w:rPr>
        <w:t xml:space="preserve"> </w:t>
      </w:r>
      <w:r w:rsidR="00B32F77">
        <w:rPr>
          <w:rFonts w:ascii="Times New Roman" w:hAnsi="Times New Roman" w:cs="Times New Roman"/>
        </w:rPr>
        <w:t>associated with</w:t>
      </w:r>
      <w:r w:rsidRPr="003D3DED">
        <w:rPr>
          <w:rFonts w:ascii="Times New Roman" w:hAnsi="Times New Roman" w:cs="Times New Roman"/>
        </w:rPr>
        <w:t xml:space="preserve"> one interquartile range</w:t>
      </w:r>
      <w:r w:rsidRPr="003D3DED">
        <w:rPr>
          <w:rFonts w:ascii="Times New Roman" w:hAnsi="Times New Roman" w:cs="Times New Roman"/>
          <w:vertAlign w:val="superscript"/>
        </w:rPr>
        <w:t>a</w:t>
      </w:r>
      <w:r w:rsidRPr="003D3DED">
        <w:rPr>
          <w:rFonts w:ascii="Times New Roman" w:hAnsi="Times New Roman" w:cs="Times New Roman"/>
        </w:rPr>
        <w:t xml:space="preserve"> increase in average of NDVI in buffers of </w:t>
      </w:r>
      <w:r w:rsidR="00FC0E66">
        <w:rPr>
          <w:rFonts w:ascii="Times New Roman" w:hAnsi="Times New Roman" w:cs="Times New Roman"/>
        </w:rPr>
        <w:t xml:space="preserve">50 m, </w:t>
      </w:r>
      <w:r w:rsidRPr="003D3DED">
        <w:rPr>
          <w:rFonts w:ascii="Times New Roman" w:hAnsi="Times New Roman" w:cs="Times New Roman"/>
        </w:rPr>
        <w:t>10</w:t>
      </w:r>
      <w:r w:rsidR="00A51F1F">
        <w:rPr>
          <w:rFonts w:ascii="Times New Roman" w:hAnsi="Times New Roman" w:cs="Times New Roman"/>
        </w:rPr>
        <w:t>0 m</w:t>
      </w:r>
      <w:r w:rsidRPr="003D3DED">
        <w:rPr>
          <w:rFonts w:ascii="Times New Roman" w:hAnsi="Times New Roman" w:cs="Times New Roman"/>
        </w:rPr>
        <w:t>, 25</w:t>
      </w:r>
      <w:r w:rsidR="00A51F1F">
        <w:rPr>
          <w:rFonts w:ascii="Times New Roman" w:hAnsi="Times New Roman" w:cs="Times New Roman"/>
        </w:rPr>
        <w:t>0 m</w:t>
      </w:r>
      <w:r w:rsidRPr="003D3DED">
        <w:rPr>
          <w:rFonts w:ascii="Times New Roman" w:hAnsi="Times New Roman" w:cs="Times New Roman"/>
        </w:rPr>
        <w:t xml:space="preserve">, </w:t>
      </w:r>
      <w:r w:rsidR="00FC0E66">
        <w:rPr>
          <w:rFonts w:ascii="Times New Roman" w:hAnsi="Times New Roman" w:cs="Times New Roman"/>
        </w:rPr>
        <w:t xml:space="preserve">500 m, </w:t>
      </w:r>
      <w:r w:rsidRPr="003D3DED">
        <w:rPr>
          <w:rFonts w:ascii="Times New Roman" w:hAnsi="Times New Roman" w:cs="Times New Roman"/>
        </w:rPr>
        <w:t xml:space="preserve">and </w:t>
      </w:r>
      <w:r w:rsidR="00FC0E66">
        <w:rPr>
          <w:rFonts w:ascii="Times New Roman" w:hAnsi="Times New Roman" w:cs="Times New Roman"/>
        </w:rPr>
        <w:t>10</w:t>
      </w:r>
      <w:r w:rsidRPr="003D3DED">
        <w:rPr>
          <w:rFonts w:ascii="Times New Roman" w:hAnsi="Times New Roman" w:cs="Times New Roman"/>
        </w:rPr>
        <w:t>0</w:t>
      </w:r>
      <w:r w:rsidR="00A51F1F">
        <w:rPr>
          <w:rFonts w:ascii="Times New Roman" w:hAnsi="Times New Roman" w:cs="Times New Roman"/>
        </w:rPr>
        <w:t>0 m</w:t>
      </w:r>
      <w:r w:rsidRPr="003D3DED">
        <w:rPr>
          <w:rFonts w:ascii="Times New Roman" w:hAnsi="Times New Roman" w:cs="Times New Roman"/>
        </w:rPr>
        <w:t xml:space="preserve"> around each maternal residential address. </w:t>
      </w:r>
    </w:p>
    <w:p w:rsidR="00354FCA" w:rsidRDefault="00354FCA" w:rsidP="00CF1D19">
      <w:pPr>
        <w:spacing w:after="0" w:line="360" w:lineRule="auto"/>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700"/>
        <w:gridCol w:w="1178"/>
        <w:gridCol w:w="871"/>
        <w:gridCol w:w="284"/>
        <w:gridCol w:w="717"/>
        <w:gridCol w:w="1321"/>
        <w:gridCol w:w="865"/>
        <w:gridCol w:w="236"/>
        <w:gridCol w:w="666"/>
        <w:gridCol w:w="1321"/>
        <w:gridCol w:w="865"/>
        <w:gridCol w:w="236"/>
        <w:gridCol w:w="717"/>
        <w:gridCol w:w="1408"/>
        <w:gridCol w:w="865"/>
        <w:gridCol w:w="203"/>
        <w:gridCol w:w="33"/>
        <w:gridCol w:w="428"/>
        <w:gridCol w:w="242"/>
        <w:gridCol w:w="628"/>
        <w:gridCol w:w="693"/>
        <w:gridCol w:w="400"/>
        <w:gridCol w:w="465"/>
        <w:gridCol w:w="84"/>
      </w:tblGrid>
      <w:tr w:rsidR="00421164" w:rsidRPr="00F1658C" w:rsidTr="00F1658C">
        <w:trPr>
          <w:trHeight w:val="300"/>
          <w:jc w:val="center"/>
        </w:trPr>
        <w:tc>
          <w:tcPr>
            <w:tcW w:w="0" w:type="auto"/>
            <w:tcBorders>
              <w:top w:val="single" w:sz="24" w:space="0" w:color="4F81BD" w:themeColor="accent1"/>
            </w:tcBorders>
            <w:noWrap/>
            <w:hideMark/>
          </w:tcPr>
          <w:p w:rsidR="00421164" w:rsidRPr="00F1658C" w:rsidRDefault="00421164" w:rsidP="00CF1D19">
            <w:pPr>
              <w:ind w:left="720" w:hanging="720"/>
              <w:rPr>
                <w:rFonts w:asciiTheme="majorBidi" w:hAnsiTheme="majorBidi" w:cstheme="majorBidi"/>
                <w:b/>
                <w:bCs/>
                <w:sz w:val="20"/>
                <w:szCs w:val="20"/>
              </w:rPr>
            </w:pPr>
            <w:r w:rsidRPr="00F1658C">
              <w:rPr>
                <w:rFonts w:asciiTheme="majorBidi" w:hAnsiTheme="majorBidi" w:cstheme="majorBidi"/>
                <w:b/>
                <w:bCs/>
                <w:sz w:val="20"/>
                <w:szCs w:val="20"/>
              </w:rPr>
              <w:t>Models</w:t>
            </w:r>
          </w:p>
        </w:tc>
        <w:tc>
          <w:tcPr>
            <w:tcW w:w="683" w:type="dxa"/>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0" w:type="auto"/>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0" w:type="auto"/>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1001" w:type="dxa"/>
            <w:gridSpan w:val="2"/>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8703" w:type="dxa"/>
            <w:gridSpan w:val="11"/>
            <w:tcBorders>
              <w:top w:val="single" w:sz="24"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Residential Surrounding Greenness  (NDVI)</w:t>
            </w:r>
          </w:p>
        </w:tc>
        <w:tc>
          <w:tcPr>
            <w:tcW w:w="461" w:type="dxa"/>
            <w:gridSpan w:val="2"/>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870" w:type="dxa"/>
            <w:gridSpan w:val="2"/>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1093" w:type="dxa"/>
            <w:gridSpan w:val="2"/>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549" w:type="dxa"/>
            <w:gridSpan w:val="2"/>
            <w:tcBorders>
              <w:top w:val="single" w:sz="24" w:space="0" w:color="4F81BD" w:themeColor="accent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r>
      <w:tr w:rsidR="00421164" w:rsidRPr="00F1658C" w:rsidTr="00421164">
        <w:trPr>
          <w:gridAfter w:val="1"/>
          <w:wAfter w:w="84" w:type="dxa"/>
          <w:trHeight w:val="300"/>
          <w:jc w:val="center"/>
        </w:trPr>
        <w:tc>
          <w:tcPr>
            <w:tcW w:w="0" w:type="auto"/>
            <w:noWrap/>
            <w:hideMark/>
          </w:tcPr>
          <w:p w:rsidR="00421164"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 </w:t>
            </w:r>
          </w:p>
        </w:tc>
        <w:tc>
          <w:tcPr>
            <w:tcW w:w="2749" w:type="dxa"/>
            <w:gridSpan w:val="3"/>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50 m Buffer</w:t>
            </w:r>
          </w:p>
        </w:tc>
        <w:tc>
          <w:tcPr>
            <w:tcW w:w="284" w:type="dxa"/>
            <w:tcBorders>
              <w:top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2903" w:type="dxa"/>
            <w:gridSpan w:val="3"/>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100 m Buffer</w:t>
            </w:r>
          </w:p>
        </w:tc>
        <w:tc>
          <w:tcPr>
            <w:tcW w:w="236" w:type="dxa"/>
            <w:tcBorders>
              <w:top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2852" w:type="dxa"/>
            <w:gridSpan w:val="3"/>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250 m Buffer</w:t>
            </w:r>
          </w:p>
        </w:tc>
        <w:tc>
          <w:tcPr>
            <w:tcW w:w="236" w:type="dxa"/>
            <w:tcBorders>
              <w:top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2990" w:type="dxa"/>
            <w:gridSpan w:val="3"/>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500 m Buffer</w:t>
            </w:r>
          </w:p>
        </w:tc>
        <w:tc>
          <w:tcPr>
            <w:tcW w:w="236" w:type="dxa"/>
            <w:gridSpan w:val="2"/>
            <w:tcBorders>
              <w:top w:val="single" w:sz="12" w:space="0" w:color="4F81BD" w:themeColor="accent1"/>
              <w:bottom w:val="single" w:sz="4" w:space="0" w:color="FFFFFF" w:themeColor="background1"/>
            </w:tcBorders>
          </w:tcPr>
          <w:p w:rsidR="00421164" w:rsidRPr="00F1658C" w:rsidRDefault="00421164" w:rsidP="00CF1D19">
            <w:pPr>
              <w:ind w:left="720" w:hanging="720"/>
              <w:jc w:val="center"/>
              <w:rPr>
                <w:rFonts w:asciiTheme="majorBidi" w:hAnsiTheme="majorBidi" w:cstheme="majorBidi"/>
                <w:b/>
                <w:bCs/>
                <w:sz w:val="20"/>
                <w:szCs w:val="20"/>
              </w:rPr>
            </w:pPr>
          </w:p>
        </w:tc>
        <w:tc>
          <w:tcPr>
            <w:tcW w:w="2856" w:type="dxa"/>
            <w:gridSpan w:val="6"/>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1000 m Buffer</w:t>
            </w:r>
          </w:p>
        </w:tc>
      </w:tr>
      <w:tr w:rsidR="00421164" w:rsidRPr="00F1658C" w:rsidTr="00F1658C">
        <w:trPr>
          <w:gridAfter w:val="1"/>
          <w:wAfter w:w="84" w:type="dxa"/>
          <w:trHeight w:val="300"/>
          <w:jc w:val="center"/>
        </w:trPr>
        <w:tc>
          <w:tcPr>
            <w:tcW w:w="0" w:type="auto"/>
            <w:tcBorders>
              <w:bottom w:val="single" w:sz="12" w:space="0" w:color="4F81BD" w:themeColor="accent1"/>
            </w:tcBorders>
            <w:noWrap/>
            <w:hideMark/>
          </w:tcPr>
          <w:p w:rsidR="00421164"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 </w:t>
            </w:r>
          </w:p>
        </w:tc>
        <w:tc>
          <w:tcPr>
            <w:tcW w:w="683" w:type="dxa"/>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β</w:t>
            </w:r>
          </w:p>
        </w:tc>
        <w:tc>
          <w:tcPr>
            <w:tcW w:w="0" w:type="auto"/>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95% CI</w:t>
            </w:r>
          </w:p>
        </w:tc>
        <w:tc>
          <w:tcPr>
            <w:tcW w:w="0" w:type="auto"/>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p-value</w:t>
            </w:r>
          </w:p>
        </w:tc>
        <w:tc>
          <w:tcPr>
            <w:tcW w:w="284" w:type="dxa"/>
            <w:tcBorders>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717"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β</w:t>
            </w:r>
          </w:p>
        </w:tc>
        <w:tc>
          <w:tcPr>
            <w:tcW w:w="1321"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95% CI</w:t>
            </w:r>
          </w:p>
        </w:tc>
        <w:tc>
          <w:tcPr>
            <w:tcW w:w="865"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p-value</w:t>
            </w:r>
          </w:p>
        </w:tc>
        <w:tc>
          <w:tcPr>
            <w:tcW w:w="236" w:type="dxa"/>
            <w:tcBorders>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666"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β</w:t>
            </w:r>
          </w:p>
        </w:tc>
        <w:tc>
          <w:tcPr>
            <w:tcW w:w="1321"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95% CI</w:t>
            </w:r>
          </w:p>
        </w:tc>
        <w:tc>
          <w:tcPr>
            <w:tcW w:w="865"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p-value</w:t>
            </w:r>
          </w:p>
        </w:tc>
        <w:tc>
          <w:tcPr>
            <w:tcW w:w="236" w:type="dxa"/>
            <w:tcBorders>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717"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β</w:t>
            </w:r>
          </w:p>
        </w:tc>
        <w:tc>
          <w:tcPr>
            <w:tcW w:w="1408"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95% CI</w:t>
            </w:r>
          </w:p>
        </w:tc>
        <w:tc>
          <w:tcPr>
            <w:tcW w:w="865" w:type="dxa"/>
            <w:tcBorders>
              <w:top w:val="single" w:sz="12" w:space="0" w:color="4F81BD" w:themeColor="accent1"/>
              <w:bottom w:val="single" w:sz="12" w:space="0" w:color="4F81BD" w:themeColor="accent1"/>
            </w:tcBorders>
            <w:noWrap/>
            <w:hideMark/>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p-value</w:t>
            </w:r>
          </w:p>
        </w:tc>
        <w:tc>
          <w:tcPr>
            <w:tcW w:w="236" w:type="dxa"/>
            <w:gridSpan w:val="2"/>
            <w:tcBorders>
              <w:top w:val="single" w:sz="4" w:space="0" w:color="FFFFFF" w:themeColor="background1"/>
              <w:bottom w:val="single" w:sz="12" w:space="0" w:color="4F81BD" w:themeColor="accent1"/>
            </w:tcBorders>
          </w:tcPr>
          <w:p w:rsidR="00421164" w:rsidRPr="00F1658C" w:rsidRDefault="00421164" w:rsidP="00CF1D19">
            <w:pPr>
              <w:ind w:left="720" w:hanging="720"/>
              <w:jc w:val="center"/>
              <w:rPr>
                <w:rFonts w:asciiTheme="majorBidi" w:hAnsiTheme="majorBidi" w:cstheme="majorBidi"/>
                <w:b/>
                <w:bCs/>
                <w:sz w:val="20"/>
                <w:szCs w:val="20"/>
              </w:rPr>
            </w:pPr>
          </w:p>
        </w:tc>
        <w:tc>
          <w:tcPr>
            <w:tcW w:w="670" w:type="dxa"/>
            <w:gridSpan w:val="2"/>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β</w:t>
            </w:r>
          </w:p>
        </w:tc>
        <w:tc>
          <w:tcPr>
            <w:tcW w:w="1321" w:type="dxa"/>
            <w:gridSpan w:val="2"/>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95% CI</w:t>
            </w:r>
          </w:p>
        </w:tc>
        <w:tc>
          <w:tcPr>
            <w:tcW w:w="865" w:type="dxa"/>
            <w:gridSpan w:val="2"/>
            <w:tcBorders>
              <w:top w:val="single" w:sz="12" w:space="0" w:color="4F81BD" w:themeColor="accent1"/>
              <w:bottom w:val="single" w:sz="12" w:space="0" w:color="4F81BD" w:themeColor="accent1"/>
            </w:tcBorders>
          </w:tcPr>
          <w:p w:rsidR="00421164" w:rsidRPr="00F1658C" w:rsidRDefault="00937BE5" w:rsidP="00CF1D19">
            <w:pPr>
              <w:ind w:left="720" w:hanging="720"/>
              <w:jc w:val="center"/>
              <w:rPr>
                <w:rFonts w:asciiTheme="majorBidi" w:hAnsiTheme="majorBidi" w:cstheme="majorBidi"/>
                <w:b/>
                <w:bCs/>
                <w:sz w:val="20"/>
                <w:szCs w:val="20"/>
              </w:rPr>
            </w:pPr>
            <w:r>
              <w:rPr>
                <w:rFonts w:asciiTheme="majorBidi" w:hAnsiTheme="majorBidi" w:cstheme="majorBidi"/>
                <w:b/>
                <w:bCs/>
                <w:sz w:val="20"/>
                <w:szCs w:val="20"/>
              </w:rPr>
              <w:t>p-value</w:t>
            </w:r>
          </w:p>
        </w:tc>
      </w:tr>
      <w:tr w:rsidR="00262734" w:rsidRPr="00F1658C" w:rsidTr="009B3101">
        <w:trPr>
          <w:gridAfter w:val="1"/>
          <w:wAfter w:w="84" w:type="dxa"/>
          <w:trHeight w:val="300"/>
          <w:jc w:val="center"/>
        </w:trPr>
        <w:tc>
          <w:tcPr>
            <w:tcW w:w="0" w:type="auto"/>
            <w:tcBorders>
              <w:top w:val="single" w:sz="12" w:space="0" w:color="4F81BD" w:themeColor="accent1"/>
            </w:tcBorders>
            <w:shd w:val="clear" w:color="auto" w:fill="C6D9F1" w:themeFill="text2" w:themeFillTint="33"/>
            <w:noWrap/>
            <w:hideMark/>
          </w:tcPr>
          <w:p w:rsidR="00F1658C"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Model 1</w:t>
            </w:r>
            <w:r>
              <w:rPr>
                <w:rFonts w:asciiTheme="majorBidi" w:hAnsiTheme="majorBidi" w:cstheme="majorBidi"/>
                <w:b/>
                <w:bCs/>
                <w:sz w:val="20"/>
                <w:szCs w:val="20"/>
                <w:vertAlign w:val="superscript"/>
              </w:rPr>
              <w:t>b</w:t>
            </w:r>
          </w:p>
        </w:tc>
        <w:tc>
          <w:tcPr>
            <w:tcW w:w="683" w:type="dxa"/>
            <w:tcBorders>
              <w:top w:val="single" w:sz="12" w:space="0" w:color="4F81BD" w:themeColor="accent1"/>
            </w:tcBorders>
            <w:shd w:val="clear" w:color="auto" w:fill="C6D9F1" w:themeFill="text2" w:themeFillTint="33"/>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78</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4</w:t>
            </w:r>
          </w:p>
        </w:tc>
        <w:tc>
          <w:tcPr>
            <w:tcW w:w="0" w:type="auto"/>
            <w:tcBorders>
              <w:top w:val="single" w:sz="12" w:space="0" w:color="4F81BD" w:themeColor="accent1"/>
            </w:tcBorders>
            <w:shd w:val="clear" w:color="auto" w:fill="C6D9F1" w:themeFill="text2" w:themeFillTint="33"/>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(62.3</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94.6)</w:t>
            </w:r>
          </w:p>
        </w:tc>
        <w:tc>
          <w:tcPr>
            <w:tcW w:w="0" w:type="auto"/>
            <w:tcBorders>
              <w:top w:val="single" w:sz="12" w:space="0" w:color="4F81BD" w:themeColor="accent1"/>
            </w:tcBorders>
            <w:shd w:val="clear" w:color="auto" w:fill="C6D9F1" w:themeFill="text2" w:themeFillTint="33"/>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84" w:type="dxa"/>
            <w:tcBorders>
              <w:top w:val="single" w:sz="12" w:space="0" w:color="4F81BD" w:themeColor="accent1"/>
            </w:tcBorders>
            <w:shd w:val="clear" w:color="auto" w:fill="C6D9F1" w:themeFill="text2" w:themeFillTint="33"/>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tcBorders>
              <w:top w:val="single" w:sz="12" w:space="0" w:color="4F81BD" w:themeColor="accent1"/>
            </w:tcBorders>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86</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2</w:t>
            </w:r>
          </w:p>
        </w:tc>
        <w:tc>
          <w:tcPr>
            <w:tcW w:w="1321" w:type="dxa"/>
            <w:tcBorders>
              <w:top w:val="single" w:sz="12" w:space="0" w:color="4F81BD" w:themeColor="accent1"/>
            </w:tcBorders>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(70.2</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102.1)</w:t>
            </w:r>
          </w:p>
        </w:tc>
        <w:tc>
          <w:tcPr>
            <w:tcW w:w="865" w:type="dxa"/>
            <w:tcBorders>
              <w:top w:val="single" w:sz="12" w:space="0" w:color="4F81BD" w:themeColor="accent1"/>
            </w:tcBorders>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tcBorders>
              <w:top w:val="single" w:sz="12" w:space="0" w:color="4F81BD" w:themeColor="accent1"/>
            </w:tcBorders>
            <w:shd w:val="clear" w:color="auto" w:fill="C6D9F1" w:themeFill="text2" w:themeFillTint="33"/>
            <w:vAlign w:val="center"/>
          </w:tcPr>
          <w:p w:rsidR="00F1658C" w:rsidRPr="00F1658C" w:rsidRDefault="00F1658C" w:rsidP="00CF1D19">
            <w:pPr>
              <w:jc w:val="center"/>
              <w:rPr>
                <w:rFonts w:asciiTheme="majorBidi" w:hAnsiTheme="majorBidi" w:cstheme="majorBidi"/>
                <w:color w:val="000000"/>
                <w:sz w:val="20"/>
                <w:szCs w:val="20"/>
              </w:rPr>
            </w:pPr>
          </w:p>
        </w:tc>
        <w:tc>
          <w:tcPr>
            <w:tcW w:w="666" w:type="dxa"/>
            <w:tcBorders>
              <w:top w:val="single" w:sz="12" w:space="0" w:color="4F81BD" w:themeColor="accent1"/>
            </w:tcBorders>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94</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4</w:t>
            </w:r>
          </w:p>
        </w:tc>
        <w:tc>
          <w:tcPr>
            <w:tcW w:w="1321" w:type="dxa"/>
            <w:tcBorders>
              <w:top w:val="single" w:sz="12" w:space="0" w:color="4F81BD" w:themeColor="accent1"/>
            </w:tcBorders>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(78.9</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109.9)</w:t>
            </w:r>
          </w:p>
        </w:tc>
        <w:tc>
          <w:tcPr>
            <w:tcW w:w="865" w:type="dxa"/>
            <w:tcBorders>
              <w:top w:val="single" w:sz="12" w:space="0" w:color="4F81BD" w:themeColor="accent1"/>
            </w:tcBorders>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tcBorders>
              <w:top w:val="single" w:sz="12" w:space="0" w:color="4F81BD" w:themeColor="accent1"/>
            </w:tcBorders>
            <w:shd w:val="clear" w:color="auto" w:fill="C6D9F1" w:themeFill="text2" w:themeFillTint="33"/>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tcBorders>
              <w:top w:val="single" w:sz="12" w:space="0" w:color="4F81BD" w:themeColor="accent1"/>
            </w:tcBorders>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96</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9</w:t>
            </w:r>
          </w:p>
        </w:tc>
        <w:tc>
          <w:tcPr>
            <w:tcW w:w="1408" w:type="dxa"/>
            <w:tcBorders>
              <w:top w:val="single" w:sz="12" w:space="0" w:color="4F81BD" w:themeColor="accent1"/>
            </w:tcBorders>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(81.5</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112.3)</w:t>
            </w:r>
          </w:p>
        </w:tc>
        <w:tc>
          <w:tcPr>
            <w:tcW w:w="865" w:type="dxa"/>
            <w:tcBorders>
              <w:top w:val="single" w:sz="12" w:space="0" w:color="4F81BD" w:themeColor="accent1"/>
            </w:tcBorders>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gridSpan w:val="2"/>
            <w:tcBorders>
              <w:top w:val="single" w:sz="12" w:space="0" w:color="4F81BD" w:themeColor="accent1"/>
            </w:tcBorders>
            <w:shd w:val="clear" w:color="auto" w:fill="C6D9F1" w:themeFill="text2" w:themeFillTint="33"/>
            <w:vAlign w:val="center"/>
          </w:tcPr>
          <w:p w:rsidR="00F1658C" w:rsidRPr="00F1658C" w:rsidRDefault="00F1658C" w:rsidP="00CF1D19">
            <w:pPr>
              <w:jc w:val="center"/>
              <w:rPr>
                <w:rFonts w:asciiTheme="majorBidi" w:hAnsiTheme="majorBidi" w:cstheme="majorBidi"/>
                <w:color w:val="000000"/>
                <w:sz w:val="20"/>
                <w:szCs w:val="20"/>
              </w:rPr>
            </w:pPr>
          </w:p>
        </w:tc>
        <w:tc>
          <w:tcPr>
            <w:tcW w:w="670" w:type="dxa"/>
            <w:gridSpan w:val="2"/>
            <w:tcBorders>
              <w:top w:val="single" w:sz="12" w:space="0" w:color="4F81BD" w:themeColor="accent1"/>
            </w:tcBorders>
            <w:shd w:val="clear" w:color="auto" w:fill="C6D9F1" w:themeFill="text2" w:themeFillTint="33"/>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90</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3</w:t>
            </w:r>
          </w:p>
        </w:tc>
        <w:tc>
          <w:tcPr>
            <w:tcW w:w="1321" w:type="dxa"/>
            <w:gridSpan w:val="2"/>
            <w:tcBorders>
              <w:top w:val="single" w:sz="12" w:space="0" w:color="4F81BD" w:themeColor="accent1"/>
            </w:tcBorders>
            <w:shd w:val="clear" w:color="auto" w:fill="C6D9F1" w:themeFill="text2" w:themeFillTint="33"/>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(75.9</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104.6)</w:t>
            </w:r>
          </w:p>
        </w:tc>
        <w:tc>
          <w:tcPr>
            <w:tcW w:w="865" w:type="dxa"/>
            <w:gridSpan w:val="2"/>
            <w:tcBorders>
              <w:top w:val="single" w:sz="12" w:space="0" w:color="4F81BD" w:themeColor="accent1"/>
            </w:tcBorders>
            <w:shd w:val="clear" w:color="auto" w:fill="C6D9F1" w:themeFill="text2" w:themeFillTint="33"/>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r>
      <w:tr w:rsidR="00F1658C" w:rsidRPr="00F1658C" w:rsidTr="009B3101">
        <w:trPr>
          <w:gridAfter w:val="1"/>
          <w:wAfter w:w="84" w:type="dxa"/>
          <w:trHeight w:val="360"/>
          <w:jc w:val="center"/>
        </w:trPr>
        <w:tc>
          <w:tcPr>
            <w:tcW w:w="0" w:type="auto"/>
            <w:noWrap/>
            <w:hideMark/>
          </w:tcPr>
          <w:p w:rsidR="00F1658C"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Model 2</w:t>
            </w:r>
            <w:r>
              <w:rPr>
                <w:rFonts w:asciiTheme="majorBidi" w:hAnsiTheme="majorBidi" w:cstheme="majorBidi"/>
                <w:b/>
                <w:bCs/>
                <w:sz w:val="20"/>
                <w:szCs w:val="20"/>
                <w:vertAlign w:val="superscript"/>
              </w:rPr>
              <w:t>c</w:t>
            </w:r>
          </w:p>
        </w:tc>
        <w:tc>
          <w:tcPr>
            <w:tcW w:w="683" w:type="dxa"/>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50</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1</w:t>
            </w:r>
          </w:p>
        </w:tc>
        <w:tc>
          <w:tcPr>
            <w:tcW w:w="0" w:type="auto"/>
            <w:vAlign w:val="center"/>
          </w:tcPr>
          <w:p w:rsidR="00F1658C" w:rsidRPr="00F1658C" w:rsidRDefault="00214C40" w:rsidP="00CF1D19">
            <w:pPr>
              <w:ind w:right="-110"/>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(36.2</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64</w:t>
            </w:r>
            <w:r w:rsidR="00F1658C">
              <w:rPr>
                <w:rFonts w:asciiTheme="majorBidi" w:hAnsiTheme="majorBidi" w:cstheme="majorBidi"/>
                <w:color w:val="000000"/>
                <w:sz w:val="20"/>
                <w:szCs w:val="20"/>
              </w:rPr>
              <w:t>.0</w:t>
            </w:r>
            <w:r w:rsidRPr="00214C40">
              <w:rPr>
                <w:rFonts w:asciiTheme="majorBidi" w:hAnsiTheme="majorBidi" w:cstheme="majorBidi"/>
                <w:color w:val="000000"/>
                <w:sz w:val="20"/>
                <w:szCs w:val="20"/>
              </w:rPr>
              <w:t>)</w:t>
            </w:r>
          </w:p>
        </w:tc>
        <w:tc>
          <w:tcPr>
            <w:tcW w:w="0" w:type="auto"/>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84" w:type="dxa"/>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53</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5</w:t>
            </w:r>
          </w:p>
        </w:tc>
        <w:tc>
          <w:tcPr>
            <w:tcW w:w="1321"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(39.7</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67.3)</w:t>
            </w:r>
          </w:p>
        </w:tc>
        <w:tc>
          <w:tcPr>
            <w:tcW w:w="865" w:type="dxa"/>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vAlign w:val="center"/>
          </w:tcPr>
          <w:p w:rsidR="00F1658C" w:rsidRPr="00F1658C" w:rsidRDefault="00F1658C" w:rsidP="00CF1D19">
            <w:pPr>
              <w:jc w:val="center"/>
              <w:rPr>
                <w:rFonts w:asciiTheme="majorBidi" w:hAnsiTheme="majorBidi" w:cstheme="majorBidi"/>
                <w:color w:val="000000"/>
                <w:sz w:val="20"/>
                <w:szCs w:val="20"/>
              </w:rPr>
            </w:pPr>
          </w:p>
        </w:tc>
        <w:tc>
          <w:tcPr>
            <w:tcW w:w="666"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54</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2</w:t>
            </w:r>
          </w:p>
        </w:tc>
        <w:tc>
          <w:tcPr>
            <w:tcW w:w="1321"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(40.9</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67.5)</w:t>
            </w:r>
          </w:p>
        </w:tc>
        <w:tc>
          <w:tcPr>
            <w:tcW w:w="865" w:type="dxa"/>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56</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3</w:t>
            </w:r>
          </w:p>
        </w:tc>
        <w:tc>
          <w:tcPr>
            <w:tcW w:w="1408"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(43</w:t>
            </w:r>
            <w:r w:rsidR="00F1658C">
              <w:rPr>
                <w:rFonts w:asciiTheme="majorBidi" w:hAnsiTheme="majorBidi" w:cstheme="majorBidi"/>
                <w:color w:val="000000"/>
                <w:sz w:val="20"/>
                <w:szCs w:val="20"/>
              </w:rPr>
              <w:t xml:space="preserve">.0, </w:t>
            </w:r>
            <w:r w:rsidRPr="00214C40">
              <w:rPr>
                <w:rFonts w:asciiTheme="majorBidi" w:hAnsiTheme="majorBidi" w:cstheme="majorBidi"/>
                <w:color w:val="000000"/>
                <w:sz w:val="20"/>
                <w:szCs w:val="20"/>
              </w:rPr>
              <w:t>69.6)</w:t>
            </w:r>
          </w:p>
        </w:tc>
        <w:tc>
          <w:tcPr>
            <w:tcW w:w="865" w:type="dxa"/>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gridSpan w:val="2"/>
            <w:vAlign w:val="center"/>
          </w:tcPr>
          <w:p w:rsidR="00F1658C" w:rsidRPr="00F1658C" w:rsidRDefault="00F1658C" w:rsidP="00CF1D19">
            <w:pPr>
              <w:jc w:val="center"/>
              <w:rPr>
                <w:rFonts w:asciiTheme="majorBidi" w:hAnsiTheme="majorBidi" w:cstheme="majorBidi"/>
                <w:color w:val="000000"/>
                <w:sz w:val="20"/>
                <w:szCs w:val="20"/>
              </w:rPr>
            </w:pPr>
          </w:p>
        </w:tc>
        <w:tc>
          <w:tcPr>
            <w:tcW w:w="670" w:type="dxa"/>
            <w:gridSpan w:val="2"/>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53</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6</w:t>
            </w:r>
          </w:p>
        </w:tc>
        <w:tc>
          <w:tcPr>
            <w:tcW w:w="1321" w:type="dxa"/>
            <w:gridSpan w:val="2"/>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(41.2</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66</w:t>
            </w:r>
            <w:r w:rsidR="00F1658C">
              <w:rPr>
                <w:rFonts w:asciiTheme="majorBidi" w:hAnsiTheme="majorBidi" w:cstheme="majorBidi"/>
                <w:color w:val="000000"/>
                <w:sz w:val="20"/>
                <w:szCs w:val="20"/>
              </w:rPr>
              <w:t>.0</w:t>
            </w:r>
            <w:r w:rsidRPr="00214C40">
              <w:rPr>
                <w:rFonts w:asciiTheme="majorBidi" w:hAnsiTheme="majorBidi" w:cstheme="majorBidi"/>
                <w:color w:val="000000"/>
                <w:sz w:val="20"/>
                <w:szCs w:val="20"/>
              </w:rPr>
              <w:t>)</w:t>
            </w:r>
          </w:p>
        </w:tc>
        <w:tc>
          <w:tcPr>
            <w:tcW w:w="865" w:type="dxa"/>
            <w:gridSpan w:val="2"/>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r>
      <w:tr w:rsidR="00262734" w:rsidRPr="00F1658C" w:rsidTr="009B3101">
        <w:trPr>
          <w:gridAfter w:val="1"/>
          <w:wAfter w:w="84" w:type="dxa"/>
          <w:trHeight w:val="300"/>
          <w:jc w:val="center"/>
        </w:trPr>
        <w:tc>
          <w:tcPr>
            <w:tcW w:w="0" w:type="auto"/>
            <w:shd w:val="clear" w:color="auto" w:fill="C6D9F1" w:themeFill="text2" w:themeFillTint="33"/>
            <w:noWrap/>
            <w:hideMark/>
          </w:tcPr>
          <w:p w:rsidR="00F1658C"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Model 3</w:t>
            </w:r>
            <w:r>
              <w:rPr>
                <w:rFonts w:asciiTheme="majorBidi" w:hAnsiTheme="majorBidi" w:cstheme="majorBidi"/>
                <w:b/>
                <w:bCs/>
                <w:sz w:val="20"/>
                <w:szCs w:val="20"/>
                <w:vertAlign w:val="superscript"/>
              </w:rPr>
              <w:t>d</w:t>
            </w:r>
          </w:p>
        </w:tc>
        <w:tc>
          <w:tcPr>
            <w:tcW w:w="683" w:type="dxa"/>
            <w:shd w:val="clear" w:color="auto" w:fill="C6D9F1" w:themeFill="text2" w:themeFillTint="33"/>
            <w:vAlign w:val="center"/>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47</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8</w:t>
            </w:r>
          </w:p>
        </w:tc>
        <w:tc>
          <w:tcPr>
            <w:tcW w:w="0" w:type="auto"/>
            <w:shd w:val="clear" w:color="auto" w:fill="C6D9F1" w:themeFill="text2" w:themeFillTint="33"/>
            <w:vAlign w:val="center"/>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(33.9</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61.7)</w:t>
            </w:r>
          </w:p>
        </w:tc>
        <w:tc>
          <w:tcPr>
            <w:tcW w:w="0" w:type="auto"/>
            <w:shd w:val="clear" w:color="auto" w:fill="C6D9F1" w:themeFill="text2" w:themeFillTint="33"/>
            <w:vAlign w:val="center"/>
          </w:tcPr>
          <w:p w:rsidR="00F1658C" w:rsidRPr="00F1658C" w:rsidRDefault="00937BE5" w:rsidP="00CF1D19">
            <w:pPr>
              <w:jc w:val="center"/>
              <w:rPr>
                <w:rFonts w:asciiTheme="majorBidi" w:hAnsiTheme="majorBidi" w:cstheme="majorBidi"/>
                <w:color w:val="FF0000"/>
                <w:sz w:val="20"/>
                <w:szCs w:val="20"/>
              </w:rPr>
            </w:pPr>
            <w:r>
              <w:rPr>
                <w:rFonts w:asciiTheme="majorBidi" w:hAnsiTheme="majorBidi" w:cstheme="majorBidi"/>
                <w:color w:val="000000"/>
                <w:sz w:val="20"/>
                <w:szCs w:val="20"/>
              </w:rPr>
              <w:t>&lt;0.001</w:t>
            </w:r>
          </w:p>
        </w:tc>
        <w:tc>
          <w:tcPr>
            <w:tcW w:w="284" w:type="dxa"/>
            <w:shd w:val="clear" w:color="auto" w:fill="C6D9F1" w:themeFill="text2" w:themeFillTint="33"/>
            <w:vAlign w:val="center"/>
          </w:tcPr>
          <w:p w:rsidR="00F1658C" w:rsidRPr="00F1658C" w:rsidRDefault="00F1658C" w:rsidP="00CF1D19">
            <w:pPr>
              <w:jc w:val="center"/>
              <w:rPr>
                <w:rFonts w:asciiTheme="majorBidi" w:hAnsiTheme="majorBidi" w:cstheme="majorBidi"/>
                <w:color w:val="FF0000"/>
                <w:sz w:val="20"/>
                <w:szCs w:val="20"/>
              </w:rPr>
            </w:pPr>
          </w:p>
        </w:tc>
        <w:tc>
          <w:tcPr>
            <w:tcW w:w="717"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51</w:t>
            </w:r>
            <w:r w:rsidR="00F1658C">
              <w:rPr>
                <w:rFonts w:asciiTheme="majorBidi" w:hAnsiTheme="majorBidi" w:cstheme="majorBidi"/>
                <w:color w:val="000000"/>
                <w:sz w:val="20"/>
                <w:szCs w:val="20"/>
              </w:rPr>
              <w:t>.0</w:t>
            </w:r>
          </w:p>
        </w:tc>
        <w:tc>
          <w:tcPr>
            <w:tcW w:w="1321"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(37.2</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64.8)</w:t>
            </w:r>
          </w:p>
        </w:tc>
        <w:tc>
          <w:tcPr>
            <w:tcW w:w="865" w:type="dxa"/>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color w:val="FF0000"/>
                <w:sz w:val="20"/>
                <w:szCs w:val="20"/>
              </w:rPr>
            </w:pPr>
            <w:r>
              <w:rPr>
                <w:rFonts w:asciiTheme="majorBidi" w:hAnsiTheme="majorBidi" w:cstheme="majorBidi"/>
                <w:color w:val="000000"/>
                <w:sz w:val="20"/>
                <w:szCs w:val="20"/>
              </w:rPr>
              <w:t>&lt;0.001</w:t>
            </w:r>
          </w:p>
        </w:tc>
        <w:tc>
          <w:tcPr>
            <w:tcW w:w="236" w:type="dxa"/>
            <w:shd w:val="clear" w:color="auto" w:fill="C6D9F1" w:themeFill="text2" w:themeFillTint="33"/>
            <w:vAlign w:val="center"/>
          </w:tcPr>
          <w:p w:rsidR="00F1658C" w:rsidRPr="00F1658C" w:rsidRDefault="00F1658C" w:rsidP="00CF1D19">
            <w:pPr>
              <w:jc w:val="center"/>
              <w:rPr>
                <w:rFonts w:asciiTheme="majorBidi" w:hAnsiTheme="majorBidi" w:cstheme="majorBidi"/>
                <w:color w:val="FF0000"/>
                <w:sz w:val="20"/>
                <w:szCs w:val="20"/>
              </w:rPr>
            </w:pPr>
          </w:p>
        </w:tc>
        <w:tc>
          <w:tcPr>
            <w:tcW w:w="666"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51</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7</w:t>
            </w:r>
          </w:p>
        </w:tc>
        <w:tc>
          <w:tcPr>
            <w:tcW w:w="1321"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(38.3</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65.1)</w:t>
            </w:r>
          </w:p>
        </w:tc>
        <w:tc>
          <w:tcPr>
            <w:tcW w:w="865" w:type="dxa"/>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color w:val="FF0000"/>
                <w:sz w:val="20"/>
                <w:szCs w:val="20"/>
              </w:rPr>
            </w:pPr>
            <w:r>
              <w:rPr>
                <w:rFonts w:asciiTheme="majorBidi" w:hAnsiTheme="majorBidi" w:cstheme="majorBidi"/>
                <w:color w:val="000000"/>
                <w:sz w:val="20"/>
                <w:szCs w:val="20"/>
              </w:rPr>
              <w:t>&lt;0.001</w:t>
            </w:r>
          </w:p>
        </w:tc>
        <w:tc>
          <w:tcPr>
            <w:tcW w:w="236" w:type="dxa"/>
            <w:shd w:val="clear" w:color="auto" w:fill="C6D9F1" w:themeFill="text2" w:themeFillTint="33"/>
            <w:vAlign w:val="center"/>
          </w:tcPr>
          <w:p w:rsidR="00F1658C" w:rsidRPr="00F1658C" w:rsidRDefault="00F1658C" w:rsidP="00CF1D19">
            <w:pPr>
              <w:jc w:val="center"/>
              <w:rPr>
                <w:rFonts w:asciiTheme="majorBidi" w:hAnsiTheme="majorBidi" w:cstheme="majorBidi"/>
                <w:color w:val="FF0000"/>
                <w:sz w:val="20"/>
                <w:szCs w:val="20"/>
              </w:rPr>
            </w:pPr>
          </w:p>
        </w:tc>
        <w:tc>
          <w:tcPr>
            <w:tcW w:w="717"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53</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8</w:t>
            </w:r>
          </w:p>
        </w:tc>
        <w:tc>
          <w:tcPr>
            <w:tcW w:w="1408"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(40.5</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67.2)</w:t>
            </w:r>
          </w:p>
        </w:tc>
        <w:tc>
          <w:tcPr>
            <w:tcW w:w="865" w:type="dxa"/>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color w:val="FF0000"/>
                <w:sz w:val="20"/>
                <w:szCs w:val="20"/>
              </w:rPr>
            </w:pPr>
            <w:r>
              <w:rPr>
                <w:rFonts w:asciiTheme="majorBidi" w:hAnsiTheme="majorBidi" w:cstheme="majorBidi"/>
                <w:color w:val="000000"/>
                <w:sz w:val="20"/>
                <w:szCs w:val="20"/>
              </w:rPr>
              <w:t>&lt;0.001</w:t>
            </w:r>
          </w:p>
        </w:tc>
        <w:tc>
          <w:tcPr>
            <w:tcW w:w="236" w:type="dxa"/>
            <w:gridSpan w:val="2"/>
            <w:shd w:val="clear" w:color="auto" w:fill="C6D9F1" w:themeFill="text2" w:themeFillTint="33"/>
            <w:vAlign w:val="center"/>
          </w:tcPr>
          <w:p w:rsidR="00F1658C" w:rsidRPr="00F1658C" w:rsidRDefault="00F1658C" w:rsidP="00CF1D19">
            <w:pPr>
              <w:jc w:val="center"/>
              <w:rPr>
                <w:rFonts w:asciiTheme="majorBidi" w:hAnsiTheme="majorBidi" w:cstheme="majorBidi"/>
                <w:color w:val="FF0000"/>
                <w:sz w:val="20"/>
                <w:szCs w:val="20"/>
              </w:rPr>
            </w:pPr>
          </w:p>
        </w:tc>
        <w:tc>
          <w:tcPr>
            <w:tcW w:w="670" w:type="dxa"/>
            <w:gridSpan w:val="2"/>
            <w:shd w:val="clear" w:color="auto" w:fill="C6D9F1" w:themeFill="text2" w:themeFillTint="33"/>
            <w:vAlign w:val="center"/>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51</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3</w:t>
            </w:r>
          </w:p>
        </w:tc>
        <w:tc>
          <w:tcPr>
            <w:tcW w:w="1321" w:type="dxa"/>
            <w:gridSpan w:val="2"/>
            <w:shd w:val="clear" w:color="auto" w:fill="C6D9F1" w:themeFill="text2" w:themeFillTint="33"/>
            <w:vAlign w:val="center"/>
          </w:tcPr>
          <w:p w:rsidR="00F1658C" w:rsidRPr="00F1658C" w:rsidRDefault="00214C40" w:rsidP="00CF1D19">
            <w:pPr>
              <w:jc w:val="center"/>
              <w:rPr>
                <w:rFonts w:asciiTheme="majorBidi" w:hAnsiTheme="majorBidi" w:cstheme="majorBidi"/>
                <w:color w:val="FF0000"/>
                <w:sz w:val="20"/>
                <w:szCs w:val="20"/>
              </w:rPr>
            </w:pPr>
            <w:r w:rsidRPr="00214C40">
              <w:rPr>
                <w:rFonts w:asciiTheme="majorBidi" w:hAnsiTheme="majorBidi" w:cstheme="majorBidi"/>
                <w:color w:val="000000"/>
                <w:sz w:val="20"/>
                <w:szCs w:val="20"/>
              </w:rPr>
              <w:t>(38.8</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63.7)</w:t>
            </w:r>
          </w:p>
        </w:tc>
        <w:tc>
          <w:tcPr>
            <w:tcW w:w="865" w:type="dxa"/>
            <w:gridSpan w:val="2"/>
            <w:shd w:val="clear" w:color="auto" w:fill="C6D9F1" w:themeFill="text2" w:themeFillTint="33"/>
            <w:vAlign w:val="center"/>
          </w:tcPr>
          <w:p w:rsidR="00F1658C" w:rsidRPr="00F1658C" w:rsidRDefault="00937BE5" w:rsidP="00CF1D19">
            <w:pPr>
              <w:jc w:val="center"/>
              <w:rPr>
                <w:rFonts w:asciiTheme="majorBidi" w:hAnsiTheme="majorBidi" w:cstheme="majorBidi"/>
                <w:color w:val="FF0000"/>
                <w:sz w:val="20"/>
                <w:szCs w:val="20"/>
              </w:rPr>
            </w:pPr>
            <w:r>
              <w:rPr>
                <w:rFonts w:asciiTheme="majorBidi" w:hAnsiTheme="majorBidi" w:cstheme="majorBidi"/>
                <w:color w:val="000000"/>
                <w:sz w:val="20"/>
                <w:szCs w:val="20"/>
              </w:rPr>
              <w:t>&lt;0.001</w:t>
            </w:r>
          </w:p>
        </w:tc>
      </w:tr>
      <w:tr w:rsidR="00F1658C" w:rsidRPr="00F1658C" w:rsidTr="009B3101">
        <w:trPr>
          <w:gridAfter w:val="1"/>
          <w:wAfter w:w="84" w:type="dxa"/>
          <w:trHeight w:val="441"/>
          <w:jc w:val="center"/>
        </w:trPr>
        <w:tc>
          <w:tcPr>
            <w:tcW w:w="0" w:type="auto"/>
            <w:noWrap/>
            <w:hideMark/>
          </w:tcPr>
          <w:p w:rsidR="00F1658C"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Model 4</w:t>
            </w:r>
            <w:r>
              <w:rPr>
                <w:rFonts w:asciiTheme="majorBidi" w:hAnsiTheme="majorBidi" w:cstheme="majorBidi"/>
                <w:b/>
                <w:bCs/>
                <w:sz w:val="20"/>
                <w:szCs w:val="20"/>
                <w:vertAlign w:val="superscript"/>
              </w:rPr>
              <w:t>e</w:t>
            </w:r>
          </w:p>
        </w:tc>
        <w:tc>
          <w:tcPr>
            <w:tcW w:w="683" w:type="dxa"/>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44</w:t>
            </w:r>
            <w:r w:rsidR="00F1658C">
              <w:rPr>
                <w:rFonts w:asciiTheme="majorBidi" w:hAnsiTheme="majorBidi" w:cstheme="majorBidi"/>
                <w:color w:val="000000"/>
                <w:sz w:val="20"/>
                <w:szCs w:val="20"/>
              </w:rPr>
              <w:t>.0</w:t>
            </w:r>
          </w:p>
        </w:tc>
        <w:tc>
          <w:tcPr>
            <w:tcW w:w="0" w:type="auto"/>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(29.6</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58.4)</w:t>
            </w:r>
          </w:p>
        </w:tc>
        <w:tc>
          <w:tcPr>
            <w:tcW w:w="0" w:type="auto"/>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84" w:type="dxa"/>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47</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1</w:t>
            </w:r>
          </w:p>
        </w:tc>
        <w:tc>
          <w:tcPr>
            <w:tcW w:w="1321"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(32.7</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61.5)</w:t>
            </w:r>
          </w:p>
        </w:tc>
        <w:tc>
          <w:tcPr>
            <w:tcW w:w="865" w:type="dxa"/>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vAlign w:val="center"/>
          </w:tcPr>
          <w:p w:rsidR="00F1658C" w:rsidRPr="00F1658C" w:rsidRDefault="00F1658C" w:rsidP="00CF1D19">
            <w:pPr>
              <w:jc w:val="center"/>
              <w:rPr>
                <w:rFonts w:asciiTheme="majorBidi" w:hAnsiTheme="majorBidi" w:cstheme="majorBidi"/>
                <w:color w:val="000000"/>
                <w:sz w:val="20"/>
                <w:szCs w:val="20"/>
              </w:rPr>
            </w:pPr>
          </w:p>
        </w:tc>
        <w:tc>
          <w:tcPr>
            <w:tcW w:w="666"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47</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4</w:t>
            </w:r>
          </w:p>
        </w:tc>
        <w:tc>
          <w:tcPr>
            <w:tcW w:w="1321"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(33.3</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61.5)</w:t>
            </w:r>
          </w:p>
        </w:tc>
        <w:tc>
          <w:tcPr>
            <w:tcW w:w="865" w:type="dxa"/>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49</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7</w:t>
            </w:r>
          </w:p>
        </w:tc>
        <w:tc>
          <w:tcPr>
            <w:tcW w:w="1408" w:type="dxa"/>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(35.2</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64.1)</w:t>
            </w:r>
          </w:p>
        </w:tc>
        <w:tc>
          <w:tcPr>
            <w:tcW w:w="865" w:type="dxa"/>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c>
          <w:tcPr>
            <w:tcW w:w="236" w:type="dxa"/>
            <w:gridSpan w:val="2"/>
            <w:vAlign w:val="center"/>
          </w:tcPr>
          <w:p w:rsidR="00F1658C" w:rsidRPr="00F1658C" w:rsidRDefault="00F1658C" w:rsidP="00CF1D19">
            <w:pPr>
              <w:jc w:val="center"/>
              <w:rPr>
                <w:rFonts w:asciiTheme="majorBidi" w:hAnsiTheme="majorBidi" w:cstheme="majorBidi"/>
                <w:color w:val="000000"/>
                <w:sz w:val="20"/>
                <w:szCs w:val="20"/>
              </w:rPr>
            </w:pPr>
          </w:p>
        </w:tc>
        <w:tc>
          <w:tcPr>
            <w:tcW w:w="670" w:type="dxa"/>
            <w:gridSpan w:val="2"/>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48</w:t>
            </w:r>
            <w:r w:rsidR="00571684">
              <w:rPr>
                <w:rFonts w:asciiTheme="majorBidi" w:hAnsiTheme="majorBidi" w:cstheme="majorBidi"/>
                <w:color w:val="000000"/>
                <w:sz w:val="20"/>
                <w:szCs w:val="20"/>
              </w:rPr>
              <w:t>.0</w:t>
            </w:r>
          </w:p>
        </w:tc>
        <w:tc>
          <w:tcPr>
            <w:tcW w:w="1321" w:type="dxa"/>
            <w:gridSpan w:val="2"/>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(34.1</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61.8)</w:t>
            </w:r>
          </w:p>
        </w:tc>
        <w:tc>
          <w:tcPr>
            <w:tcW w:w="865" w:type="dxa"/>
            <w:gridSpan w:val="2"/>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&lt;0.001</w:t>
            </w:r>
          </w:p>
        </w:tc>
      </w:tr>
      <w:tr w:rsidR="00262734" w:rsidRPr="00F1658C" w:rsidTr="009B3101">
        <w:trPr>
          <w:gridAfter w:val="1"/>
          <w:wAfter w:w="84" w:type="dxa"/>
          <w:trHeight w:val="300"/>
          <w:jc w:val="center"/>
        </w:trPr>
        <w:tc>
          <w:tcPr>
            <w:tcW w:w="0" w:type="auto"/>
            <w:shd w:val="clear" w:color="auto" w:fill="C6D9F1" w:themeFill="text2" w:themeFillTint="33"/>
            <w:noWrap/>
            <w:hideMark/>
          </w:tcPr>
          <w:p w:rsidR="00F1658C"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Model 5</w:t>
            </w:r>
            <w:r>
              <w:rPr>
                <w:rFonts w:asciiTheme="majorBidi" w:hAnsiTheme="majorBidi" w:cstheme="majorBidi"/>
                <w:b/>
                <w:bCs/>
                <w:sz w:val="20"/>
                <w:szCs w:val="20"/>
                <w:vertAlign w:val="superscript"/>
              </w:rPr>
              <w:t>f</w:t>
            </w:r>
          </w:p>
        </w:tc>
        <w:tc>
          <w:tcPr>
            <w:tcW w:w="683" w:type="dxa"/>
            <w:shd w:val="clear" w:color="auto" w:fill="C6D9F1" w:themeFill="text2" w:themeFillTint="33"/>
            <w:vAlign w:val="center"/>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18</w:t>
            </w:r>
            <w:r w:rsidR="00F1658C">
              <w:rPr>
                <w:rFonts w:asciiTheme="majorBidi" w:hAnsiTheme="majorBidi" w:cstheme="majorBidi"/>
                <w:color w:val="000000"/>
                <w:sz w:val="20"/>
                <w:szCs w:val="20"/>
              </w:rPr>
              <w:t>.0</w:t>
            </w:r>
          </w:p>
        </w:tc>
        <w:tc>
          <w:tcPr>
            <w:tcW w:w="0" w:type="auto"/>
            <w:shd w:val="clear" w:color="auto" w:fill="C6D9F1" w:themeFill="text2" w:themeFillTint="33"/>
            <w:vAlign w:val="center"/>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(3.7</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32.3)</w:t>
            </w:r>
          </w:p>
        </w:tc>
        <w:tc>
          <w:tcPr>
            <w:tcW w:w="0" w:type="auto"/>
            <w:shd w:val="clear" w:color="auto" w:fill="C6D9F1" w:themeFill="text2" w:themeFillTint="33"/>
            <w:vAlign w:val="center"/>
          </w:tcPr>
          <w:p w:rsidR="00F1658C" w:rsidRPr="00F1658C" w:rsidRDefault="00937BE5" w:rsidP="00CF1D19">
            <w:pPr>
              <w:jc w:val="center"/>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013</w:t>
            </w:r>
          </w:p>
        </w:tc>
        <w:tc>
          <w:tcPr>
            <w:tcW w:w="284" w:type="dxa"/>
            <w:shd w:val="clear" w:color="auto" w:fill="C6D9F1" w:themeFill="text2" w:themeFillTint="33"/>
            <w:vAlign w:val="center"/>
          </w:tcPr>
          <w:p w:rsidR="00F1658C" w:rsidRPr="00F1658C" w:rsidRDefault="00F1658C" w:rsidP="00CF1D19">
            <w:pPr>
              <w:jc w:val="center"/>
              <w:rPr>
                <w:rFonts w:asciiTheme="majorBidi" w:hAnsiTheme="majorBidi" w:cstheme="majorBidi"/>
                <w:sz w:val="20"/>
                <w:szCs w:val="20"/>
              </w:rPr>
            </w:pPr>
          </w:p>
        </w:tc>
        <w:tc>
          <w:tcPr>
            <w:tcW w:w="717"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20</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3</w:t>
            </w:r>
          </w:p>
        </w:tc>
        <w:tc>
          <w:tcPr>
            <w:tcW w:w="1321"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(6.1</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34.6)</w:t>
            </w:r>
          </w:p>
        </w:tc>
        <w:tc>
          <w:tcPr>
            <w:tcW w:w="865" w:type="dxa"/>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sz w:val="20"/>
                <w:szCs w:val="20"/>
              </w:rPr>
            </w:pPr>
            <w:r>
              <w:rPr>
                <w:rFonts w:asciiTheme="majorBidi" w:hAnsiTheme="majorBidi" w:cstheme="majorBidi"/>
                <w:sz w:val="20"/>
                <w:szCs w:val="20"/>
              </w:rPr>
              <w:t>0.</w:t>
            </w:r>
            <w:r w:rsidR="00214C40" w:rsidRPr="00214C40">
              <w:rPr>
                <w:rFonts w:asciiTheme="majorBidi" w:hAnsiTheme="majorBidi" w:cstheme="majorBidi"/>
                <w:sz w:val="20"/>
                <w:szCs w:val="20"/>
              </w:rPr>
              <w:t>005</w:t>
            </w:r>
          </w:p>
        </w:tc>
        <w:tc>
          <w:tcPr>
            <w:tcW w:w="236" w:type="dxa"/>
            <w:shd w:val="clear" w:color="auto" w:fill="C6D9F1" w:themeFill="text2" w:themeFillTint="33"/>
            <w:vAlign w:val="center"/>
          </w:tcPr>
          <w:p w:rsidR="00F1658C" w:rsidRPr="00F1658C" w:rsidRDefault="00F1658C" w:rsidP="00CF1D19">
            <w:pPr>
              <w:jc w:val="center"/>
              <w:rPr>
                <w:rFonts w:asciiTheme="majorBidi" w:hAnsiTheme="majorBidi" w:cstheme="majorBidi"/>
                <w:sz w:val="20"/>
                <w:szCs w:val="20"/>
              </w:rPr>
            </w:pPr>
          </w:p>
        </w:tc>
        <w:tc>
          <w:tcPr>
            <w:tcW w:w="666"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21</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2</w:t>
            </w:r>
          </w:p>
        </w:tc>
        <w:tc>
          <w:tcPr>
            <w:tcW w:w="1321"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(7.4</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35.1)</w:t>
            </w:r>
          </w:p>
        </w:tc>
        <w:tc>
          <w:tcPr>
            <w:tcW w:w="865" w:type="dxa"/>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003</w:t>
            </w:r>
          </w:p>
        </w:tc>
        <w:tc>
          <w:tcPr>
            <w:tcW w:w="236" w:type="dxa"/>
            <w:shd w:val="clear" w:color="auto" w:fill="C6D9F1" w:themeFill="text2" w:themeFillTint="33"/>
            <w:vAlign w:val="center"/>
          </w:tcPr>
          <w:p w:rsidR="00F1658C" w:rsidRPr="00F1658C" w:rsidRDefault="00F1658C" w:rsidP="00CF1D19">
            <w:pPr>
              <w:jc w:val="center"/>
              <w:rPr>
                <w:rFonts w:asciiTheme="majorBidi" w:hAnsiTheme="majorBidi" w:cstheme="majorBidi"/>
                <w:sz w:val="20"/>
                <w:szCs w:val="20"/>
              </w:rPr>
            </w:pPr>
          </w:p>
        </w:tc>
        <w:tc>
          <w:tcPr>
            <w:tcW w:w="717"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21</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4</w:t>
            </w:r>
          </w:p>
        </w:tc>
        <w:tc>
          <w:tcPr>
            <w:tcW w:w="1408" w:type="dxa"/>
            <w:shd w:val="clear" w:color="auto" w:fill="C6D9F1" w:themeFill="text2" w:themeFillTint="33"/>
            <w:noWrap/>
            <w:vAlign w:val="center"/>
            <w:hideMark/>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(7.5</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35.3)</w:t>
            </w:r>
          </w:p>
        </w:tc>
        <w:tc>
          <w:tcPr>
            <w:tcW w:w="865" w:type="dxa"/>
            <w:shd w:val="clear" w:color="auto" w:fill="C6D9F1" w:themeFill="text2" w:themeFillTint="33"/>
            <w:noWrap/>
            <w:vAlign w:val="center"/>
            <w:hideMark/>
          </w:tcPr>
          <w:p w:rsidR="00F1658C" w:rsidRPr="00F1658C" w:rsidRDefault="00937BE5" w:rsidP="00CF1D19">
            <w:pPr>
              <w:jc w:val="center"/>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003</w:t>
            </w:r>
          </w:p>
        </w:tc>
        <w:tc>
          <w:tcPr>
            <w:tcW w:w="236" w:type="dxa"/>
            <w:gridSpan w:val="2"/>
            <w:shd w:val="clear" w:color="auto" w:fill="C6D9F1" w:themeFill="text2" w:themeFillTint="33"/>
            <w:vAlign w:val="center"/>
          </w:tcPr>
          <w:p w:rsidR="00F1658C" w:rsidRPr="00F1658C" w:rsidRDefault="00F1658C" w:rsidP="00CF1D19">
            <w:pPr>
              <w:jc w:val="center"/>
              <w:rPr>
                <w:rFonts w:asciiTheme="majorBidi" w:hAnsiTheme="majorBidi" w:cstheme="majorBidi"/>
                <w:sz w:val="20"/>
                <w:szCs w:val="20"/>
              </w:rPr>
            </w:pPr>
          </w:p>
        </w:tc>
        <w:tc>
          <w:tcPr>
            <w:tcW w:w="670" w:type="dxa"/>
            <w:gridSpan w:val="2"/>
            <w:shd w:val="clear" w:color="auto" w:fill="C6D9F1" w:themeFill="text2" w:themeFillTint="33"/>
            <w:vAlign w:val="center"/>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18</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6</w:t>
            </w:r>
          </w:p>
        </w:tc>
        <w:tc>
          <w:tcPr>
            <w:tcW w:w="1321" w:type="dxa"/>
            <w:gridSpan w:val="2"/>
            <w:shd w:val="clear" w:color="auto" w:fill="C6D9F1" w:themeFill="text2" w:themeFillTint="33"/>
            <w:vAlign w:val="center"/>
          </w:tcPr>
          <w:p w:rsidR="00F1658C" w:rsidRPr="00F1658C" w:rsidRDefault="00214C40" w:rsidP="00CF1D19">
            <w:pPr>
              <w:jc w:val="center"/>
              <w:rPr>
                <w:rFonts w:asciiTheme="majorBidi" w:hAnsiTheme="majorBidi" w:cstheme="majorBidi"/>
                <w:sz w:val="20"/>
                <w:szCs w:val="20"/>
              </w:rPr>
            </w:pPr>
            <w:r w:rsidRPr="00214C40">
              <w:rPr>
                <w:rFonts w:asciiTheme="majorBidi" w:hAnsiTheme="majorBidi" w:cstheme="majorBidi"/>
                <w:color w:val="000000"/>
                <w:sz w:val="20"/>
                <w:szCs w:val="20"/>
              </w:rPr>
              <w:t>(5.5</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31.8)</w:t>
            </w:r>
          </w:p>
        </w:tc>
        <w:tc>
          <w:tcPr>
            <w:tcW w:w="865" w:type="dxa"/>
            <w:gridSpan w:val="2"/>
            <w:shd w:val="clear" w:color="auto" w:fill="C6D9F1" w:themeFill="text2" w:themeFillTint="33"/>
            <w:vAlign w:val="center"/>
          </w:tcPr>
          <w:p w:rsidR="00F1658C" w:rsidRPr="00F1658C" w:rsidRDefault="00937BE5" w:rsidP="00CF1D19">
            <w:pPr>
              <w:jc w:val="center"/>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005</w:t>
            </w:r>
          </w:p>
        </w:tc>
      </w:tr>
      <w:tr w:rsidR="00F1658C" w:rsidRPr="00F1658C" w:rsidTr="009B3101">
        <w:trPr>
          <w:gridAfter w:val="1"/>
          <w:wAfter w:w="84" w:type="dxa"/>
          <w:trHeight w:val="300"/>
          <w:jc w:val="center"/>
        </w:trPr>
        <w:tc>
          <w:tcPr>
            <w:tcW w:w="0" w:type="auto"/>
            <w:tcBorders>
              <w:bottom w:val="single" w:sz="24" w:space="0" w:color="4F81BD" w:themeColor="accent1"/>
            </w:tcBorders>
            <w:noWrap/>
            <w:hideMark/>
          </w:tcPr>
          <w:p w:rsidR="00F1658C" w:rsidRPr="00F1658C" w:rsidRDefault="00937BE5" w:rsidP="00CF1D19">
            <w:pPr>
              <w:ind w:left="720" w:hanging="720"/>
              <w:rPr>
                <w:rFonts w:asciiTheme="majorBidi" w:hAnsiTheme="majorBidi" w:cstheme="majorBidi"/>
                <w:b/>
                <w:bCs/>
                <w:sz w:val="20"/>
                <w:szCs w:val="20"/>
              </w:rPr>
            </w:pPr>
            <w:r>
              <w:rPr>
                <w:rFonts w:asciiTheme="majorBidi" w:hAnsiTheme="majorBidi" w:cstheme="majorBidi"/>
                <w:b/>
                <w:bCs/>
                <w:sz w:val="20"/>
                <w:szCs w:val="20"/>
              </w:rPr>
              <w:t>Model 6</w:t>
            </w:r>
            <w:r>
              <w:rPr>
                <w:rFonts w:asciiTheme="majorBidi" w:hAnsiTheme="majorBidi" w:cstheme="majorBidi"/>
                <w:b/>
                <w:bCs/>
                <w:sz w:val="20"/>
                <w:szCs w:val="20"/>
                <w:vertAlign w:val="superscript"/>
              </w:rPr>
              <w:t>g</w:t>
            </w:r>
          </w:p>
        </w:tc>
        <w:tc>
          <w:tcPr>
            <w:tcW w:w="683" w:type="dxa"/>
            <w:tcBorders>
              <w:bottom w:val="single" w:sz="24" w:space="0" w:color="4F81BD" w:themeColor="accent1"/>
            </w:tcBorders>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14</w:t>
            </w:r>
            <w:r w:rsidR="00F1658C">
              <w:rPr>
                <w:rFonts w:asciiTheme="majorBidi" w:hAnsiTheme="majorBidi" w:cstheme="majorBidi"/>
                <w:color w:val="000000"/>
                <w:sz w:val="20"/>
                <w:szCs w:val="20"/>
              </w:rPr>
              <w:t>.0</w:t>
            </w:r>
          </w:p>
        </w:tc>
        <w:tc>
          <w:tcPr>
            <w:tcW w:w="0" w:type="auto"/>
            <w:tcBorders>
              <w:bottom w:val="single" w:sz="24" w:space="0" w:color="4F81BD" w:themeColor="accent1"/>
            </w:tcBorders>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(-0.8</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28.7)</w:t>
            </w:r>
          </w:p>
        </w:tc>
        <w:tc>
          <w:tcPr>
            <w:tcW w:w="0" w:type="auto"/>
            <w:tcBorders>
              <w:bottom w:val="single" w:sz="24" w:space="0" w:color="4F81BD" w:themeColor="accent1"/>
            </w:tcBorders>
            <w:vAlign w:val="center"/>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063</w:t>
            </w:r>
          </w:p>
        </w:tc>
        <w:tc>
          <w:tcPr>
            <w:tcW w:w="284" w:type="dxa"/>
            <w:tcBorders>
              <w:bottom w:val="single" w:sz="24" w:space="0" w:color="4F81BD" w:themeColor="accent1"/>
            </w:tcBorders>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tcBorders>
              <w:bottom w:val="single" w:sz="24" w:space="0" w:color="4F81BD" w:themeColor="accent1"/>
            </w:tcBorders>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15</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8</w:t>
            </w:r>
          </w:p>
        </w:tc>
        <w:tc>
          <w:tcPr>
            <w:tcW w:w="1321" w:type="dxa"/>
            <w:tcBorders>
              <w:bottom w:val="single" w:sz="24" w:space="0" w:color="4F81BD" w:themeColor="accent1"/>
            </w:tcBorders>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(1.1</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30.6)</w:t>
            </w:r>
          </w:p>
        </w:tc>
        <w:tc>
          <w:tcPr>
            <w:tcW w:w="865" w:type="dxa"/>
            <w:tcBorders>
              <w:bottom w:val="single" w:sz="24" w:space="0" w:color="4F81BD" w:themeColor="accent1"/>
            </w:tcBorders>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sz w:val="20"/>
                <w:szCs w:val="20"/>
              </w:rPr>
              <w:t>0.</w:t>
            </w:r>
            <w:r w:rsidR="00214C40" w:rsidRPr="00214C40">
              <w:rPr>
                <w:rFonts w:asciiTheme="majorBidi" w:hAnsiTheme="majorBidi" w:cstheme="majorBidi"/>
                <w:sz w:val="20"/>
                <w:szCs w:val="20"/>
              </w:rPr>
              <w:t>036</w:t>
            </w:r>
          </w:p>
        </w:tc>
        <w:tc>
          <w:tcPr>
            <w:tcW w:w="236" w:type="dxa"/>
            <w:tcBorders>
              <w:bottom w:val="single" w:sz="24" w:space="0" w:color="4F81BD" w:themeColor="accent1"/>
            </w:tcBorders>
            <w:vAlign w:val="center"/>
          </w:tcPr>
          <w:p w:rsidR="00F1658C" w:rsidRPr="00F1658C" w:rsidRDefault="00F1658C" w:rsidP="00CF1D19">
            <w:pPr>
              <w:jc w:val="center"/>
              <w:rPr>
                <w:rFonts w:asciiTheme="majorBidi" w:hAnsiTheme="majorBidi" w:cstheme="majorBidi"/>
                <w:color w:val="000000"/>
                <w:sz w:val="20"/>
                <w:szCs w:val="20"/>
              </w:rPr>
            </w:pPr>
          </w:p>
        </w:tc>
        <w:tc>
          <w:tcPr>
            <w:tcW w:w="666" w:type="dxa"/>
            <w:tcBorders>
              <w:bottom w:val="single" w:sz="24" w:space="0" w:color="4F81BD" w:themeColor="accent1"/>
            </w:tcBorders>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16</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2</w:t>
            </w:r>
          </w:p>
        </w:tc>
        <w:tc>
          <w:tcPr>
            <w:tcW w:w="1321" w:type="dxa"/>
            <w:tcBorders>
              <w:bottom w:val="single" w:sz="24" w:space="0" w:color="4F81BD" w:themeColor="accent1"/>
            </w:tcBorders>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(1.7</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30.8)</w:t>
            </w:r>
          </w:p>
        </w:tc>
        <w:tc>
          <w:tcPr>
            <w:tcW w:w="865" w:type="dxa"/>
            <w:tcBorders>
              <w:bottom w:val="single" w:sz="24" w:space="0" w:color="4F81BD" w:themeColor="accent1"/>
            </w:tcBorders>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028</w:t>
            </w:r>
          </w:p>
        </w:tc>
        <w:tc>
          <w:tcPr>
            <w:tcW w:w="236" w:type="dxa"/>
            <w:tcBorders>
              <w:bottom w:val="single" w:sz="24" w:space="0" w:color="4F81BD" w:themeColor="accent1"/>
            </w:tcBorders>
            <w:vAlign w:val="center"/>
          </w:tcPr>
          <w:p w:rsidR="00F1658C" w:rsidRPr="00F1658C" w:rsidRDefault="00F1658C" w:rsidP="00CF1D19">
            <w:pPr>
              <w:jc w:val="center"/>
              <w:rPr>
                <w:rFonts w:asciiTheme="majorBidi" w:hAnsiTheme="majorBidi" w:cstheme="majorBidi"/>
                <w:color w:val="000000"/>
                <w:sz w:val="20"/>
                <w:szCs w:val="20"/>
              </w:rPr>
            </w:pPr>
          </w:p>
        </w:tc>
        <w:tc>
          <w:tcPr>
            <w:tcW w:w="717" w:type="dxa"/>
            <w:tcBorders>
              <w:bottom w:val="single" w:sz="24" w:space="0" w:color="4F81BD" w:themeColor="accent1"/>
            </w:tcBorders>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15</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8</w:t>
            </w:r>
          </w:p>
        </w:tc>
        <w:tc>
          <w:tcPr>
            <w:tcW w:w="1408" w:type="dxa"/>
            <w:tcBorders>
              <w:bottom w:val="single" w:sz="24" w:space="0" w:color="4F81BD" w:themeColor="accent1"/>
            </w:tcBorders>
            <w:noWrap/>
            <w:vAlign w:val="center"/>
            <w:hideMark/>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(0.9</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30.7)</w:t>
            </w:r>
          </w:p>
        </w:tc>
        <w:tc>
          <w:tcPr>
            <w:tcW w:w="865" w:type="dxa"/>
            <w:tcBorders>
              <w:bottom w:val="single" w:sz="24" w:space="0" w:color="4F81BD" w:themeColor="accent1"/>
            </w:tcBorders>
            <w:noWrap/>
            <w:vAlign w:val="center"/>
            <w:hideMark/>
          </w:tcPr>
          <w:p w:rsidR="00F1658C" w:rsidRPr="00F1658C"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038</w:t>
            </w:r>
          </w:p>
        </w:tc>
        <w:tc>
          <w:tcPr>
            <w:tcW w:w="236" w:type="dxa"/>
            <w:gridSpan w:val="2"/>
            <w:tcBorders>
              <w:bottom w:val="single" w:sz="24" w:space="0" w:color="4F81BD" w:themeColor="accent1"/>
            </w:tcBorders>
            <w:vAlign w:val="center"/>
          </w:tcPr>
          <w:p w:rsidR="00F1658C" w:rsidRPr="00F1658C" w:rsidRDefault="00F1658C" w:rsidP="00CF1D19">
            <w:pPr>
              <w:jc w:val="center"/>
              <w:rPr>
                <w:rFonts w:asciiTheme="majorBidi" w:hAnsiTheme="majorBidi" w:cstheme="majorBidi"/>
                <w:color w:val="000000"/>
                <w:sz w:val="20"/>
                <w:szCs w:val="20"/>
              </w:rPr>
            </w:pPr>
          </w:p>
        </w:tc>
        <w:tc>
          <w:tcPr>
            <w:tcW w:w="670" w:type="dxa"/>
            <w:gridSpan w:val="2"/>
            <w:tcBorders>
              <w:bottom w:val="single" w:sz="24" w:space="0" w:color="4F81BD" w:themeColor="accent1"/>
            </w:tcBorders>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12</w:t>
            </w:r>
            <w:r w:rsidR="00F1658C">
              <w:rPr>
                <w:rFonts w:asciiTheme="majorBidi" w:hAnsiTheme="majorBidi" w:cstheme="majorBidi"/>
                <w:color w:val="000000"/>
                <w:sz w:val="20"/>
                <w:szCs w:val="20"/>
              </w:rPr>
              <w:t>.</w:t>
            </w:r>
            <w:r w:rsidRPr="00214C40">
              <w:rPr>
                <w:rFonts w:asciiTheme="majorBidi" w:hAnsiTheme="majorBidi" w:cstheme="majorBidi"/>
                <w:color w:val="000000"/>
                <w:sz w:val="20"/>
                <w:szCs w:val="20"/>
              </w:rPr>
              <w:t>7</w:t>
            </w:r>
          </w:p>
        </w:tc>
        <w:tc>
          <w:tcPr>
            <w:tcW w:w="1321" w:type="dxa"/>
            <w:gridSpan w:val="2"/>
            <w:tcBorders>
              <w:bottom w:val="single" w:sz="24" w:space="0" w:color="4F81BD" w:themeColor="accent1"/>
            </w:tcBorders>
            <w:vAlign w:val="center"/>
          </w:tcPr>
          <w:p w:rsidR="00F1658C" w:rsidRPr="00F1658C" w:rsidRDefault="00214C40" w:rsidP="00CF1D19">
            <w:pPr>
              <w:jc w:val="center"/>
              <w:rPr>
                <w:rFonts w:asciiTheme="majorBidi" w:hAnsiTheme="majorBidi" w:cstheme="majorBidi"/>
                <w:color w:val="000000"/>
                <w:sz w:val="20"/>
                <w:szCs w:val="20"/>
              </w:rPr>
            </w:pPr>
            <w:r w:rsidRPr="00214C40">
              <w:rPr>
                <w:rFonts w:asciiTheme="majorBidi" w:hAnsiTheme="majorBidi" w:cstheme="majorBidi"/>
                <w:color w:val="000000"/>
                <w:sz w:val="20"/>
                <w:szCs w:val="20"/>
              </w:rPr>
              <w:t>(-1.</w:t>
            </w:r>
            <w:r w:rsidR="00181A41">
              <w:rPr>
                <w:rFonts w:asciiTheme="majorBidi" w:hAnsiTheme="majorBidi" w:cstheme="majorBidi"/>
                <w:color w:val="000000"/>
                <w:sz w:val="20"/>
                <w:szCs w:val="20"/>
              </w:rPr>
              <w:t>8</w:t>
            </w:r>
            <w:r w:rsidR="00F1658C">
              <w:rPr>
                <w:rFonts w:asciiTheme="majorBidi" w:hAnsiTheme="majorBidi" w:cstheme="majorBidi"/>
                <w:color w:val="000000"/>
                <w:sz w:val="20"/>
                <w:szCs w:val="20"/>
              </w:rPr>
              <w:t xml:space="preserve">, </w:t>
            </w:r>
            <w:r w:rsidRPr="00214C40">
              <w:rPr>
                <w:rFonts w:asciiTheme="majorBidi" w:hAnsiTheme="majorBidi" w:cstheme="majorBidi"/>
                <w:color w:val="000000"/>
                <w:sz w:val="20"/>
                <w:szCs w:val="20"/>
              </w:rPr>
              <w:t>27.</w:t>
            </w:r>
            <w:r w:rsidR="00181A41">
              <w:rPr>
                <w:rFonts w:asciiTheme="majorBidi" w:hAnsiTheme="majorBidi" w:cstheme="majorBidi"/>
                <w:color w:val="000000"/>
                <w:sz w:val="20"/>
                <w:szCs w:val="20"/>
              </w:rPr>
              <w:t>2</w:t>
            </w:r>
            <w:r w:rsidRPr="00214C40">
              <w:rPr>
                <w:rFonts w:asciiTheme="majorBidi" w:hAnsiTheme="majorBidi" w:cstheme="majorBidi"/>
                <w:color w:val="000000"/>
                <w:sz w:val="20"/>
                <w:szCs w:val="20"/>
              </w:rPr>
              <w:t>)</w:t>
            </w:r>
          </w:p>
        </w:tc>
        <w:tc>
          <w:tcPr>
            <w:tcW w:w="865" w:type="dxa"/>
            <w:gridSpan w:val="2"/>
            <w:tcBorders>
              <w:bottom w:val="single" w:sz="24" w:space="0" w:color="4F81BD" w:themeColor="accent1"/>
            </w:tcBorders>
            <w:vAlign w:val="center"/>
          </w:tcPr>
          <w:p w:rsidR="00214C40" w:rsidRDefault="00937BE5" w:rsidP="00CF1D19">
            <w:pPr>
              <w:jc w:val="center"/>
              <w:rPr>
                <w:rFonts w:asciiTheme="majorBidi" w:hAnsiTheme="majorBidi" w:cstheme="majorBidi"/>
                <w:color w:val="000000"/>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0</w:t>
            </w:r>
            <w:r w:rsidR="00BD38A8">
              <w:rPr>
                <w:rFonts w:asciiTheme="majorBidi" w:hAnsiTheme="majorBidi" w:cstheme="majorBidi"/>
                <w:color w:val="000000"/>
                <w:sz w:val="20"/>
                <w:szCs w:val="20"/>
              </w:rPr>
              <w:t>84</w:t>
            </w:r>
          </w:p>
        </w:tc>
      </w:tr>
    </w:tbl>
    <w:p w:rsidR="00354FCA" w:rsidRDefault="00354FCA" w:rsidP="00CF1D19">
      <w:pPr>
        <w:pStyle w:val="ListParagraph"/>
        <w:spacing w:after="0" w:line="360" w:lineRule="auto"/>
        <w:ind w:left="426"/>
        <w:rPr>
          <w:rFonts w:ascii="Times New Roman" w:hAnsi="Times New Roman" w:cs="Times New Roman"/>
          <w:sz w:val="20"/>
        </w:rPr>
      </w:pPr>
    </w:p>
    <w:p w:rsidR="00354FCA" w:rsidRDefault="00A94AFD">
      <w:pPr>
        <w:pStyle w:val="ListParagraph"/>
        <w:spacing w:after="0" w:line="360" w:lineRule="auto"/>
        <w:ind w:left="426"/>
        <w:rPr>
          <w:rFonts w:ascii="Times New Roman" w:hAnsi="Times New Roman" w:cs="Times New Roman"/>
          <w:sz w:val="20"/>
        </w:rPr>
      </w:pPr>
      <w:r>
        <w:rPr>
          <w:rFonts w:ascii="Times New Roman" w:hAnsi="Times New Roman" w:cs="Times New Roman"/>
          <w:sz w:val="20"/>
        </w:rPr>
        <w:t>a 0.176 for 50 m buffer,</w:t>
      </w:r>
      <w:r w:rsidR="003D3DED" w:rsidRPr="003D3DED">
        <w:rPr>
          <w:rFonts w:ascii="Times New Roman" w:hAnsi="Times New Roman" w:cs="Times New Roman"/>
          <w:sz w:val="20"/>
        </w:rPr>
        <w:t xml:space="preserve"> 0.166 for 10</w:t>
      </w:r>
      <w:r w:rsidR="00A51F1F">
        <w:rPr>
          <w:rFonts w:ascii="Times New Roman" w:hAnsi="Times New Roman" w:cs="Times New Roman"/>
          <w:sz w:val="20"/>
        </w:rPr>
        <w:t>0 m</w:t>
      </w:r>
      <w:r w:rsidR="003D3DED" w:rsidRPr="003D3DED">
        <w:rPr>
          <w:rFonts w:ascii="Times New Roman" w:hAnsi="Times New Roman" w:cs="Times New Roman"/>
          <w:sz w:val="20"/>
        </w:rPr>
        <w:t xml:space="preserve"> buffer, 0.1</w:t>
      </w:r>
      <w:r>
        <w:rPr>
          <w:rFonts w:ascii="Times New Roman" w:hAnsi="Times New Roman" w:cs="Times New Roman"/>
          <w:sz w:val="20"/>
        </w:rPr>
        <w:t>50</w:t>
      </w:r>
      <w:r w:rsidR="003D3DED" w:rsidRPr="003D3DED">
        <w:rPr>
          <w:rFonts w:ascii="Times New Roman" w:hAnsi="Times New Roman" w:cs="Times New Roman"/>
          <w:sz w:val="20"/>
        </w:rPr>
        <w:t xml:space="preserve"> for 25</w:t>
      </w:r>
      <w:r w:rsidR="00A51F1F">
        <w:rPr>
          <w:rFonts w:ascii="Times New Roman" w:hAnsi="Times New Roman" w:cs="Times New Roman"/>
          <w:sz w:val="20"/>
        </w:rPr>
        <w:t>0 m</w:t>
      </w:r>
      <w:r w:rsidR="003D3DED" w:rsidRPr="003D3DED">
        <w:rPr>
          <w:rFonts w:ascii="Times New Roman" w:hAnsi="Times New Roman" w:cs="Times New Roman"/>
          <w:sz w:val="20"/>
        </w:rPr>
        <w:t xml:space="preserve"> buffer, 0.14</w:t>
      </w:r>
      <w:r>
        <w:rPr>
          <w:rFonts w:ascii="Times New Roman" w:hAnsi="Times New Roman" w:cs="Times New Roman"/>
          <w:sz w:val="20"/>
        </w:rPr>
        <w:t>2</w:t>
      </w:r>
      <w:r w:rsidR="003D3DED" w:rsidRPr="003D3DED">
        <w:rPr>
          <w:rFonts w:ascii="Times New Roman" w:hAnsi="Times New Roman" w:cs="Times New Roman"/>
          <w:sz w:val="20"/>
        </w:rPr>
        <w:t xml:space="preserve"> for 50</w:t>
      </w:r>
      <w:r w:rsidR="00A51F1F">
        <w:rPr>
          <w:rFonts w:ascii="Times New Roman" w:hAnsi="Times New Roman" w:cs="Times New Roman"/>
          <w:sz w:val="20"/>
        </w:rPr>
        <w:t>0 m</w:t>
      </w:r>
      <w:r w:rsidR="003D3DED" w:rsidRPr="003D3DED">
        <w:rPr>
          <w:rFonts w:ascii="Times New Roman" w:hAnsi="Times New Roman" w:cs="Times New Roman"/>
          <w:sz w:val="20"/>
        </w:rPr>
        <w:t xml:space="preserve"> buffer</w:t>
      </w:r>
      <w:r>
        <w:rPr>
          <w:rFonts w:ascii="Times New Roman" w:hAnsi="Times New Roman" w:cs="Times New Roman"/>
          <w:sz w:val="20"/>
        </w:rPr>
        <w:t>, and 0.127 for 1000m buffer</w:t>
      </w:r>
      <w:r w:rsidR="003D3DED" w:rsidRPr="003D3DED">
        <w:rPr>
          <w:rFonts w:ascii="Times New Roman" w:hAnsi="Times New Roman" w:cs="Times New Roman"/>
          <w:sz w:val="20"/>
        </w:rPr>
        <w:t>.</w:t>
      </w:r>
    </w:p>
    <w:p w:rsidR="00354FCA" w:rsidRDefault="003D3DED">
      <w:pPr>
        <w:pStyle w:val="ListParagraph"/>
        <w:spacing w:after="0" w:line="360" w:lineRule="auto"/>
        <w:ind w:left="426"/>
        <w:rPr>
          <w:rFonts w:ascii="Times New Roman" w:hAnsi="Times New Roman" w:cs="Times New Roman"/>
          <w:sz w:val="20"/>
        </w:rPr>
      </w:pPr>
      <w:r w:rsidRPr="003D3DED">
        <w:rPr>
          <w:rFonts w:ascii="Times New Roman" w:hAnsi="Times New Roman" w:cs="Times New Roman"/>
          <w:sz w:val="20"/>
        </w:rPr>
        <w:t>b Without any adjustment</w:t>
      </w:r>
    </w:p>
    <w:p w:rsidR="00354FCA" w:rsidRDefault="003D3DED">
      <w:pPr>
        <w:pStyle w:val="ListParagraph"/>
        <w:spacing w:after="0" w:line="360" w:lineRule="auto"/>
        <w:ind w:left="567" w:hanging="141"/>
        <w:rPr>
          <w:rFonts w:ascii="Times New Roman" w:hAnsi="Times New Roman" w:cs="Times New Roman"/>
          <w:sz w:val="20"/>
        </w:rPr>
      </w:pPr>
      <w:r w:rsidRPr="003D3DED">
        <w:rPr>
          <w:rFonts w:ascii="Times New Roman" w:hAnsi="Times New Roman" w:cs="Times New Roman"/>
          <w:sz w:val="20"/>
        </w:rPr>
        <w:t>c Adjusted for gestational age at delivery, maternal age, body mass index, tobacco smoking during pregnancy, exposure to environmental tobacco smoke during pregnancy, parity, alcohol consumption during pregnancy, parity, conception year, and conception season.</w:t>
      </w:r>
    </w:p>
    <w:p w:rsidR="0078358F" w:rsidRDefault="003D3DED">
      <w:pPr>
        <w:pStyle w:val="ListParagraph"/>
        <w:spacing w:after="0" w:line="360" w:lineRule="auto"/>
        <w:ind w:left="426"/>
        <w:rPr>
          <w:rFonts w:ascii="Times New Roman" w:hAnsi="Times New Roman" w:cs="Times New Roman"/>
          <w:sz w:val="20"/>
        </w:rPr>
      </w:pPr>
      <w:r w:rsidRPr="003D3DED">
        <w:rPr>
          <w:rFonts w:ascii="Times New Roman" w:hAnsi="Times New Roman" w:cs="Times New Roman"/>
          <w:sz w:val="20"/>
        </w:rPr>
        <w:t>d Adjusted for the covariates in model 2 plus maternal education.</w:t>
      </w:r>
    </w:p>
    <w:p w:rsidR="0078358F" w:rsidRDefault="003D3DED">
      <w:pPr>
        <w:pStyle w:val="ListParagraph"/>
        <w:spacing w:after="0" w:line="360" w:lineRule="auto"/>
        <w:ind w:left="426"/>
        <w:rPr>
          <w:rFonts w:ascii="Times New Roman" w:hAnsi="Times New Roman" w:cs="Times New Roman"/>
          <w:sz w:val="20"/>
        </w:rPr>
      </w:pPr>
      <w:r w:rsidRPr="003D3DED">
        <w:rPr>
          <w:rFonts w:ascii="Times New Roman" w:hAnsi="Times New Roman" w:cs="Times New Roman"/>
          <w:sz w:val="20"/>
        </w:rPr>
        <w:t>e Adjusted for the covariates in model 2 plus tertiles of neighbourhood IMD.</w:t>
      </w:r>
    </w:p>
    <w:p w:rsidR="0078358F" w:rsidRDefault="003D3DED">
      <w:pPr>
        <w:pStyle w:val="ListParagraph"/>
        <w:spacing w:after="0" w:line="360" w:lineRule="auto"/>
        <w:ind w:left="426"/>
        <w:rPr>
          <w:rFonts w:ascii="Times New Roman" w:hAnsi="Times New Roman" w:cs="Times New Roman"/>
          <w:sz w:val="20"/>
        </w:rPr>
      </w:pPr>
      <w:r w:rsidRPr="003D3DED">
        <w:rPr>
          <w:rFonts w:ascii="Times New Roman" w:hAnsi="Times New Roman" w:cs="Times New Roman"/>
          <w:sz w:val="20"/>
        </w:rPr>
        <w:t>f Adjusted for the covariates in model 2 plus ethnicity.</w:t>
      </w:r>
    </w:p>
    <w:p w:rsidR="0078358F" w:rsidRDefault="003D3DED">
      <w:pPr>
        <w:pStyle w:val="ListParagraph"/>
        <w:spacing w:after="0" w:line="360" w:lineRule="auto"/>
        <w:ind w:left="426"/>
        <w:rPr>
          <w:rFonts w:ascii="Times New Roman" w:hAnsi="Times New Roman" w:cs="Times New Roman"/>
          <w:sz w:val="20"/>
        </w:rPr>
      </w:pPr>
      <w:r w:rsidRPr="003D3DED">
        <w:rPr>
          <w:rFonts w:ascii="Times New Roman" w:hAnsi="Times New Roman" w:cs="Times New Roman"/>
          <w:sz w:val="20"/>
        </w:rPr>
        <w:t>g Adjusted for the covariates in model 2 plus ethnicity and indicators of individual and neighbourhood SES</w:t>
      </w:r>
      <w:r w:rsidR="007A56E4">
        <w:rPr>
          <w:rFonts w:ascii="Times New Roman" w:hAnsi="Times New Roman" w:cs="Times New Roman"/>
          <w:sz w:val="20"/>
        </w:rPr>
        <w:t>.</w:t>
      </w:r>
    </w:p>
    <w:p w:rsidR="007136E7" w:rsidRPr="00B223A5" w:rsidRDefault="007136E7" w:rsidP="007A56E4">
      <w:pPr>
        <w:spacing w:after="0"/>
        <w:rPr>
          <w:rFonts w:ascii="Times New Roman" w:hAnsi="Times New Roman" w:cs="Times New Roman"/>
        </w:rPr>
        <w:sectPr w:rsidR="007136E7" w:rsidRPr="00B223A5" w:rsidSect="007A56E4">
          <w:footerReference w:type="default" r:id="rId21"/>
          <w:pgSz w:w="16838" w:h="11906" w:orient="landscape"/>
          <w:pgMar w:top="1701" w:right="1417" w:bottom="1560" w:left="1417" w:header="709" w:footer="709" w:gutter="0"/>
          <w:cols w:sep="1" w:space="708"/>
          <w:docGrid w:linePitch="360"/>
        </w:sectPr>
      </w:pPr>
    </w:p>
    <w:p w:rsidR="005B2034" w:rsidRDefault="003D3DED">
      <w:pPr>
        <w:spacing w:after="0" w:line="360" w:lineRule="auto"/>
        <w:rPr>
          <w:rFonts w:ascii="Times New Roman" w:hAnsi="Times New Roman" w:cs="Times New Roman"/>
        </w:rPr>
      </w:pPr>
      <w:r w:rsidRPr="003D3DED">
        <w:rPr>
          <w:rFonts w:ascii="Times New Roman" w:hAnsi="Times New Roman" w:cs="Times New Roman"/>
          <w:b/>
          <w:bCs/>
        </w:rPr>
        <w:lastRenderedPageBreak/>
        <w:t>Table 4.</w:t>
      </w:r>
      <w:r w:rsidRPr="003D3DED">
        <w:rPr>
          <w:rFonts w:ascii="Times New Roman" w:hAnsi="Times New Roman" w:cs="Times New Roman"/>
        </w:rPr>
        <w:t xml:space="preserve"> Regression coefficients (95% confidence interval)</w:t>
      </w:r>
      <w:r w:rsidR="00C97131" w:rsidRPr="00C97131">
        <w:rPr>
          <w:rFonts w:ascii="Times New Roman" w:hAnsi="Times New Roman" w:cs="Times New Roman"/>
        </w:rPr>
        <w:t xml:space="preserve"> indicating </w:t>
      </w:r>
      <w:r w:rsidR="00C97131">
        <w:rPr>
          <w:rFonts w:ascii="Times New Roman" w:hAnsi="Times New Roman" w:cs="Times New Roman"/>
        </w:rPr>
        <w:t xml:space="preserve">the </w:t>
      </w:r>
      <w:r w:rsidR="00C97131" w:rsidRPr="00C97131">
        <w:rPr>
          <w:rFonts w:ascii="Times New Roman" w:hAnsi="Times New Roman" w:cs="Times New Roman"/>
        </w:rPr>
        <w:t>change in birth weight (grams) associated with</w:t>
      </w:r>
      <w:r w:rsidRPr="00C97131">
        <w:rPr>
          <w:rFonts w:ascii="Times New Roman" w:hAnsi="Times New Roman" w:cs="Times New Roman"/>
        </w:rPr>
        <w:t xml:space="preserve"> </w:t>
      </w:r>
      <w:r w:rsidRPr="003D3DED">
        <w:rPr>
          <w:rFonts w:ascii="Times New Roman" w:hAnsi="Times New Roman" w:cs="Times New Roman"/>
        </w:rPr>
        <w:t>one interquartile range increase</w:t>
      </w:r>
      <w:r w:rsidR="00E44D65" w:rsidRPr="00E44D65">
        <w:rPr>
          <w:rFonts w:ascii="Times New Roman" w:hAnsi="Times New Roman" w:cs="Times New Roman"/>
          <w:vertAlign w:val="superscript"/>
        </w:rPr>
        <w:t>a</w:t>
      </w:r>
      <w:r w:rsidRPr="003D3DED">
        <w:rPr>
          <w:rFonts w:ascii="Times New Roman" w:hAnsi="Times New Roman" w:cs="Times New Roman"/>
        </w:rPr>
        <w:t xml:space="preserve"> in average of NDVI in </w:t>
      </w:r>
      <w:r w:rsidR="005E0ABD">
        <w:rPr>
          <w:rFonts w:ascii="Times New Roman" w:hAnsi="Times New Roman" w:cs="Times New Roman"/>
        </w:rPr>
        <w:t>buffers of 50 m, 100 m, 250 m,</w:t>
      </w:r>
      <w:r w:rsidR="005E0ABD" w:rsidRPr="003D3DED">
        <w:rPr>
          <w:rFonts w:ascii="Times New Roman" w:hAnsi="Times New Roman" w:cs="Times New Roman"/>
        </w:rPr>
        <w:t xml:space="preserve"> </w:t>
      </w:r>
      <w:r w:rsidRPr="003D3DED">
        <w:rPr>
          <w:rFonts w:ascii="Times New Roman" w:hAnsi="Times New Roman" w:cs="Times New Roman"/>
        </w:rPr>
        <w:t>50</w:t>
      </w:r>
      <w:r w:rsidR="00A51F1F">
        <w:rPr>
          <w:rFonts w:ascii="Times New Roman" w:hAnsi="Times New Roman" w:cs="Times New Roman"/>
        </w:rPr>
        <w:t>0 m</w:t>
      </w:r>
      <w:r w:rsidR="005E0ABD">
        <w:rPr>
          <w:rFonts w:ascii="Times New Roman" w:hAnsi="Times New Roman" w:cs="Times New Roman"/>
        </w:rPr>
        <w:t>, and 1000 m</w:t>
      </w:r>
      <w:r w:rsidRPr="003D3DED">
        <w:rPr>
          <w:rFonts w:ascii="Times New Roman" w:hAnsi="Times New Roman" w:cs="Times New Roman"/>
        </w:rPr>
        <w:t xml:space="preserve"> around each maternal residential address, separately for each stratum of maternal ethnicity, education, and neighbourhood SES.</w:t>
      </w:r>
    </w:p>
    <w:p w:rsidR="005B2034" w:rsidRDefault="005B2034">
      <w:pPr>
        <w:spacing w:after="0" w:line="360" w:lineRule="auto"/>
        <w:rPr>
          <w:rFonts w:ascii="Times New Roman" w:hAnsi="Times New Roman" w:cs="Times New Roman"/>
        </w:rPr>
      </w:pPr>
    </w:p>
    <w:tbl>
      <w:tblPr>
        <w:tblStyle w:val="TableGrid"/>
        <w:tblW w:w="158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2"/>
        <w:gridCol w:w="707"/>
        <w:gridCol w:w="519"/>
        <w:gridCol w:w="597"/>
        <w:gridCol w:w="586"/>
        <w:gridCol w:w="709"/>
        <w:gridCol w:w="696"/>
        <w:gridCol w:w="565"/>
        <w:gridCol w:w="444"/>
        <w:gridCol w:w="709"/>
        <w:gridCol w:w="746"/>
        <w:gridCol w:w="565"/>
        <w:gridCol w:w="392"/>
        <w:gridCol w:w="709"/>
        <w:gridCol w:w="794"/>
        <w:gridCol w:w="565"/>
        <w:gridCol w:w="344"/>
        <w:gridCol w:w="708"/>
        <w:gridCol w:w="867"/>
        <w:gridCol w:w="834"/>
        <w:gridCol w:w="709"/>
      </w:tblGrid>
      <w:tr w:rsidR="00142688" w:rsidRPr="00142688" w:rsidTr="00B75367">
        <w:trPr>
          <w:trHeight w:val="300"/>
          <w:jc w:val="center"/>
        </w:trPr>
        <w:tc>
          <w:tcPr>
            <w:tcW w:w="3112" w:type="dxa"/>
            <w:tcBorders>
              <w:top w:val="single" w:sz="24" w:space="0" w:color="4F81BD" w:themeColor="accent1"/>
            </w:tcBorders>
            <w:noWrap/>
            <w:hideMark/>
          </w:tcPr>
          <w:p w:rsidR="00EC43A4" w:rsidRDefault="00EC43A4">
            <w:pPr>
              <w:spacing w:line="360" w:lineRule="auto"/>
              <w:rPr>
                <w:rFonts w:ascii="Times New Roman" w:hAnsi="Times New Roman" w:cs="Times New Roman"/>
                <w:sz w:val="20"/>
                <w:szCs w:val="20"/>
              </w:rPr>
            </w:pPr>
          </w:p>
        </w:tc>
        <w:tc>
          <w:tcPr>
            <w:tcW w:w="707" w:type="dxa"/>
            <w:tcBorders>
              <w:top w:val="single" w:sz="24" w:space="0" w:color="4F81BD" w:themeColor="accent1"/>
            </w:tcBorders>
          </w:tcPr>
          <w:p w:rsidR="00EC43A4" w:rsidRDefault="005618BC">
            <w:pPr>
              <w:spacing w:line="360" w:lineRule="auto"/>
              <w:rPr>
                <w:rFonts w:ascii="Times New Roman" w:hAnsi="Times New Roman" w:cs="Times New Roman"/>
                <w:sz w:val="20"/>
                <w:szCs w:val="20"/>
              </w:rPr>
            </w:pPr>
            <w:r w:rsidRPr="005618BC">
              <w:rPr>
                <w:rFonts w:ascii="Times New Roman" w:hAnsi="Times New Roman" w:cs="Times New Roman"/>
                <w:b/>
                <w:bCs/>
                <w:sz w:val="20"/>
                <w:szCs w:val="20"/>
              </w:rPr>
              <w:t>N</w:t>
            </w:r>
          </w:p>
        </w:tc>
        <w:tc>
          <w:tcPr>
            <w:tcW w:w="12058" w:type="dxa"/>
            <w:gridSpan w:val="19"/>
            <w:tcBorders>
              <w:top w:val="single" w:sz="24" w:space="0" w:color="4F81BD" w:themeColor="accent1"/>
              <w:bottom w:val="single" w:sz="12" w:space="0" w:color="4F81BD" w:themeColor="accent1"/>
            </w:tcBorders>
            <w:noWrap/>
            <w:hideMark/>
          </w:tcPr>
          <w:p w:rsidR="00EC43A4" w:rsidRDefault="00142688">
            <w:pPr>
              <w:spacing w:line="360" w:lineRule="auto"/>
              <w:jc w:val="center"/>
              <w:rPr>
                <w:rFonts w:ascii="Times New Roman" w:hAnsi="Times New Roman" w:cs="Times New Roman"/>
                <w:sz w:val="20"/>
                <w:szCs w:val="20"/>
              </w:rPr>
            </w:pPr>
            <w:r w:rsidRPr="006E0967">
              <w:rPr>
                <w:rFonts w:asciiTheme="majorBidi" w:hAnsiTheme="majorBidi" w:cstheme="majorBidi"/>
                <w:b/>
                <w:bCs/>
                <w:sz w:val="20"/>
                <w:szCs w:val="20"/>
              </w:rPr>
              <w:t>Residential Surrounding Greenness  (NDVI)</w:t>
            </w:r>
          </w:p>
        </w:tc>
      </w:tr>
      <w:tr w:rsidR="00142688" w:rsidRPr="00142688" w:rsidTr="00B75367">
        <w:trPr>
          <w:trHeight w:val="300"/>
          <w:jc w:val="center"/>
        </w:trPr>
        <w:tc>
          <w:tcPr>
            <w:tcW w:w="3112" w:type="dxa"/>
            <w:noWrap/>
            <w:hideMark/>
          </w:tcPr>
          <w:p w:rsidR="00EC43A4" w:rsidRDefault="00EC43A4">
            <w:pPr>
              <w:spacing w:line="360" w:lineRule="auto"/>
              <w:rPr>
                <w:rFonts w:ascii="Times New Roman" w:hAnsi="Times New Roman" w:cs="Times New Roman"/>
                <w:sz w:val="20"/>
                <w:szCs w:val="20"/>
              </w:rPr>
            </w:pPr>
          </w:p>
        </w:tc>
        <w:tc>
          <w:tcPr>
            <w:tcW w:w="707" w:type="dxa"/>
          </w:tcPr>
          <w:p w:rsidR="00EC43A4" w:rsidRDefault="00EC43A4">
            <w:pPr>
              <w:spacing w:line="360" w:lineRule="auto"/>
              <w:jc w:val="center"/>
              <w:rPr>
                <w:rFonts w:ascii="Times New Roman" w:hAnsi="Times New Roman" w:cs="Times New Roman"/>
                <w:b/>
                <w:bCs/>
                <w:sz w:val="20"/>
                <w:szCs w:val="20"/>
              </w:rPr>
            </w:pPr>
          </w:p>
        </w:tc>
        <w:tc>
          <w:tcPr>
            <w:tcW w:w="2411" w:type="dxa"/>
            <w:gridSpan w:val="4"/>
            <w:tcBorders>
              <w:top w:val="single" w:sz="12" w:space="0" w:color="4F81BD" w:themeColor="accent1"/>
              <w:bottom w:val="single" w:sz="12" w:space="0" w:color="4F81BD" w:themeColor="accent1"/>
            </w:tcBorders>
            <w:noWrap/>
            <w:hideMark/>
          </w:tcPr>
          <w:p w:rsidR="00EC43A4" w:rsidRDefault="005618BC">
            <w:pPr>
              <w:spacing w:line="360" w:lineRule="auto"/>
              <w:jc w:val="center"/>
              <w:rPr>
                <w:rFonts w:ascii="Times New Roman" w:hAnsi="Times New Roman" w:cs="Times New Roman"/>
                <w:b/>
                <w:bCs/>
                <w:sz w:val="20"/>
                <w:szCs w:val="20"/>
              </w:rPr>
            </w:pPr>
            <w:r w:rsidRPr="005618BC">
              <w:rPr>
                <w:rFonts w:ascii="Times New Roman" w:hAnsi="Times New Roman" w:cs="Times New Roman"/>
                <w:b/>
                <w:bCs/>
                <w:sz w:val="20"/>
                <w:szCs w:val="20"/>
              </w:rPr>
              <w:t>50 m buffer</w:t>
            </w:r>
          </w:p>
        </w:tc>
        <w:tc>
          <w:tcPr>
            <w:tcW w:w="2414" w:type="dxa"/>
            <w:gridSpan w:val="4"/>
            <w:tcBorders>
              <w:top w:val="single" w:sz="12" w:space="0" w:color="4F81BD" w:themeColor="accent1"/>
              <w:bottom w:val="single" w:sz="12" w:space="0" w:color="4F81BD" w:themeColor="accent1"/>
            </w:tcBorders>
            <w:noWrap/>
            <w:hideMark/>
          </w:tcPr>
          <w:p w:rsidR="00EC43A4" w:rsidRDefault="005618BC">
            <w:pPr>
              <w:spacing w:line="360" w:lineRule="auto"/>
              <w:jc w:val="center"/>
              <w:rPr>
                <w:rFonts w:ascii="Times New Roman" w:hAnsi="Times New Roman" w:cs="Times New Roman"/>
                <w:b/>
                <w:bCs/>
                <w:sz w:val="20"/>
                <w:szCs w:val="20"/>
              </w:rPr>
            </w:pPr>
            <w:r w:rsidRPr="005618BC">
              <w:rPr>
                <w:rFonts w:ascii="Times New Roman" w:hAnsi="Times New Roman" w:cs="Times New Roman"/>
                <w:b/>
                <w:bCs/>
                <w:sz w:val="20"/>
                <w:szCs w:val="20"/>
              </w:rPr>
              <w:t>100 m buffer</w:t>
            </w:r>
          </w:p>
        </w:tc>
        <w:tc>
          <w:tcPr>
            <w:tcW w:w="2412" w:type="dxa"/>
            <w:gridSpan w:val="4"/>
            <w:tcBorders>
              <w:top w:val="single" w:sz="12" w:space="0" w:color="4F81BD" w:themeColor="accent1"/>
              <w:bottom w:val="single" w:sz="12" w:space="0" w:color="4F81BD" w:themeColor="accent1"/>
            </w:tcBorders>
            <w:noWrap/>
            <w:hideMark/>
          </w:tcPr>
          <w:p w:rsidR="00EC43A4" w:rsidRDefault="005618BC">
            <w:pPr>
              <w:spacing w:line="360" w:lineRule="auto"/>
              <w:jc w:val="center"/>
              <w:rPr>
                <w:rFonts w:ascii="Times New Roman" w:hAnsi="Times New Roman" w:cs="Times New Roman"/>
                <w:b/>
                <w:bCs/>
                <w:sz w:val="20"/>
                <w:szCs w:val="20"/>
              </w:rPr>
            </w:pPr>
            <w:r w:rsidRPr="005618BC">
              <w:rPr>
                <w:rFonts w:ascii="Times New Roman" w:hAnsi="Times New Roman" w:cs="Times New Roman"/>
                <w:b/>
                <w:bCs/>
                <w:sz w:val="20"/>
                <w:szCs w:val="20"/>
              </w:rPr>
              <w:t>250 m buffer</w:t>
            </w:r>
          </w:p>
        </w:tc>
        <w:tc>
          <w:tcPr>
            <w:tcW w:w="2411" w:type="dxa"/>
            <w:gridSpan w:val="4"/>
            <w:tcBorders>
              <w:top w:val="single" w:sz="12" w:space="0" w:color="4F81BD" w:themeColor="accent1"/>
              <w:bottom w:val="single" w:sz="12" w:space="0" w:color="4F81BD" w:themeColor="accent1"/>
            </w:tcBorders>
            <w:noWrap/>
            <w:hideMark/>
          </w:tcPr>
          <w:p w:rsidR="00EC43A4" w:rsidRDefault="005618BC">
            <w:pPr>
              <w:spacing w:line="360" w:lineRule="auto"/>
              <w:jc w:val="center"/>
              <w:rPr>
                <w:rFonts w:ascii="Times New Roman" w:hAnsi="Times New Roman" w:cs="Times New Roman"/>
                <w:b/>
                <w:bCs/>
                <w:sz w:val="20"/>
                <w:szCs w:val="20"/>
              </w:rPr>
            </w:pPr>
            <w:r w:rsidRPr="005618BC">
              <w:rPr>
                <w:rFonts w:ascii="Times New Roman" w:hAnsi="Times New Roman" w:cs="Times New Roman"/>
                <w:b/>
                <w:bCs/>
                <w:sz w:val="20"/>
                <w:szCs w:val="20"/>
              </w:rPr>
              <w:t>500 m buffer</w:t>
            </w:r>
          </w:p>
        </w:tc>
        <w:tc>
          <w:tcPr>
            <w:tcW w:w="2410" w:type="dxa"/>
            <w:gridSpan w:val="3"/>
            <w:tcBorders>
              <w:top w:val="single" w:sz="12" w:space="0" w:color="4F81BD" w:themeColor="accent1"/>
              <w:bottom w:val="single" w:sz="12" w:space="0" w:color="4F81BD" w:themeColor="accent1"/>
            </w:tcBorders>
            <w:noWrap/>
            <w:hideMark/>
          </w:tcPr>
          <w:p w:rsidR="00EC43A4" w:rsidRDefault="005618BC">
            <w:pPr>
              <w:spacing w:line="360" w:lineRule="auto"/>
              <w:jc w:val="center"/>
              <w:rPr>
                <w:rFonts w:ascii="Times New Roman" w:hAnsi="Times New Roman" w:cs="Times New Roman"/>
                <w:b/>
                <w:bCs/>
                <w:sz w:val="20"/>
                <w:szCs w:val="20"/>
              </w:rPr>
            </w:pPr>
            <w:r w:rsidRPr="005618BC">
              <w:rPr>
                <w:rFonts w:ascii="Times New Roman" w:hAnsi="Times New Roman" w:cs="Times New Roman"/>
                <w:b/>
                <w:bCs/>
                <w:sz w:val="20"/>
                <w:szCs w:val="20"/>
              </w:rPr>
              <w:t>1000 m buffer</w:t>
            </w:r>
          </w:p>
        </w:tc>
      </w:tr>
      <w:tr w:rsidR="00317F0D" w:rsidRPr="00142688" w:rsidTr="00B75367">
        <w:trPr>
          <w:trHeight w:val="300"/>
          <w:jc w:val="center"/>
        </w:trPr>
        <w:tc>
          <w:tcPr>
            <w:tcW w:w="3112" w:type="dxa"/>
            <w:tcBorders>
              <w:bottom w:val="single" w:sz="12" w:space="0" w:color="4F81BD" w:themeColor="accent1"/>
            </w:tcBorders>
            <w:noWrap/>
            <w:hideMark/>
          </w:tcPr>
          <w:p w:rsidR="00EC43A4" w:rsidRDefault="00EC43A4">
            <w:pPr>
              <w:spacing w:line="360" w:lineRule="auto"/>
              <w:rPr>
                <w:rFonts w:ascii="Times New Roman" w:hAnsi="Times New Roman" w:cs="Times New Roman"/>
                <w:sz w:val="20"/>
                <w:szCs w:val="20"/>
              </w:rPr>
            </w:pPr>
          </w:p>
        </w:tc>
        <w:tc>
          <w:tcPr>
            <w:tcW w:w="707" w:type="dxa"/>
            <w:tcBorders>
              <w:bottom w:val="single" w:sz="12" w:space="0" w:color="4F81BD" w:themeColor="accent1"/>
            </w:tcBorders>
          </w:tcPr>
          <w:p w:rsidR="00EC43A4" w:rsidRDefault="00EC43A4">
            <w:pPr>
              <w:spacing w:line="360" w:lineRule="auto"/>
              <w:jc w:val="center"/>
              <w:rPr>
                <w:rFonts w:ascii="Times New Roman" w:hAnsi="Times New Roman" w:cs="Times New Roman"/>
                <w:b/>
                <w:bCs/>
                <w:sz w:val="20"/>
                <w:szCs w:val="20"/>
              </w:rPr>
            </w:pPr>
          </w:p>
        </w:tc>
        <w:tc>
          <w:tcPr>
            <w:tcW w:w="2411" w:type="dxa"/>
            <w:gridSpan w:val="4"/>
            <w:tcBorders>
              <w:top w:val="single" w:sz="12" w:space="0" w:color="4F81BD" w:themeColor="accent1"/>
              <w:bottom w:val="single" w:sz="12" w:space="0" w:color="4F81BD" w:themeColor="accent1"/>
            </w:tcBorders>
            <w:noWrap/>
            <w:hideMark/>
          </w:tcPr>
          <w:p w:rsidR="00EC43A4" w:rsidRDefault="00317F0D">
            <w:pPr>
              <w:spacing w:line="360" w:lineRule="auto"/>
              <w:jc w:val="center"/>
              <w:rPr>
                <w:rFonts w:ascii="Times New Roman" w:hAnsi="Times New Roman" w:cs="Times New Roman"/>
                <w:sz w:val="20"/>
                <w:szCs w:val="20"/>
              </w:rPr>
            </w:pPr>
            <w:r>
              <w:rPr>
                <w:rFonts w:asciiTheme="majorBidi" w:hAnsiTheme="majorBidi" w:cstheme="majorBidi"/>
                <w:b/>
                <w:bCs/>
                <w:sz w:val="20"/>
                <w:szCs w:val="20"/>
              </w:rPr>
              <w:t xml:space="preserve">      β (95% CI)      p-value</w:t>
            </w:r>
          </w:p>
        </w:tc>
        <w:tc>
          <w:tcPr>
            <w:tcW w:w="2414" w:type="dxa"/>
            <w:gridSpan w:val="4"/>
            <w:tcBorders>
              <w:top w:val="single" w:sz="12" w:space="0" w:color="4F81BD" w:themeColor="accent1"/>
              <w:bottom w:val="single" w:sz="12" w:space="0" w:color="4F81BD" w:themeColor="accent1"/>
            </w:tcBorders>
            <w:noWrap/>
            <w:hideMark/>
          </w:tcPr>
          <w:p w:rsidR="00EC43A4" w:rsidRDefault="00317F0D">
            <w:pPr>
              <w:spacing w:line="360" w:lineRule="auto"/>
              <w:rPr>
                <w:rFonts w:ascii="Times New Roman" w:hAnsi="Times New Roman" w:cs="Times New Roman"/>
                <w:sz w:val="20"/>
                <w:szCs w:val="20"/>
              </w:rPr>
            </w:pPr>
            <w:r>
              <w:rPr>
                <w:rFonts w:asciiTheme="majorBidi" w:hAnsiTheme="majorBidi" w:cstheme="majorBidi"/>
                <w:b/>
                <w:bCs/>
                <w:sz w:val="20"/>
                <w:szCs w:val="20"/>
              </w:rPr>
              <w:t xml:space="preserve">      β (95% CI)      p-value</w:t>
            </w:r>
          </w:p>
        </w:tc>
        <w:tc>
          <w:tcPr>
            <w:tcW w:w="2412" w:type="dxa"/>
            <w:gridSpan w:val="4"/>
            <w:tcBorders>
              <w:top w:val="single" w:sz="12" w:space="0" w:color="4F81BD" w:themeColor="accent1"/>
              <w:bottom w:val="single" w:sz="12" w:space="0" w:color="4F81BD" w:themeColor="accent1"/>
            </w:tcBorders>
            <w:noWrap/>
            <w:hideMark/>
          </w:tcPr>
          <w:p w:rsidR="00EC43A4" w:rsidRDefault="00317F0D">
            <w:pPr>
              <w:spacing w:line="360" w:lineRule="auto"/>
              <w:rPr>
                <w:rFonts w:ascii="Times New Roman" w:hAnsi="Times New Roman" w:cs="Times New Roman"/>
                <w:sz w:val="20"/>
                <w:szCs w:val="20"/>
              </w:rPr>
            </w:pPr>
            <w:r>
              <w:rPr>
                <w:rFonts w:asciiTheme="majorBidi" w:hAnsiTheme="majorBidi" w:cstheme="majorBidi"/>
                <w:b/>
                <w:bCs/>
                <w:sz w:val="20"/>
                <w:szCs w:val="20"/>
              </w:rPr>
              <w:t xml:space="preserve">      β (95% CI)      p-value</w:t>
            </w:r>
          </w:p>
        </w:tc>
        <w:tc>
          <w:tcPr>
            <w:tcW w:w="2411" w:type="dxa"/>
            <w:gridSpan w:val="4"/>
            <w:tcBorders>
              <w:top w:val="single" w:sz="12" w:space="0" w:color="4F81BD" w:themeColor="accent1"/>
              <w:bottom w:val="single" w:sz="12" w:space="0" w:color="4F81BD" w:themeColor="accent1"/>
            </w:tcBorders>
            <w:noWrap/>
            <w:hideMark/>
          </w:tcPr>
          <w:p w:rsidR="00EC43A4" w:rsidRDefault="00317F0D">
            <w:pPr>
              <w:spacing w:line="360" w:lineRule="auto"/>
              <w:rPr>
                <w:rFonts w:ascii="Times New Roman" w:hAnsi="Times New Roman" w:cs="Times New Roman"/>
                <w:sz w:val="20"/>
                <w:szCs w:val="20"/>
              </w:rPr>
            </w:pPr>
            <w:r>
              <w:rPr>
                <w:rFonts w:asciiTheme="majorBidi" w:hAnsiTheme="majorBidi" w:cstheme="majorBidi"/>
                <w:b/>
                <w:bCs/>
                <w:sz w:val="20"/>
                <w:szCs w:val="20"/>
              </w:rPr>
              <w:t xml:space="preserve">      β (95% CI)      p-value</w:t>
            </w:r>
          </w:p>
        </w:tc>
        <w:tc>
          <w:tcPr>
            <w:tcW w:w="2410" w:type="dxa"/>
            <w:gridSpan w:val="3"/>
            <w:tcBorders>
              <w:top w:val="single" w:sz="12" w:space="0" w:color="4F81BD" w:themeColor="accent1"/>
              <w:bottom w:val="single" w:sz="12" w:space="0" w:color="4F81BD" w:themeColor="accent1"/>
            </w:tcBorders>
            <w:noWrap/>
            <w:hideMark/>
          </w:tcPr>
          <w:p w:rsidR="00EC43A4" w:rsidRDefault="00317F0D">
            <w:pPr>
              <w:spacing w:line="360" w:lineRule="auto"/>
              <w:rPr>
                <w:rFonts w:ascii="Times New Roman" w:hAnsi="Times New Roman" w:cs="Times New Roman"/>
                <w:sz w:val="20"/>
                <w:szCs w:val="20"/>
              </w:rPr>
            </w:pPr>
            <w:r>
              <w:rPr>
                <w:rFonts w:asciiTheme="majorBidi" w:hAnsiTheme="majorBidi" w:cstheme="majorBidi"/>
                <w:b/>
                <w:bCs/>
                <w:sz w:val="20"/>
                <w:szCs w:val="20"/>
              </w:rPr>
              <w:t xml:space="preserve">      β (95% CI)     p-value</w:t>
            </w:r>
          </w:p>
        </w:tc>
      </w:tr>
      <w:tr w:rsidR="00354FCA" w:rsidRPr="00142688" w:rsidTr="00B75367">
        <w:trPr>
          <w:trHeight w:val="300"/>
          <w:jc w:val="center"/>
        </w:trPr>
        <w:tc>
          <w:tcPr>
            <w:tcW w:w="3112" w:type="dxa"/>
            <w:tcBorders>
              <w:top w:val="single" w:sz="12" w:space="0" w:color="4F81BD" w:themeColor="accent1"/>
            </w:tcBorders>
            <w:shd w:val="clear" w:color="auto" w:fill="C6D9F1" w:themeFill="text2" w:themeFillTint="33"/>
            <w:noWrap/>
            <w:hideMark/>
          </w:tcPr>
          <w:p w:rsidR="00EC43A4" w:rsidRDefault="00DA7D9D">
            <w:pPr>
              <w:spacing w:line="360" w:lineRule="auto"/>
              <w:rPr>
                <w:rFonts w:ascii="Times New Roman" w:hAnsi="Times New Roman" w:cs="Times New Roman"/>
                <w:b/>
                <w:bCs/>
                <w:sz w:val="20"/>
                <w:szCs w:val="20"/>
              </w:rPr>
            </w:pPr>
            <w:r>
              <w:rPr>
                <w:rFonts w:asciiTheme="majorBidi" w:hAnsiTheme="majorBidi" w:cstheme="majorBidi"/>
                <w:b/>
                <w:bCs/>
                <w:sz w:val="20"/>
                <w:szCs w:val="20"/>
              </w:rPr>
              <w:t>Ethnicity</w:t>
            </w:r>
            <w:r>
              <w:rPr>
                <w:rFonts w:asciiTheme="majorBidi" w:hAnsiTheme="majorBidi" w:cstheme="majorBidi"/>
                <w:b/>
                <w:bCs/>
                <w:sz w:val="20"/>
                <w:szCs w:val="20"/>
                <w:vertAlign w:val="superscript"/>
              </w:rPr>
              <w:t>b</w:t>
            </w:r>
          </w:p>
        </w:tc>
        <w:tc>
          <w:tcPr>
            <w:tcW w:w="707" w:type="dxa"/>
            <w:tcBorders>
              <w:top w:val="single" w:sz="12" w:space="0" w:color="4F81BD" w:themeColor="accent1"/>
            </w:tcBorders>
            <w:shd w:val="clear" w:color="auto" w:fill="C6D9F1" w:themeFill="text2" w:themeFillTint="33"/>
          </w:tcPr>
          <w:p w:rsidR="00EC43A4" w:rsidRDefault="00EC43A4">
            <w:pPr>
              <w:spacing w:line="360" w:lineRule="auto"/>
              <w:rPr>
                <w:rFonts w:ascii="Times New Roman" w:hAnsi="Times New Roman" w:cs="Times New Roman"/>
                <w:b/>
                <w:bCs/>
                <w:sz w:val="20"/>
                <w:szCs w:val="20"/>
              </w:rPr>
            </w:pPr>
          </w:p>
        </w:tc>
        <w:tc>
          <w:tcPr>
            <w:tcW w:w="519"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b/>
                <w:bCs/>
                <w:sz w:val="20"/>
                <w:szCs w:val="20"/>
              </w:rPr>
            </w:pPr>
          </w:p>
        </w:tc>
        <w:tc>
          <w:tcPr>
            <w:tcW w:w="597"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b/>
                <w:bCs/>
                <w:sz w:val="20"/>
                <w:szCs w:val="20"/>
              </w:rPr>
            </w:pPr>
          </w:p>
        </w:tc>
        <w:tc>
          <w:tcPr>
            <w:tcW w:w="586"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b/>
                <w:bCs/>
                <w:sz w:val="20"/>
                <w:szCs w:val="20"/>
              </w:rPr>
            </w:pPr>
          </w:p>
        </w:tc>
        <w:tc>
          <w:tcPr>
            <w:tcW w:w="709"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b/>
                <w:bCs/>
                <w:sz w:val="20"/>
                <w:szCs w:val="20"/>
              </w:rPr>
            </w:pPr>
          </w:p>
        </w:tc>
        <w:tc>
          <w:tcPr>
            <w:tcW w:w="696"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1009" w:type="dxa"/>
            <w:gridSpan w:val="2"/>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709"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746"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957" w:type="dxa"/>
            <w:gridSpan w:val="2"/>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709"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794"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909" w:type="dxa"/>
            <w:gridSpan w:val="2"/>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708"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867"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834"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c>
          <w:tcPr>
            <w:tcW w:w="709" w:type="dxa"/>
            <w:tcBorders>
              <w:top w:val="single" w:sz="12" w:space="0" w:color="4F81BD" w:themeColor="accent1"/>
            </w:tcBorders>
            <w:shd w:val="clear" w:color="auto" w:fill="C6D9F1" w:themeFill="text2" w:themeFillTint="33"/>
            <w:noWrap/>
            <w:hideMark/>
          </w:tcPr>
          <w:p w:rsidR="00EC43A4" w:rsidRDefault="00EC43A4">
            <w:pPr>
              <w:spacing w:line="360" w:lineRule="auto"/>
              <w:rPr>
                <w:rFonts w:ascii="Times New Roman" w:hAnsi="Times New Roman" w:cs="Times New Roman"/>
                <w:sz w:val="20"/>
                <w:szCs w:val="20"/>
              </w:rPr>
            </w:pPr>
          </w:p>
        </w:tc>
      </w:tr>
      <w:tr w:rsidR="00DF0069" w:rsidRPr="00142688" w:rsidTr="00B75367">
        <w:trPr>
          <w:trHeight w:val="300"/>
          <w:jc w:val="center"/>
        </w:trPr>
        <w:tc>
          <w:tcPr>
            <w:tcW w:w="3112" w:type="dxa"/>
            <w:shd w:val="clear" w:color="auto" w:fill="C6D9F1" w:themeFill="text2" w:themeFillTint="33"/>
            <w:noWrap/>
            <w:hideMark/>
          </w:tcPr>
          <w:p w:rsidR="00EC43A4" w:rsidRDefault="00DF0069">
            <w:pPr>
              <w:spacing w:line="360" w:lineRule="auto"/>
              <w:rPr>
                <w:rFonts w:ascii="Times New Roman" w:hAnsi="Times New Roman" w:cs="Times New Roman"/>
                <w:sz w:val="20"/>
                <w:szCs w:val="20"/>
              </w:rPr>
            </w:pPr>
            <w:r>
              <w:rPr>
                <w:rFonts w:asciiTheme="majorBidi" w:hAnsiTheme="majorBidi" w:cstheme="majorBidi"/>
                <w:sz w:val="20"/>
                <w:szCs w:val="20"/>
              </w:rPr>
              <w:t xml:space="preserve">     White British</w:t>
            </w:r>
          </w:p>
        </w:tc>
        <w:tc>
          <w:tcPr>
            <w:tcW w:w="707" w:type="dxa"/>
            <w:shd w:val="clear" w:color="auto" w:fill="C6D9F1" w:themeFill="text2" w:themeFillTint="33"/>
          </w:tcPr>
          <w:p w:rsidR="00EC43A4" w:rsidRDefault="00DF0069">
            <w:pPr>
              <w:spacing w:line="360" w:lineRule="auto"/>
              <w:jc w:val="left"/>
              <w:rPr>
                <w:rFonts w:ascii="Times New Roman" w:hAnsi="Times New Roman" w:cs="Times New Roman"/>
                <w:sz w:val="20"/>
                <w:szCs w:val="20"/>
              </w:rPr>
            </w:pPr>
            <w:r>
              <w:rPr>
                <w:rFonts w:asciiTheme="majorBidi" w:hAnsiTheme="majorBidi" w:cstheme="majorBidi"/>
                <w:sz w:val="20"/>
                <w:szCs w:val="20"/>
              </w:rPr>
              <w:t>4238</w:t>
            </w:r>
          </w:p>
        </w:tc>
        <w:tc>
          <w:tcPr>
            <w:tcW w:w="1702"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27.2 (3.</w:t>
            </w:r>
            <w:r w:rsidR="0027029B">
              <w:rPr>
                <w:rFonts w:asciiTheme="majorBidi" w:hAnsiTheme="majorBidi" w:cstheme="majorBidi"/>
                <w:sz w:val="20"/>
                <w:szCs w:val="20"/>
              </w:rPr>
              <w:t>5</w:t>
            </w:r>
            <w:r w:rsidRPr="005618BC">
              <w:rPr>
                <w:rFonts w:asciiTheme="majorBidi" w:hAnsiTheme="majorBidi" w:cstheme="majorBidi"/>
                <w:sz w:val="20"/>
                <w:szCs w:val="20"/>
              </w:rPr>
              <w:t xml:space="preserve">, </w:t>
            </w:r>
            <w:r w:rsidR="0027029B">
              <w:rPr>
                <w:rFonts w:asciiTheme="majorBidi" w:hAnsiTheme="majorBidi" w:cstheme="majorBidi"/>
                <w:sz w:val="20"/>
                <w:szCs w:val="20"/>
              </w:rPr>
              <w:t>50.8</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27029B">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0.02</w:t>
            </w:r>
            <w:r w:rsidR="0027029B">
              <w:rPr>
                <w:rFonts w:asciiTheme="majorBidi" w:hAnsiTheme="majorBidi" w:cstheme="majorBidi"/>
                <w:sz w:val="20"/>
                <w:szCs w:val="20"/>
              </w:rPr>
              <w:t>4</w:t>
            </w:r>
          </w:p>
        </w:tc>
        <w:tc>
          <w:tcPr>
            <w:tcW w:w="1705"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27.7 (3.</w:t>
            </w:r>
            <w:r w:rsidR="006100E2">
              <w:rPr>
                <w:rFonts w:asciiTheme="majorBidi" w:hAnsiTheme="majorBidi" w:cstheme="majorBidi"/>
                <w:sz w:val="20"/>
                <w:szCs w:val="20"/>
              </w:rPr>
              <w:t>8</w:t>
            </w:r>
            <w:r w:rsidRPr="005618BC">
              <w:rPr>
                <w:rFonts w:asciiTheme="majorBidi" w:hAnsiTheme="majorBidi" w:cstheme="majorBidi"/>
                <w:sz w:val="20"/>
                <w:szCs w:val="20"/>
              </w:rPr>
              <w:t>, 51.</w:t>
            </w:r>
            <w:r w:rsidR="006100E2">
              <w:rPr>
                <w:rFonts w:asciiTheme="majorBidi" w:hAnsiTheme="majorBidi" w:cstheme="majorBidi"/>
                <w:sz w:val="20"/>
                <w:szCs w:val="20"/>
              </w:rPr>
              <w:t>5</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6100E2">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0.02</w:t>
            </w:r>
            <w:r w:rsidR="006100E2">
              <w:rPr>
                <w:rFonts w:asciiTheme="majorBidi" w:hAnsiTheme="majorBidi" w:cstheme="majorBidi"/>
                <w:sz w:val="20"/>
                <w:szCs w:val="20"/>
              </w:rPr>
              <w:t>3</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26.2 (3.</w:t>
            </w:r>
            <w:r w:rsidR="00402290">
              <w:rPr>
                <w:rFonts w:asciiTheme="majorBidi" w:hAnsiTheme="majorBidi" w:cstheme="majorBidi"/>
                <w:sz w:val="20"/>
                <w:szCs w:val="20"/>
              </w:rPr>
              <w:t>1</w:t>
            </w:r>
            <w:r w:rsidRPr="005618BC">
              <w:rPr>
                <w:rFonts w:asciiTheme="majorBidi" w:hAnsiTheme="majorBidi" w:cstheme="majorBidi"/>
                <w:sz w:val="20"/>
                <w:szCs w:val="20"/>
              </w:rPr>
              <w:t>, 49.</w:t>
            </w:r>
            <w:r w:rsidR="00402290">
              <w:rPr>
                <w:rFonts w:asciiTheme="majorBidi" w:hAnsiTheme="majorBidi" w:cstheme="majorBidi"/>
                <w:sz w:val="20"/>
                <w:szCs w:val="20"/>
              </w:rPr>
              <w:t>3</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402290">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0.02</w:t>
            </w:r>
            <w:r w:rsidR="00402290">
              <w:rPr>
                <w:rFonts w:asciiTheme="majorBidi" w:hAnsiTheme="majorBidi" w:cstheme="majorBidi"/>
                <w:sz w:val="20"/>
                <w:szCs w:val="20"/>
              </w:rPr>
              <w:t>6</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20.1 (-</w:t>
            </w:r>
            <w:r w:rsidR="00871EAC">
              <w:rPr>
                <w:rFonts w:asciiTheme="majorBidi" w:hAnsiTheme="majorBidi" w:cstheme="majorBidi"/>
                <w:sz w:val="20"/>
                <w:szCs w:val="20"/>
              </w:rPr>
              <w:t>3.4</w:t>
            </w:r>
            <w:r w:rsidRPr="005618BC">
              <w:rPr>
                <w:rFonts w:asciiTheme="majorBidi" w:hAnsiTheme="majorBidi" w:cstheme="majorBidi"/>
                <w:sz w:val="20"/>
                <w:szCs w:val="20"/>
              </w:rPr>
              <w:t>, 43.1)</w:t>
            </w:r>
          </w:p>
        </w:tc>
        <w:tc>
          <w:tcPr>
            <w:tcW w:w="708" w:type="dxa"/>
            <w:shd w:val="clear" w:color="auto" w:fill="C6D9F1" w:themeFill="text2" w:themeFillTint="33"/>
            <w:noWrap/>
            <w:hideMark/>
          </w:tcPr>
          <w:p w:rsidR="00EC43A4" w:rsidRDefault="005618BC" w:rsidP="00871EA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0.0</w:t>
            </w:r>
            <w:r w:rsidR="00871EAC">
              <w:rPr>
                <w:rFonts w:asciiTheme="majorBidi" w:hAnsiTheme="majorBidi" w:cstheme="majorBidi"/>
                <w:sz w:val="20"/>
                <w:szCs w:val="20"/>
              </w:rPr>
              <w:t>94</w:t>
            </w:r>
          </w:p>
        </w:tc>
        <w:tc>
          <w:tcPr>
            <w:tcW w:w="1701" w:type="dxa"/>
            <w:gridSpan w:val="2"/>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19.7 (-1.</w:t>
            </w:r>
            <w:r w:rsidR="00104AA7">
              <w:rPr>
                <w:rFonts w:asciiTheme="majorBidi" w:hAnsiTheme="majorBidi" w:cstheme="majorBidi"/>
                <w:sz w:val="20"/>
                <w:szCs w:val="20"/>
              </w:rPr>
              <w:t>9</w:t>
            </w:r>
            <w:r w:rsidRPr="005618BC">
              <w:rPr>
                <w:rFonts w:asciiTheme="majorBidi" w:hAnsiTheme="majorBidi" w:cstheme="majorBidi"/>
                <w:sz w:val="20"/>
                <w:szCs w:val="20"/>
              </w:rPr>
              <w:t>, 41.</w:t>
            </w:r>
            <w:r w:rsidR="00104AA7">
              <w:rPr>
                <w:rFonts w:asciiTheme="majorBidi" w:hAnsiTheme="majorBidi" w:cstheme="majorBidi"/>
                <w:sz w:val="20"/>
                <w:szCs w:val="20"/>
              </w:rPr>
              <w:t>3</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0.073</w:t>
            </w:r>
          </w:p>
        </w:tc>
      </w:tr>
      <w:tr w:rsidR="00DF0069" w:rsidRPr="00142688" w:rsidTr="00B75367">
        <w:trPr>
          <w:trHeight w:val="300"/>
          <w:jc w:val="center"/>
        </w:trPr>
        <w:tc>
          <w:tcPr>
            <w:tcW w:w="3112" w:type="dxa"/>
            <w:shd w:val="clear" w:color="auto" w:fill="C6D9F1" w:themeFill="text2" w:themeFillTint="33"/>
            <w:noWrap/>
            <w:hideMark/>
          </w:tcPr>
          <w:p w:rsidR="00EC43A4" w:rsidRDefault="00DF0069">
            <w:pPr>
              <w:spacing w:line="360" w:lineRule="auto"/>
              <w:rPr>
                <w:rFonts w:ascii="Times New Roman" w:hAnsi="Times New Roman" w:cs="Times New Roman"/>
                <w:sz w:val="20"/>
                <w:szCs w:val="20"/>
              </w:rPr>
            </w:pPr>
            <w:r>
              <w:rPr>
                <w:rFonts w:asciiTheme="majorBidi" w:hAnsiTheme="majorBidi" w:cstheme="majorBidi"/>
                <w:sz w:val="20"/>
                <w:szCs w:val="20"/>
              </w:rPr>
              <w:t xml:space="preserve">     Pakistani origin</w:t>
            </w:r>
          </w:p>
        </w:tc>
        <w:tc>
          <w:tcPr>
            <w:tcW w:w="707" w:type="dxa"/>
            <w:shd w:val="clear" w:color="auto" w:fill="C6D9F1" w:themeFill="text2" w:themeFillTint="33"/>
          </w:tcPr>
          <w:p w:rsidR="00EC43A4" w:rsidRDefault="00DF0069">
            <w:pPr>
              <w:spacing w:line="360" w:lineRule="auto"/>
              <w:jc w:val="left"/>
              <w:rPr>
                <w:rFonts w:ascii="Times New Roman" w:hAnsi="Times New Roman" w:cs="Times New Roman"/>
                <w:sz w:val="20"/>
                <w:szCs w:val="20"/>
              </w:rPr>
            </w:pPr>
            <w:r>
              <w:rPr>
                <w:rFonts w:asciiTheme="majorBidi" w:hAnsiTheme="majorBidi" w:cstheme="majorBidi"/>
                <w:sz w:val="20"/>
                <w:szCs w:val="20"/>
              </w:rPr>
              <w:t>4889</w:t>
            </w:r>
          </w:p>
        </w:tc>
        <w:tc>
          <w:tcPr>
            <w:tcW w:w="1702"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7.1 (-15.</w:t>
            </w:r>
            <w:r w:rsidR="00D57760">
              <w:rPr>
                <w:rFonts w:asciiTheme="majorBidi" w:hAnsiTheme="majorBidi" w:cstheme="majorBidi"/>
                <w:sz w:val="20"/>
                <w:szCs w:val="20"/>
              </w:rPr>
              <w:t>8</w:t>
            </w:r>
            <w:r w:rsidRPr="005618BC">
              <w:rPr>
                <w:rFonts w:asciiTheme="majorBidi" w:hAnsiTheme="majorBidi" w:cstheme="majorBidi"/>
                <w:sz w:val="20"/>
                <w:szCs w:val="20"/>
              </w:rPr>
              <w:t>, 29.</w:t>
            </w:r>
            <w:r w:rsidR="00D57760">
              <w:rPr>
                <w:rFonts w:asciiTheme="majorBidi" w:hAnsiTheme="majorBidi" w:cstheme="majorBidi"/>
                <w:sz w:val="20"/>
                <w:szCs w:val="20"/>
              </w:rPr>
              <w:t>9</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D57760">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0.54</w:t>
            </w:r>
            <w:r w:rsidR="00D57760">
              <w:rPr>
                <w:rFonts w:asciiTheme="majorBidi" w:hAnsiTheme="majorBidi" w:cstheme="majorBidi"/>
                <w:sz w:val="20"/>
                <w:szCs w:val="20"/>
              </w:rPr>
              <w:t>5</w:t>
            </w:r>
          </w:p>
        </w:tc>
        <w:tc>
          <w:tcPr>
            <w:tcW w:w="1705"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9.4 (-13.</w:t>
            </w:r>
            <w:r w:rsidR="006100E2">
              <w:rPr>
                <w:rFonts w:asciiTheme="majorBidi" w:hAnsiTheme="majorBidi" w:cstheme="majorBidi"/>
                <w:sz w:val="20"/>
                <w:szCs w:val="20"/>
              </w:rPr>
              <w:t>7</w:t>
            </w:r>
            <w:r w:rsidRPr="005618BC">
              <w:rPr>
                <w:rFonts w:asciiTheme="majorBidi" w:hAnsiTheme="majorBidi" w:cstheme="majorBidi"/>
                <w:sz w:val="20"/>
                <w:szCs w:val="20"/>
              </w:rPr>
              <w:t>, 32.</w:t>
            </w:r>
            <w:r w:rsidR="006100E2">
              <w:rPr>
                <w:rFonts w:asciiTheme="majorBidi" w:hAnsiTheme="majorBidi" w:cstheme="majorBidi"/>
                <w:sz w:val="20"/>
                <w:szCs w:val="20"/>
              </w:rPr>
              <w:t>5</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6100E2">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0.42</w:t>
            </w:r>
            <w:r w:rsidR="006100E2">
              <w:rPr>
                <w:rFonts w:asciiTheme="majorBidi" w:hAnsiTheme="majorBidi" w:cstheme="majorBidi"/>
                <w:sz w:val="20"/>
                <w:szCs w:val="20"/>
              </w:rPr>
              <w:t>7</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6.5 (-16.</w:t>
            </w:r>
            <w:r w:rsidR="00402290">
              <w:rPr>
                <w:rFonts w:asciiTheme="majorBidi" w:hAnsiTheme="majorBidi" w:cstheme="majorBidi"/>
                <w:sz w:val="20"/>
                <w:szCs w:val="20"/>
              </w:rPr>
              <w:t>4</w:t>
            </w:r>
            <w:r w:rsidRPr="005618BC">
              <w:rPr>
                <w:rFonts w:asciiTheme="majorBidi" w:hAnsiTheme="majorBidi" w:cstheme="majorBidi"/>
                <w:sz w:val="20"/>
                <w:szCs w:val="20"/>
              </w:rPr>
              <w:t xml:space="preserve">, </w:t>
            </w:r>
            <w:r w:rsidR="00402290">
              <w:rPr>
                <w:rFonts w:asciiTheme="majorBidi" w:hAnsiTheme="majorBidi" w:cstheme="majorBidi"/>
                <w:sz w:val="20"/>
                <w:szCs w:val="20"/>
              </w:rPr>
              <w:t>29.5</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402290">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0.5</w:t>
            </w:r>
            <w:r w:rsidR="00402290">
              <w:rPr>
                <w:rFonts w:asciiTheme="majorBidi" w:hAnsiTheme="majorBidi" w:cstheme="majorBidi"/>
                <w:sz w:val="20"/>
                <w:szCs w:val="20"/>
              </w:rPr>
              <w:t>76</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7.0 (-1</w:t>
            </w:r>
            <w:r w:rsidR="00871EAC">
              <w:rPr>
                <w:rFonts w:asciiTheme="majorBidi" w:hAnsiTheme="majorBidi" w:cstheme="majorBidi"/>
                <w:sz w:val="20"/>
                <w:szCs w:val="20"/>
              </w:rPr>
              <w:t>6.</w:t>
            </w:r>
            <w:r w:rsidRPr="005618BC">
              <w:rPr>
                <w:rFonts w:asciiTheme="majorBidi" w:hAnsiTheme="majorBidi" w:cstheme="majorBidi"/>
                <w:sz w:val="20"/>
                <w:szCs w:val="20"/>
              </w:rPr>
              <w:t xml:space="preserve">7, </w:t>
            </w:r>
            <w:r w:rsidR="00871EAC">
              <w:rPr>
                <w:rFonts w:asciiTheme="majorBidi" w:hAnsiTheme="majorBidi" w:cstheme="majorBidi"/>
                <w:sz w:val="20"/>
                <w:szCs w:val="20"/>
              </w:rPr>
              <w:t>30.8</w:t>
            </w:r>
            <w:r w:rsidRPr="005618BC">
              <w:rPr>
                <w:rFonts w:asciiTheme="majorBidi" w:hAnsiTheme="majorBidi" w:cstheme="majorBidi"/>
                <w:sz w:val="20"/>
                <w:szCs w:val="20"/>
              </w:rPr>
              <w:t>)</w:t>
            </w:r>
          </w:p>
        </w:tc>
        <w:tc>
          <w:tcPr>
            <w:tcW w:w="708" w:type="dxa"/>
            <w:shd w:val="clear" w:color="auto" w:fill="C6D9F1" w:themeFill="text2" w:themeFillTint="33"/>
            <w:noWrap/>
            <w:hideMark/>
          </w:tcPr>
          <w:p w:rsidR="00EC43A4" w:rsidRDefault="005618BC" w:rsidP="00871EA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0.5</w:t>
            </w:r>
            <w:r w:rsidR="00871EAC">
              <w:rPr>
                <w:rFonts w:asciiTheme="majorBidi" w:hAnsiTheme="majorBidi" w:cstheme="majorBidi"/>
                <w:sz w:val="20"/>
                <w:szCs w:val="20"/>
              </w:rPr>
              <w:t>61</w:t>
            </w:r>
          </w:p>
        </w:tc>
        <w:tc>
          <w:tcPr>
            <w:tcW w:w="1701" w:type="dxa"/>
            <w:gridSpan w:val="2"/>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0.5 (-</w:t>
            </w:r>
            <w:r w:rsidR="00104AA7">
              <w:rPr>
                <w:rFonts w:asciiTheme="majorBidi" w:hAnsiTheme="majorBidi" w:cstheme="majorBidi"/>
                <w:sz w:val="20"/>
                <w:szCs w:val="20"/>
              </w:rPr>
              <w:t>23.4</w:t>
            </w:r>
            <w:r w:rsidRPr="005618BC">
              <w:rPr>
                <w:rFonts w:asciiTheme="majorBidi" w:hAnsiTheme="majorBidi" w:cstheme="majorBidi"/>
                <w:sz w:val="20"/>
                <w:szCs w:val="20"/>
              </w:rPr>
              <w:t xml:space="preserve">, </w:t>
            </w:r>
            <w:r w:rsidR="00104AA7">
              <w:rPr>
                <w:rFonts w:asciiTheme="majorBidi" w:hAnsiTheme="majorBidi" w:cstheme="majorBidi"/>
                <w:sz w:val="20"/>
                <w:szCs w:val="20"/>
              </w:rPr>
              <w:t>24.4</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104AA7">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0.96</w:t>
            </w:r>
            <w:r w:rsidR="00104AA7">
              <w:rPr>
                <w:rFonts w:asciiTheme="majorBidi" w:hAnsiTheme="majorBidi" w:cstheme="majorBidi"/>
                <w:sz w:val="20"/>
                <w:szCs w:val="20"/>
              </w:rPr>
              <w:t>6</w:t>
            </w:r>
          </w:p>
        </w:tc>
      </w:tr>
      <w:tr w:rsidR="00DF0069" w:rsidRPr="00142688" w:rsidTr="00B75367">
        <w:trPr>
          <w:trHeight w:val="300"/>
          <w:jc w:val="center"/>
        </w:trPr>
        <w:tc>
          <w:tcPr>
            <w:tcW w:w="3112" w:type="dxa"/>
            <w:shd w:val="clear" w:color="auto" w:fill="C6D9F1" w:themeFill="text2" w:themeFillTint="33"/>
            <w:noWrap/>
            <w:hideMark/>
          </w:tcPr>
          <w:p w:rsidR="00EC43A4" w:rsidRDefault="00DF0069">
            <w:pPr>
              <w:spacing w:line="360" w:lineRule="auto"/>
              <w:rPr>
                <w:rFonts w:ascii="Times New Roman" w:hAnsi="Times New Roman" w:cs="Times New Roman"/>
                <w:sz w:val="20"/>
                <w:szCs w:val="20"/>
              </w:rPr>
            </w:pPr>
            <w:r>
              <w:rPr>
                <w:rFonts w:asciiTheme="majorBidi" w:hAnsiTheme="majorBidi" w:cstheme="majorBidi"/>
                <w:sz w:val="20"/>
                <w:szCs w:val="20"/>
              </w:rPr>
              <w:t xml:space="preserve">     Other</w:t>
            </w:r>
          </w:p>
        </w:tc>
        <w:tc>
          <w:tcPr>
            <w:tcW w:w="707" w:type="dxa"/>
            <w:shd w:val="clear" w:color="auto" w:fill="C6D9F1" w:themeFill="text2" w:themeFillTint="33"/>
          </w:tcPr>
          <w:p w:rsidR="00EC43A4" w:rsidRDefault="00DF0069">
            <w:pPr>
              <w:spacing w:line="360" w:lineRule="auto"/>
              <w:jc w:val="left"/>
              <w:rPr>
                <w:rFonts w:ascii="Times New Roman" w:hAnsi="Times New Roman" w:cs="Times New Roman"/>
                <w:sz w:val="20"/>
                <w:szCs w:val="20"/>
              </w:rPr>
            </w:pPr>
            <w:r>
              <w:rPr>
                <w:rFonts w:asciiTheme="majorBidi" w:hAnsiTheme="majorBidi" w:cstheme="majorBidi"/>
                <w:sz w:val="20"/>
                <w:szCs w:val="20"/>
              </w:rPr>
              <w:t>1608</w:t>
            </w:r>
          </w:p>
        </w:tc>
        <w:tc>
          <w:tcPr>
            <w:tcW w:w="1702"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25.3 (-11.</w:t>
            </w:r>
            <w:r w:rsidR="00D57760">
              <w:rPr>
                <w:rFonts w:asciiTheme="majorBidi" w:hAnsiTheme="majorBidi" w:cstheme="majorBidi"/>
                <w:sz w:val="20"/>
                <w:szCs w:val="20"/>
              </w:rPr>
              <w:t>2</w:t>
            </w:r>
            <w:r w:rsidRPr="005618BC">
              <w:rPr>
                <w:rFonts w:asciiTheme="majorBidi" w:hAnsiTheme="majorBidi" w:cstheme="majorBidi"/>
                <w:sz w:val="20"/>
                <w:szCs w:val="20"/>
              </w:rPr>
              <w:t xml:space="preserve">, </w:t>
            </w:r>
            <w:r w:rsidR="00D57760">
              <w:rPr>
                <w:rFonts w:asciiTheme="majorBidi" w:hAnsiTheme="majorBidi" w:cstheme="majorBidi"/>
                <w:sz w:val="20"/>
                <w:szCs w:val="20"/>
              </w:rPr>
              <w:t>61.8</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D57760">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0.1</w:t>
            </w:r>
            <w:r w:rsidR="00D57760">
              <w:rPr>
                <w:rFonts w:asciiTheme="majorBidi" w:hAnsiTheme="majorBidi" w:cstheme="majorBidi"/>
                <w:sz w:val="20"/>
                <w:szCs w:val="20"/>
              </w:rPr>
              <w:t>74</w:t>
            </w:r>
          </w:p>
        </w:tc>
        <w:tc>
          <w:tcPr>
            <w:tcW w:w="1705"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32.3 (-</w:t>
            </w:r>
            <w:r w:rsidR="006100E2">
              <w:rPr>
                <w:rFonts w:asciiTheme="majorBidi" w:hAnsiTheme="majorBidi" w:cstheme="majorBidi"/>
                <w:sz w:val="20"/>
                <w:szCs w:val="20"/>
              </w:rPr>
              <w:t>3.6</w:t>
            </w:r>
            <w:r w:rsidRPr="005618BC">
              <w:rPr>
                <w:rFonts w:asciiTheme="majorBidi" w:hAnsiTheme="majorBidi" w:cstheme="majorBidi"/>
                <w:sz w:val="20"/>
                <w:szCs w:val="20"/>
              </w:rPr>
              <w:t>, 69.8)</w:t>
            </w:r>
          </w:p>
        </w:tc>
        <w:tc>
          <w:tcPr>
            <w:tcW w:w="709" w:type="dxa"/>
            <w:shd w:val="clear" w:color="auto" w:fill="C6D9F1" w:themeFill="text2" w:themeFillTint="33"/>
            <w:noWrap/>
            <w:hideMark/>
          </w:tcPr>
          <w:p w:rsidR="00EC43A4" w:rsidRDefault="005618BC" w:rsidP="006100E2">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w:t>
            </w:r>
            <w:r w:rsidR="006100E2">
              <w:rPr>
                <w:rFonts w:asciiTheme="majorBidi" w:hAnsiTheme="majorBidi" w:cstheme="majorBidi"/>
                <w:sz w:val="20"/>
                <w:szCs w:val="20"/>
              </w:rPr>
              <w:t>077</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41.3 (</w:t>
            </w:r>
            <w:r w:rsidR="00402290">
              <w:rPr>
                <w:rFonts w:asciiTheme="majorBidi" w:hAnsiTheme="majorBidi" w:cstheme="majorBidi"/>
                <w:sz w:val="20"/>
                <w:szCs w:val="20"/>
              </w:rPr>
              <w:t>6.2</w:t>
            </w:r>
            <w:r w:rsidRPr="005618BC">
              <w:rPr>
                <w:rFonts w:asciiTheme="majorBidi" w:hAnsiTheme="majorBidi" w:cstheme="majorBidi"/>
                <w:sz w:val="20"/>
                <w:szCs w:val="20"/>
              </w:rPr>
              <w:t>, 7</w:t>
            </w:r>
            <w:r w:rsidR="00402290">
              <w:rPr>
                <w:rFonts w:asciiTheme="majorBidi" w:hAnsiTheme="majorBidi" w:cstheme="majorBidi"/>
                <w:sz w:val="20"/>
                <w:szCs w:val="20"/>
              </w:rPr>
              <w:t>6</w:t>
            </w:r>
            <w:r w:rsidRPr="005618BC">
              <w:rPr>
                <w:rFonts w:asciiTheme="majorBidi" w:hAnsiTheme="majorBidi" w:cstheme="majorBidi"/>
                <w:sz w:val="20"/>
                <w:szCs w:val="20"/>
              </w:rPr>
              <w:t>.4)</w:t>
            </w:r>
          </w:p>
        </w:tc>
        <w:tc>
          <w:tcPr>
            <w:tcW w:w="709" w:type="dxa"/>
            <w:shd w:val="clear" w:color="auto" w:fill="C6D9F1" w:themeFill="text2" w:themeFillTint="33"/>
            <w:noWrap/>
            <w:hideMark/>
          </w:tcPr>
          <w:p w:rsidR="00EC43A4" w:rsidRDefault="005618BC" w:rsidP="00402290">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0.0</w:t>
            </w:r>
            <w:r w:rsidR="00402290">
              <w:rPr>
                <w:rFonts w:asciiTheme="majorBidi" w:hAnsiTheme="majorBidi" w:cstheme="majorBidi"/>
                <w:sz w:val="20"/>
                <w:szCs w:val="20"/>
              </w:rPr>
              <w:t>21</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43.0 (6.</w:t>
            </w:r>
            <w:r w:rsidR="00871EAC">
              <w:rPr>
                <w:rFonts w:asciiTheme="majorBidi" w:hAnsiTheme="majorBidi" w:cstheme="majorBidi"/>
                <w:sz w:val="20"/>
                <w:szCs w:val="20"/>
              </w:rPr>
              <w:t>8</w:t>
            </w:r>
            <w:r w:rsidRPr="005618BC">
              <w:rPr>
                <w:rFonts w:asciiTheme="majorBidi" w:hAnsiTheme="majorBidi" w:cstheme="majorBidi"/>
                <w:sz w:val="20"/>
                <w:szCs w:val="20"/>
              </w:rPr>
              <w:t xml:space="preserve">, </w:t>
            </w:r>
            <w:r w:rsidR="00871EAC">
              <w:rPr>
                <w:rFonts w:asciiTheme="majorBidi" w:hAnsiTheme="majorBidi" w:cstheme="majorBidi"/>
                <w:sz w:val="20"/>
                <w:szCs w:val="20"/>
              </w:rPr>
              <w:t>79.2</w:t>
            </w:r>
            <w:r w:rsidRPr="005618BC">
              <w:rPr>
                <w:rFonts w:asciiTheme="majorBidi" w:hAnsiTheme="majorBidi" w:cstheme="majorBidi"/>
                <w:sz w:val="20"/>
                <w:szCs w:val="20"/>
              </w:rPr>
              <w:t>)</w:t>
            </w:r>
          </w:p>
        </w:tc>
        <w:tc>
          <w:tcPr>
            <w:tcW w:w="708" w:type="dxa"/>
            <w:shd w:val="clear" w:color="auto" w:fill="C6D9F1" w:themeFill="text2" w:themeFillTint="33"/>
            <w:noWrap/>
            <w:hideMark/>
          </w:tcPr>
          <w:p w:rsidR="00EC43A4" w:rsidRDefault="005618BC" w:rsidP="00871EA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0.02</w:t>
            </w:r>
            <w:r w:rsidR="00871EAC">
              <w:rPr>
                <w:rFonts w:asciiTheme="majorBidi" w:hAnsiTheme="majorBidi" w:cstheme="majorBidi"/>
                <w:sz w:val="20"/>
                <w:szCs w:val="20"/>
              </w:rPr>
              <w:t>0</w:t>
            </w:r>
          </w:p>
        </w:tc>
        <w:tc>
          <w:tcPr>
            <w:tcW w:w="1701" w:type="dxa"/>
            <w:gridSpan w:val="2"/>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36.3 (0.</w:t>
            </w:r>
            <w:r w:rsidR="00104AA7">
              <w:rPr>
                <w:rFonts w:asciiTheme="majorBidi" w:hAnsiTheme="majorBidi" w:cstheme="majorBidi"/>
                <w:sz w:val="20"/>
                <w:szCs w:val="20"/>
              </w:rPr>
              <w:t>4</w:t>
            </w:r>
            <w:r w:rsidRPr="005618BC">
              <w:rPr>
                <w:rFonts w:asciiTheme="majorBidi" w:hAnsiTheme="majorBidi" w:cstheme="majorBidi"/>
                <w:sz w:val="20"/>
                <w:szCs w:val="20"/>
              </w:rPr>
              <w:t xml:space="preserve">, </w:t>
            </w:r>
            <w:r w:rsidR="00104AA7">
              <w:rPr>
                <w:rFonts w:asciiTheme="majorBidi" w:hAnsiTheme="majorBidi" w:cstheme="majorBidi"/>
                <w:sz w:val="20"/>
                <w:szCs w:val="20"/>
              </w:rPr>
              <w:t>72.3</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104AA7">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0.0</w:t>
            </w:r>
            <w:r w:rsidR="00104AA7">
              <w:rPr>
                <w:rFonts w:asciiTheme="majorBidi" w:hAnsiTheme="majorBidi" w:cstheme="majorBidi"/>
                <w:sz w:val="20"/>
                <w:szCs w:val="20"/>
              </w:rPr>
              <w:t>48</w:t>
            </w:r>
          </w:p>
        </w:tc>
      </w:tr>
      <w:tr w:rsidR="00DF0069" w:rsidRPr="00142688" w:rsidTr="00B75367">
        <w:trPr>
          <w:trHeight w:val="300"/>
          <w:jc w:val="center"/>
        </w:trPr>
        <w:tc>
          <w:tcPr>
            <w:tcW w:w="3112" w:type="dxa"/>
            <w:noWrap/>
            <w:hideMark/>
          </w:tcPr>
          <w:p w:rsidR="00EC43A4" w:rsidRDefault="00DF0069">
            <w:pPr>
              <w:spacing w:line="360" w:lineRule="auto"/>
              <w:rPr>
                <w:rFonts w:ascii="Times New Roman" w:hAnsi="Times New Roman" w:cs="Times New Roman"/>
                <w:b/>
                <w:bCs/>
                <w:sz w:val="20"/>
                <w:szCs w:val="20"/>
              </w:rPr>
            </w:pPr>
            <w:r>
              <w:rPr>
                <w:rFonts w:asciiTheme="majorBidi" w:hAnsiTheme="majorBidi" w:cstheme="majorBidi"/>
                <w:b/>
                <w:bCs/>
                <w:sz w:val="20"/>
                <w:szCs w:val="20"/>
              </w:rPr>
              <w:t>Maternal Education</w:t>
            </w:r>
            <w:r>
              <w:rPr>
                <w:rFonts w:asciiTheme="majorBidi" w:hAnsiTheme="majorBidi" w:cstheme="majorBidi"/>
                <w:b/>
                <w:bCs/>
                <w:sz w:val="20"/>
                <w:szCs w:val="20"/>
                <w:vertAlign w:val="superscript"/>
              </w:rPr>
              <w:t>c</w:t>
            </w:r>
          </w:p>
        </w:tc>
        <w:tc>
          <w:tcPr>
            <w:tcW w:w="707" w:type="dxa"/>
          </w:tcPr>
          <w:p w:rsidR="00EC43A4" w:rsidRDefault="00EC43A4">
            <w:pPr>
              <w:spacing w:line="360" w:lineRule="auto"/>
              <w:jc w:val="left"/>
              <w:rPr>
                <w:rFonts w:ascii="Times New Roman" w:hAnsi="Times New Roman" w:cs="Times New Roman"/>
                <w:b/>
                <w:bCs/>
                <w:sz w:val="20"/>
                <w:szCs w:val="20"/>
              </w:rPr>
            </w:pPr>
          </w:p>
        </w:tc>
        <w:tc>
          <w:tcPr>
            <w:tcW w:w="519" w:type="dxa"/>
            <w:noWrap/>
            <w:hideMark/>
          </w:tcPr>
          <w:p w:rsidR="00EC43A4" w:rsidRDefault="00EC43A4">
            <w:pPr>
              <w:spacing w:line="360" w:lineRule="auto"/>
              <w:jc w:val="center"/>
              <w:rPr>
                <w:rFonts w:asciiTheme="majorBidi" w:hAnsiTheme="majorBidi" w:cstheme="majorBidi"/>
                <w:b/>
                <w:bCs/>
                <w:sz w:val="20"/>
                <w:szCs w:val="20"/>
              </w:rPr>
            </w:pPr>
          </w:p>
        </w:tc>
        <w:tc>
          <w:tcPr>
            <w:tcW w:w="597" w:type="dxa"/>
            <w:noWrap/>
            <w:hideMark/>
          </w:tcPr>
          <w:p w:rsidR="00EC43A4" w:rsidRDefault="00EC43A4">
            <w:pPr>
              <w:spacing w:line="360" w:lineRule="auto"/>
              <w:jc w:val="center"/>
              <w:rPr>
                <w:rFonts w:asciiTheme="majorBidi" w:hAnsiTheme="majorBidi" w:cstheme="majorBidi"/>
                <w:b/>
                <w:bCs/>
                <w:sz w:val="20"/>
                <w:szCs w:val="20"/>
              </w:rPr>
            </w:pPr>
          </w:p>
        </w:tc>
        <w:tc>
          <w:tcPr>
            <w:tcW w:w="586" w:type="dxa"/>
            <w:noWrap/>
            <w:hideMark/>
          </w:tcPr>
          <w:p w:rsidR="00EC43A4" w:rsidRDefault="00EC43A4">
            <w:pPr>
              <w:spacing w:line="360" w:lineRule="auto"/>
              <w:jc w:val="center"/>
              <w:rPr>
                <w:rFonts w:asciiTheme="majorBidi" w:hAnsiTheme="majorBidi" w:cstheme="majorBidi"/>
                <w:b/>
                <w:bCs/>
                <w:sz w:val="20"/>
                <w:szCs w:val="20"/>
              </w:rPr>
            </w:pPr>
          </w:p>
        </w:tc>
        <w:tc>
          <w:tcPr>
            <w:tcW w:w="709" w:type="dxa"/>
            <w:noWrap/>
            <w:hideMark/>
          </w:tcPr>
          <w:p w:rsidR="00EC43A4" w:rsidRDefault="00EC43A4">
            <w:pPr>
              <w:spacing w:line="360" w:lineRule="auto"/>
              <w:ind w:left="-100"/>
              <w:jc w:val="left"/>
              <w:rPr>
                <w:rFonts w:asciiTheme="majorBidi" w:hAnsiTheme="majorBidi" w:cstheme="majorBidi"/>
                <w:b/>
                <w:bCs/>
                <w:sz w:val="20"/>
                <w:szCs w:val="20"/>
              </w:rPr>
            </w:pPr>
          </w:p>
        </w:tc>
        <w:tc>
          <w:tcPr>
            <w:tcW w:w="696" w:type="dxa"/>
            <w:noWrap/>
            <w:hideMark/>
          </w:tcPr>
          <w:p w:rsidR="00EC43A4" w:rsidRDefault="00EC43A4">
            <w:pPr>
              <w:spacing w:line="360" w:lineRule="auto"/>
              <w:jc w:val="center"/>
              <w:rPr>
                <w:rFonts w:asciiTheme="majorBidi" w:hAnsiTheme="majorBidi" w:cstheme="majorBidi"/>
                <w:sz w:val="20"/>
                <w:szCs w:val="20"/>
              </w:rPr>
            </w:pPr>
          </w:p>
        </w:tc>
        <w:tc>
          <w:tcPr>
            <w:tcW w:w="565" w:type="dxa"/>
            <w:noWrap/>
            <w:hideMark/>
          </w:tcPr>
          <w:p w:rsidR="00EC43A4" w:rsidRDefault="00EC43A4">
            <w:pPr>
              <w:spacing w:line="360" w:lineRule="auto"/>
              <w:jc w:val="center"/>
              <w:rPr>
                <w:rFonts w:asciiTheme="majorBidi" w:hAnsiTheme="majorBidi" w:cstheme="majorBidi"/>
                <w:sz w:val="20"/>
                <w:szCs w:val="20"/>
              </w:rPr>
            </w:pPr>
          </w:p>
        </w:tc>
        <w:tc>
          <w:tcPr>
            <w:tcW w:w="444" w:type="dxa"/>
            <w:noWrap/>
            <w:hideMark/>
          </w:tcPr>
          <w:p w:rsidR="00EC43A4" w:rsidRDefault="00EC43A4">
            <w:pPr>
              <w:spacing w:line="360" w:lineRule="auto"/>
              <w:jc w:val="center"/>
              <w:rPr>
                <w:rFonts w:asciiTheme="majorBidi" w:hAnsiTheme="majorBidi" w:cstheme="majorBidi"/>
                <w:sz w:val="20"/>
                <w:szCs w:val="20"/>
              </w:rPr>
            </w:pPr>
          </w:p>
        </w:tc>
        <w:tc>
          <w:tcPr>
            <w:tcW w:w="709" w:type="dxa"/>
            <w:noWrap/>
            <w:hideMark/>
          </w:tcPr>
          <w:p w:rsidR="00EC43A4" w:rsidRDefault="005618BC">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 </w:t>
            </w:r>
          </w:p>
        </w:tc>
        <w:tc>
          <w:tcPr>
            <w:tcW w:w="746" w:type="dxa"/>
            <w:noWrap/>
            <w:hideMark/>
          </w:tcPr>
          <w:p w:rsidR="00EC43A4" w:rsidRDefault="00EC43A4">
            <w:pPr>
              <w:spacing w:line="360" w:lineRule="auto"/>
              <w:jc w:val="center"/>
              <w:rPr>
                <w:rFonts w:asciiTheme="majorBidi" w:hAnsiTheme="majorBidi" w:cstheme="majorBidi"/>
                <w:sz w:val="20"/>
                <w:szCs w:val="20"/>
              </w:rPr>
            </w:pPr>
          </w:p>
        </w:tc>
        <w:tc>
          <w:tcPr>
            <w:tcW w:w="565" w:type="dxa"/>
            <w:noWrap/>
            <w:hideMark/>
          </w:tcPr>
          <w:p w:rsidR="00EC43A4" w:rsidRDefault="00EC43A4">
            <w:pPr>
              <w:spacing w:line="360" w:lineRule="auto"/>
              <w:jc w:val="center"/>
              <w:rPr>
                <w:rFonts w:asciiTheme="majorBidi" w:hAnsiTheme="majorBidi" w:cstheme="majorBidi"/>
                <w:sz w:val="20"/>
                <w:szCs w:val="20"/>
              </w:rPr>
            </w:pPr>
          </w:p>
        </w:tc>
        <w:tc>
          <w:tcPr>
            <w:tcW w:w="392" w:type="dxa"/>
            <w:noWrap/>
            <w:hideMark/>
          </w:tcPr>
          <w:p w:rsidR="00EC43A4" w:rsidRDefault="00EC43A4">
            <w:pPr>
              <w:spacing w:line="360" w:lineRule="auto"/>
              <w:jc w:val="center"/>
              <w:rPr>
                <w:rFonts w:asciiTheme="majorBidi" w:hAnsiTheme="majorBidi" w:cstheme="majorBidi"/>
                <w:sz w:val="20"/>
                <w:szCs w:val="20"/>
              </w:rPr>
            </w:pPr>
          </w:p>
        </w:tc>
        <w:tc>
          <w:tcPr>
            <w:tcW w:w="709" w:type="dxa"/>
            <w:noWrap/>
            <w:hideMark/>
          </w:tcPr>
          <w:p w:rsidR="00EC43A4" w:rsidRDefault="00EC43A4">
            <w:pPr>
              <w:spacing w:line="360" w:lineRule="auto"/>
              <w:ind w:left="-106"/>
              <w:jc w:val="left"/>
              <w:rPr>
                <w:rFonts w:asciiTheme="majorBidi" w:hAnsiTheme="majorBidi" w:cstheme="majorBidi"/>
                <w:sz w:val="20"/>
                <w:szCs w:val="20"/>
              </w:rPr>
            </w:pPr>
          </w:p>
        </w:tc>
        <w:tc>
          <w:tcPr>
            <w:tcW w:w="794" w:type="dxa"/>
            <w:noWrap/>
            <w:hideMark/>
          </w:tcPr>
          <w:p w:rsidR="00EC43A4" w:rsidRDefault="00EC43A4">
            <w:pPr>
              <w:spacing w:line="360" w:lineRule="auto"/>
              <w:jc w:val="center"/>
              <w:rPr>
                <w:rFonts w:asciiTheme="majorBidi" w:hAnsiTheme="majorBidi" w:cstheme="majorBidi"/>
                <w:sz w:val="20"/>
                <w:szCs w:val="20"/>
              </w:rPr>
            </w:pPr>
          </w:p>
        </w:tc>
        <w:tc>
          <w:tcPr>
            <w:tcW w:w="565" w:type="dxa"/>
            <w:noWrap/>
            <w:hideMark/>
          </w:tcPr>
          <w:p w:rsidR="00EC43A4" w:rsidRDefault="00EC43A4">
            <w:pPr>
              <w:spacing w:line="360" w:lineRule="auto"/>
              <w:jc w:val="center"/>
              <w:rPr>
                <w:rFonts w:asciiTheme="majorBidi" w:hAnsiTheme="majorBidi" w:cstheme="majorBidi"/>
                <w:sz w:val="20"/>
                <w:szCs w:val="20"/>
              </w:rPr>
            </w:pPr>
          </w:p>
        </w:tc>
        <w:tc>
          <w:tcPr>
            <w:tcW w:w="344" w:type="dxa"/>
            <w:noWrap/>
            <w:hideMark/>
          </w:tcPr>
          <w:p w:rsidR="00EC43A4" w:rsidRDefault="00EC43A4">
            <w:pPr>
              <w:spacing w:line="360" w:lineRule="auto"/>
              <w:jc w:val="center"/>
              <w:rPr>
                <w:rFonts w:asciiTheme="majorBidi" w:hAnsiTheme="majorBidi" w:cstheme="majorBidi"/>
                <w:sz w:val="20"/>
                <w:szCs w:val="20"/>
              </w:rPr>
            </w:pPr>
          </w:p>
        </w:tc>
        <w:tc>
          <w:tcPr>
            <w:tcW w:w="708" w:type="dxa"/>
            <w:noWrap/>
            <w:hideMark/>
          </w:tcPr>
          <w:p w:rsidR="00EC43A4" w:rsidRDefault="00EC43A4">
            <w:pPr>
              <w:spacing w:line="360" w:lineRule="auto"/>
              <w:ind w:left="-108"/>
              <w:jc w:val="left"/>
              <w:rPr>
                <w:rFonts w:asciiTheme="majorBidi" w:hAnsiTheme="majorBidi" w:cstheme="majorBidi"/>
                <w:sz w:val="20"/>
                <w:szCs w:val="20"/>
              </w:rPr>
            </w:pPr>
          </w:p>
        </w:tc>
        <w:tc>
          <w:tcPr>
            <w:tcW w:w="867" w:type="dxa"/>
            <w:noWrap/>
            <w:hideMark/>
          </w:tcPr>
          <w:p w:rsidR="00EC43A4" w:rsidRDefault="00EC43A4">
            <w:pPr>
              <w:spacing w:line="360" w:lineRule="auto"/>
              <w:jc w:val="center"/>
              <w:rPr>
                <w:rFonts w:asciiTheme="majorBidi" w:hAnsiTheme="majorBidi" w:cstheme="majorBidi"/>
                <w:sz w:val="20"/>
                <w:szCs w:val="20"/>
              </w:rPr>
            </w:pPr>
          </w:p>
        </w:tc>
        <w:tc>
          <w:tcPr>
            <w:tcW w:w="834" w:type="dxa"/>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w:t>
            </w:r>
          </w:p>
        </w:tc>
        <w:tc>
          <w:tcPr>
            <w:tcW w:w="709" w:type="dxa"/>
            <w:noWrap/>
            <w:hideMark/>
          </w:tcPr>
          <w:p w:rsidR="00EC43A4" w:rsidRDefault="00EC43A4">
            <w:pPr>
              <w:spacing w:line="360" w:lineRule="auto"/>
              <w:ind w:left="-108"/>
              <w:jc w:val="left"/>
              <w:rPr>
                <w:rFonts w:asciiTheme="majorBidi" w:hAnsiTheme="majorBidi" w:cstheme="majorBidi"/>
                <w:sz w:val="20"/>
                <w:szCs w:val="20"/>
              </w:rPr>
            </w:pPr>
          </w:p>
        </w:tc>
      </w:tr>
      <w:tr w:rsidR="00B634BC" w:rsidRPr="00142688" w:rsidTr="00660781">
        <w:trPr>
          <w:trHeight w:val="300"/>
          <w:jc w:val="center"/>
        </w:trPr>
        <w:tc>
          <w:tcPr>
            <w:tcW w:w="3112" w:type="dxa"/>
            <w:noWrap/>
            <w:hideMark/>
          </w:tcPr>
          <w:p w:rsidR="00B634BC" w:rsidRDefault="00B634BC">
            <w:pPr>
              <w:spacing w:line="360" w:lineRule="auto"/>
              <w:rPr>
                <w:rFonts w:ascii="Times New Roman" w:hAnsi="Times New Roman" w:cs="Times New Roman"/>
                <w:sz w:val="20"/>
                <w:szCs w:val="20"/>
              </w:rPr>
            </w:pPr>
            <w:r>
              <w:rPr>
                <w:rFonts w:asciiTheme="majorBidi" w:hAnsiTheme="majorBidi" w:cstheme="majorBidi"/>
                <w:sz w:val="20"/>
                <w:szCs w:val="20"/>
              </w:rPr>
              <w:t xml:space="preserve">     Less than five GCSEs</w:t>
            </w:r>
          </w:p>
        </w:tc>
        <w:tc>
          <w:tcPr>
            <w:tcW w:w="707" w:type="dxa"/>
          </w:tcPr>
          <w:p w:rsidR="00B634BC" w:rsidRDefault="00B634BC">
            <w:pPr>
              <w:spacing w:line="360" w:lineRule="auto"/>
              <w:jc w:val="left"/>
              <w:rPr>
                <w:rFonts w:ascii="Times New Roman" w:hAnsi="Times New Roman" w:cs="Times New Roman"/>
                <w:sz w:val="20"/>
                <w:szCs w:val="20"/>
              </w:rPr>
            </w:pPr>
            <w:r>
              <w:rPr>
                <w:rFonts w:asciiTheme="majorBidi" w:hAnsiTheme="majorBidi" w:cstheme="majorBidi"/>
                <w:sz w:val="20"/>
                <w:szCs w:val="20"/>
              </w:rPr>
              <w:t>2333</w:t>
            </w:r>
          </w:p>
        </w:tc>
        <w:tc>
          <w:tcPr>
            <w:tcW w:w="1702"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11.7 (-20.</w:t>
            </w:r>
            <w:r>
              <w:rPr>
                <w:rFonts w:asciiTheme="majorBidi" w:hAnsiTheme="majorBidi" w:cstheme="majorBidi"/>
                <w:sz w:val="20"/>
                <w:szCs w:val="20"/>
              </w:rPr>
              <w:t>3</w:t>
            </w:r>
            <w:r w:rsidRPr="005618BC">
              <w:rPr>
                <w:rFonts w:asciiTheme="majorBidi" w:hAnsiTheme="majorBidi" w:cstheme="majorBidi"/>
                <w:sz w:val="20"/>
                <w:szCs w:val="20"/>
              </w:rPr>
              <w:t xml:space="preserve">, </w:t>
            </w:r>
            <w:r>
              <w:rPr>
                <w:rFonts w:asciiTheme="majorBidi" w:hAnsiTheme="majorBidi" w:cstheme="majorBidi"/>
                <w:sz w:val="20"/>
                <w:szCs w:val="20"/>
              </w:rPr>
              <w:t>43.8</w:t>
            </w:r>
            <w:r w:rsidRPr="005618BC">
              <w:rPr>
                <w:rFonts w:asciiTheme="majorBidi" w:hAnsiTheme="majorBidi" w:cstheme="majorBidi"/>
                <w:sz w:val="20"/>
                <w:szCs w:val="20"/>
              </w:rPr>
              <w:t>)</w:t>
            </w:r>
          </w:p>
        </w:tc>
        <w:tc>
          <w:tcPr>
            <w:tcW w:w="709" w:type="dxa"/>
            <w:noWrap/>
            <w:hideMark/>
          </w:tcPr>
          <w:p w:rsidR="00B634BC" w:rsidRDefault="00B634BC" w:rsidP="00000E52">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0.4</w:t>
            </w:r>
            <w:r>
              <w:rPr>
                <w:rFonts w:asciiTheme="majorBidi" w:hAnsiTheme="majorBidi" w:cstheme="majorBidi"/>
                <w:sz w:val="20"/>
                <w:szCs w:val="20"/>
              </w:rPr>
              <w:t>73</w:t>
            </w:r>
          </w:p>
        </w:tc>
        <w:tc>
          <w:tcPr>
            <w:tcW w:w="1705"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10.6 (-2</w:t>
            </w:r>
            <w:r>
              <w:rPr>
                <w:rFonts w:asciiTheme="majorBidi" w:hAnsiTheme="majorBidi" w:cstheme="majorBidi"/>
                <w:sz w:val="20"/>
                <w:szCs w:val="20"/>
              </w:rPr>
              <w:t>1.5</w:t>
            </w:r>
            <w:r w:rsidRPr="005618BC">
              <w:rPr>
                <w:rFonts w:asciiTheme="majorBidi" w:hAnsiTheme="majorBidi" w:cstheme="majorBidi"/>
                <w:sz w:val="20"/>
                <w:szCs w:val="20"/>
              </w:rPr>
              <w:t xml:space="preserve">, </w:t>
            </w:r>
            <w:r>
              <w:rPr>
                <w:rFonts w:asciiTheme="majorBidi" w:hAnsiTheme="majorBidi" w:cstheme="majorBidi"/>
                <w:sz w:val="20"/>
                <w:szCs w:val="20"/>
              </w:rPr>
              <w:t>42.7</w:t>
            </w:r>
            <w:r w:rsidRPr="005618BC">
              <w:rPr>
                <w:rFonts w:asciiTheme="majorBidi" w:hAnsiTheme="majorBidi" w:cstheme="majorBidi"/>
                <w:sz w:val="20"/>
                <w:szCs w:val="20"/>
              </w:rPr>
              <w:t>)</w:t>
            </w:r>
          </w:p>
        </w:tc>
        <w:tc>
          <w:tcPr>
            <w:tcW w:w="709" w:type="dxa"/>
            <w:noWrap/>
            <w:hideMark/>
          </w:tcPr>
          <w:p w:rsidR="00B634BC" w:rsidRDefault="00B634BC" w:rsidP="003C68A3">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0.5</w:t>
            </w:r>
            <w:r>
              <w:rPr>
                <w:rFonts w:asciiTheme="majorBidi" w:hAnsiTheme="majorBidi" w:cstheme="majorBidi"/>
                <w:sz w:val="20"/>
                <w:szCs w:val="20"/>
              </w:rPr>
              <w:t>18</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15.1 (-</w:t>
            </w:r>
            <w:r>
              <w:rPr>
                <w:rFonts w:asciiTheme="majorBidi" w:hAnsiTheme="majorBidi" w:cstheme="majorBidi"/>
                <w:sz w:val="20"/>
                <w:szCs w:val="20"/>
              </w:rPr>
              <w:t>16.4</w:t>
            </w:r>
            <w:r w:rsidRPr="005618BC">
              <w:rPr>
                <w:rFonts w:asciiTheme="majorBidi" w:hAnsiTheme="majorBidi" w:cstheme="majorBidi"/>
                <w:sz w:val="20"/>
                <w:szCs w:val="20"/>
              </w:rPr>
              <w:t xml:space="preserve">, </w:t>
            </w:r>
            <w:r>
              <w:rPr>
                <w:rFonts w:asciiTheme="majorBidi" w:hAnsiTheme="majorBidi" w:cstheme="majorBidi"/>
                <w:sz w:val="20"/>
                <w:szCs w:val="20"/>
              </w:rPr>
              <w:t>46.7</w:t>
            </w:r>
            <w:r w:rsidRPr="005618BC">
              <w:rPr>
                <w:rFonts w:asciiTheme="majorBidi" w:hAnsiTheme="majorBidi" w:cstheme="majorBidi"/>
                <w:sz w:val="20"/>
                <w:szCs w:val="20"/>
              </w:rPr>
              <w:t>)</w:t>
            </w:r>
          </w:p>
        </w:tc>
        <w:tc>
          <w:tcPr>
            <w:tcW w:w="709" w:type="dxa"/>
            <w:noWrap/>
            <w:hideMark/>
          </w:tcPr>
          <w:p w:rsidR="00B634BC" w:rsidRDefault="00B634BC" w:rsidP="00925D19">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0.3</w:t>
            </w:r>
            <w:r>
              <w:rPr>
                <w:rFonts w:asciiTheme="majorBidi" w:hAnsiTheme="majorBidi" w:cstheme="majorBidi"/>
                <w:sz w:val="20"/>
                <w:szCs w:val="20"/>
              </w:rPr>
              <w:t>48</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18.3 (-</w:t>
            </w:r>
            <w:r>
              <w:rPr>
                <w:rFonts w:asciiTheme="majorBidi" w:hAnsiTheme="majorBidi" w:cstheme="majorBidi"/>
                <w:sz w:val="20"/>
                <w:szCs w:val="20"/>
              </w:rPr>
              <w:t>14.4, 51.0</w:t>
            </w:r>
            <w:r w:rsidRPr="005618BC">
              <w:rPr>
                <w:rFonts w:asciiTheme="majorBidi" w:hAnsiTheme="majorBidi" w:cstheme="majorBidi"/>
                <w:sz w:val="20"/>
                <w:szCs w:val="20"/>
              </w:rPr>
              <w:t>)</w:t>
            </w:r>
          </w:p>
        </w:tc>
        <w:tc>
          <w:tcPr>
            <w:tcW w:w="708" w:type="dxa"/>
            <w:noWrap/>
            <w:hideMark/>
          </w:tcPr>
          <w:p w:rsidR="00B634BC" w:rsidRDefault="00B634BC" w:rsidP="00B634B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0.2</w:t>
            </w:r>
            <w:r>
              <w:rPr>
                <w:rFonts w:asciiTheme="majorBidi" w:hAnsiTheme="majorBidi" w:cstheme="majorBidi"/>
                <w:sz w:val="20"/>
                <w:szCs w:val="20"/>
              </w:rPr>
              <w:t>72</w:t>
            </w:r>
          </w:p>
        </w:tc>
        <w:tc>
          <w:tcPr>
            <w:tcW w:w="1701" w:type="dxa"/>
            <w:gridSpan w:val="2"/>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22.9 (-</w:t>
            </w:r>
            <w:r>
              <w:rPr>
                <w:rFonts w:asciiTheme="majorBidi" w:hAnsiTheme="majorBidi" w:cstheme="majorBidi"/>
                <w:sz w:val="20"/>
                <w:szCs w:val="20"/>
              </w:rPr>
              <w:t>9.4, 55</w:t>
            </w:r>
            <w:r w:rsidRPr="005618BC">
              <w:rPr>
                <w:rFonts w:asciiTheme="majorBidi" w:hAnsiTheme="majorBidi" w:cstheme="majorBidi"/>
                <w:sz w:val="20"/>
                <w:szCs w:val="20"/>
              </w:rPr>
              <w:t>.1)</w:t>
            </w:r>
          </w:p>
        </w:tc>
        <w:tc>
          <w:tcPr>
            <w:tcW w:w="709" w:type="dxa"/>
            <w:noWrap/>
            <w:vAlign w:val="bottom"/>
            <w:hideMark/>
          </w:tcPr>
          <w:p w:rsidR="00B634BC" w:rsidRPr="00B634BC" w:rsidRDefault="00B634BC">
            <w:pPr>
              <w:spacing w:line="360" w:lineRule="auto"/>
              <w:ind w:left="-108"/>
              <w:jc w:val="left"/>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164</w:t>
            </w:r>
          </w:p>
        </w:tc>
      </w:tr>
      <w:tr w:rsidR="00B634BC" w:rsidRPr="00142688" w:rsidTr="00660781">
        <w:trPr>
          <w:trHeight w:val="300"/>
          <w:jc w:val="center"/>
        </w:trPr>
        <w:tc>
          <w:tcPr>
            <w:tcW w:w="3112" w:type="dxa"/>
            <w:noWrap/>
            <w:hideMark/>
          </w:tcPr>
          <w:p w:rsidR="00B634BC" w:rsidRDefault="00B634BC">
            <w:pPr>
              <w:spacing w:line="360" w:lineRule="auto"/>
              <w:ind w:right="-116"/>
              <w:rPr>
                <w:rFonts w:ascii="Times New Roman" w:hAnsi="Times New Roman" w:cs="Times New Roman"/>
                <w:sz w:val="20"/>
                <w:szCs w:val="20"/>
              </w:rPr>
            </w:pPr>
            <w:r>
              <w:rPr>
                <w:rFonts w:asciiTheme="majorBidi" w:hAnsiTheme="majorBidi" w:cstheme="majorBidi"/>
                <w:sz w:val="20"/>
                <w:szCs w:val="20"/>
              </w:rPr>
              <w:t xml:space="preserve">     Five GCSE or A level equivalent</w:t>
            </w:r>
          </w:p>
        </w:tc>
        <w:tc>
          <w:tcPr>
            <w:tcW w:w="707" w:type="dxa"/>
          </w:tcPr>
          <w:p w:rsidR="00B634BC" w:rsidRDefault="00B634BC">
            <w:pPr>
              <w:spacing w:line="360" w:lineRule="auto"/>
              <w:jc w:val="left"/>
              <w:rPr>
                <w:rFonts w:ascii="Times New Roman" w:hAnsi="Times New Roman" w:cs="Times New Roman"/>
                <w:sz w:val="20"/>
                <w:szCs w:val="20"/>
              </w:rPr>
            </w:pPr>
            <w:r>
              <w:rPr>
                <w:rFonts w:asciiTheme="majorBidi" w:hAnsiTheme="majorBidi" w:cstheme="majorBidi"/>
                <w:sz w:val="20"/>
                <w:szCs w:val="20"/>
              </w:rPr>
              <w:t>4880</w:t>
            </w:r>
          </w:p>
        </w:tc>
        <w:tc>
          <w:tcPr>
            <w:tcW w:w="1702"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20.6 (-1.1, 42.3)</w:t>
            </w:r>
          </w:p>
        </w:tc>
        <w:tc>
          <w:tcPr>
            <w:tcW w:w="709" w:type="dxa"/>
            <w:noWrap/>
            <w:hideMark/>
          </w:tcPr>
          <w:p w:rsidR="00B634BC" w:rsidRDefault="00B634BC" w:rsidP="00000E52">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0.06</w:t>
            </w:r>
            <w:r>
              <w:rPr>
                <w:rFonts w:asciiTheme="majorBidi" w:hAnsiTheme="majorBidi" w:cstheme="majorBidi"/>
                <w:sz w:val="20"/>
                <w:szCs w:val="20"/>
              </w:rPr>
              <w:t>3</w:t>
            </w:r>
          </w:p>
        </w:tc>
        <w:tc>
          <w:tcPr>
            <w:tcW w:w="1705"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23.6 (1.</w:t>
            </w:r>
            <w:r>
              <w:rPr>
                <w:rFonts w:asciiTheme="majorBidi" w:hAnsiTheme="majorBidi" w:cstheme="majorBidi"/>
                <w:sz w:val="20"/>
                <w:szCs w:val="20"/>
              </w:rPr>
              <w:t>6</w:t>
            </w:r>
            <w:r w:rsidRPr="005618BC">
              <w:rPr>
                <w:rFonts w:asciiTheme="majorBidi" w:hAnsiTheme="majorBidi" w:cstheme="majorBidi"/>
                <w:sz w:val="20"/>
                <w:szCs w:val="20"/>
              </w:rPr>
              <w:t>, 45.5)</w:t>
            </w:r>
          </w:p>
        </w:tc>
        <w:tc>
          <w:tcPr>
            <w:tcW w:w="709" w:type="dxa"/>
            <w:noWrap/>
            <w:hideMark/>
          </w:tcPr>
          <w:p w:rsidR="00B634BC" w:rsidRDefault="00B634BC" w:rsidP="003C68A3">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0.03</w:t>
            </w:r>
            <w:r>
              <w:rPr>
                <w:rFonts w:asciiTheme="majorBidi" w:hAnsiTheme="majorBidi" w:cstheme="majorBidi"/>
                <w:sz w:val="20"/>
                <w:szCs w:val="20"/>
              </w:rPr>
              <w:t>5</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19.3 (-2.</w:t>
            </w:r>
            <w:r>
              <w:rPr>
                <w:rFonts w:asciiTheme="majorBidi" w:hAnsiTheme="majorBidi" w:cstheme="majorBidi"/>
                <w:sz w:val="20"/>
                <w:szCs w:val="20"/>
              </w:rPr>
              <w:t>1</w:t>
            </w:r>
            <w:r w:rsidRPr="005618BC">
              <w:rPr>
                <w:rFonts w:asciiTheme="majorBidi" w:hAnsiTheme="majorBidi" w:cstheme="majorBidi"/>
                <w:sz w:val="20"/>
                <w:szCs w:val="20"/>
              </w:rPr>
              <w:t xml:space="preserve">, </w:t>
            </w:r>
            <w:r>
              <w:rPr>
                <w:rFonts w:asciiTheme="majorBidi" w:hAnsiTheme="majorBidi" w:cstheme="majorBidi"/>
                <w:sz w:val="20"/>
                <w:szCs w:val="20"/>
              </w:rPr>
              <w:t>40.7</w:t>
            </w:r>
            <w:r w:rsidRPr="005618BC">
              <w:rPr>
                <w:rFonts w:asciiTheme="majorBidi" w:hAnsiTheme="majorBidi" w:cstheme="majorBidi"/>
                <w:sz w:val="20"/>
                <w:szCs w:val="20"/>
              </w:rPr>
              <w:t>)</w:t>
            </w:r>
          </w:p>
        </w:tc>
        <w:tc>
          <w:tcPr>
            <w:tcW w:w="709" w:type="dxa"/>
            <w:noWrap/>
            <w:hideMark/>
          </w:tcPr>
          <w:p w:rsidR="00B634BC" w:rsidRDefault="00B634BC" w:rsidP="00925D19">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0.0</w:t>
            </w:r>
            <w:r>
              <w:rPr>
                <w:rFonts w:asciiTheme="majorBidi" w:hAnsiTheme="majorBidi" w:cstheme="majorBidi"/>
                <w:sz w:val="20"/>
                <w:szCs w:val="20"/>
              </w:rPr>
              <w:t>76</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18.1 (-</w:t>
            </w:r>
            <w:r>
              <w:rPr>
                <w:rFonts w:asciiTheme="majorBidi" w:hAnsiTheme="majorBidi" w:cstheme="majorBidi"/>
                <w:sz w:val="20"/>
                <w:szCs w:val="20"/>
              </w:rPr>
              <w:t>3.9</w:t>
            </w:r>
            <w:r w:rsidRPr="005618BC">
              <w:rPr>
                <w:rFonts w:asciiTheme="majorBidi" w:hAnsiTheme="majorBidi" w:cstheme="majorBidi"/>
                <w:sz w:val="20"/>
                <w:szCs w:val="20"/>
              </w:rPr>
              <w:t>, 40.</w:t>
            </w:r>
            <w:r>
              <w:rPr>
                <w:rFonts w:asciiTheme="majorBidi" w:hAnsiTheme="majorBidi" w:cstheme="majorBidi"/>
                <w:sz w:val="20"/>
                <w:szCs w:val="20"/>
              </w:rPr>
              <w:t>0</w:t>
            </w:r>
            <w:r w:rsidRPr="005618BC">
              <w:rPr>
                <w:rFonts w:asciiTheme="majorBidi" w:hAnsiTheme="majorBidi" w:cstheme="majorBidi"/>
                <w:sz w:val="20"/>
                <w:szCs w:val="20"/>
              </w:rPr>
              <w:t>)</w:t>
            </w:r>
          </w:p>
        </w:tc>
        <w:tc>
          <w:tcPr>
            <w:tcW w:w="708" w:type="dxa"/>
            <w:noWrap/>
            <w:hideMark/>
          </w:tcPr>
          <w:p w:rsidR="00B634BC" w:rsidRDefault="00B634BC" w:rsidP="00B634B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0.1</w:t>
            </w:r>
            <w:r>
              <w:rPr>
                <w:rFonts w:asciiTheme="majorBidi" w:hAnsiTheme="majorBidi" w:cstheme="majorBidi"/>
                <w:sz w:val="20"/>
                <w:szCs w:val="20"/>
              </w:rPr>
              <w:t>06</w:t>
            </w:r>
          </w:p>
        </w:tc>
        <w:tc>
          <w:tcPr>
            <w:tcW w:w="1701" w:type="dxa"/>
            <w:gridSpan w:val="2"/>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15.6 (-5.</w:t>
            </w:r>
            <w:r>
              <w:rPr>
                <w:rFonts w:asciiTheme="majorBidi" w:hAnsiTheme="majorBidi" w:cstheme="majorBidi"/>
                <w:sz w:val="20"/>
                <w:szCs w:val="20"/>
              </w:rPr>
              <w:t>3</w:t>
            </w:r>
            <w:r w:rsidRPr="005618BC">
              <w:rPr>
                <w:rFonts w:asciiTheme="majorBidi" w:hAnsiTheme="majorBidi" w:cstheme="majorBidi"/>
                <w:sz w:val="20"/>
                <w:szCs w:val="20"/>
              </w:rPr>
              <w:t>, 36.</w:t>
            </w:r>
            <w:r>
              <w:rPr>
                <w:rFonts w:asciiTheme="majorBidi" w:hAnsiTheme="majorBidi" w:cstheme="majorBidi"/>
                <w:sz w:val="20"/>
                <w:szCs w:val="20"/>
              </w:rPr>
              <w:t>5</w:t>
            </w:r>
            <w:r w:rsidRPr="005618BC">
              <w:rPr>
                <w:rFonts w:asciiTheme="majorBidi" w:hAnsiTheme="majorBidi" w:cstheme="majorBidi"/>
                <w:sz w:val="20"/>
                <w:szCs w:val="20"/>
              </w:rPr>
              <w:t>)</w:t>
            </w:r>
          </w:p>
        </w:tc>
        <w:tc>
          <w:tcPr>
            <w:tcW w:w="709" w:type="dxa"/>
            <w:noWrap/>
            <w:vAlign w:val="bottom"/>
            <w:hideMark/>
          </w:tcPr>
          <w:p w:rsidR="00B634BC" w:rsidRPr="00B634BC" w:rsidRDefault="00214C40">
            <w:pPr>
              <w:spacing w:after="200" w:line="360" w:lineRule="auto"/>
              <w:ind w:left="-108"/>
              <w:jc w:val="left"/>
              <w:rPr>
                <w:rFonts w:asciiTheme="majorBidi" w:hAnsiTheme="majorBidi" w:cstheme="majorBidi"/>
                <w:sz w:val="20"/>
                <w:szCs w:val="20"/>
              </w:rPr>
            </w:pPr>
            <w:r w:rsidRPr="00214C40">
              <w:rPr>
                <w:rFonts w:asciiTheme="majorBidi" w:hAnsiTheme="majorBidi" w:cstheme="majorBidi"/>
                <w:color w:val="000000"/>
                <w:sz w:val="20"/>
                <w:szCs w:val="20"/>
              </w:rPr>
              <w:t>0</w:t>
            </w:r>
            <w:r w:rsidR="00B634BC">
              <w:rPr>
                <w:rFonts w:asciiTheme="majorBidi" w:hAnsiTheme="majorBidi" w:cstheme="majorBidi"/>
                <w:color w:val="000000"/>
                <w:sz w:val="20"/>
                <w:szCs w:val="20"/>
              </w:rPr>
              <w:t>.</w:t>
            </w:r>
            <w:r w:rsidRPr="00214C40">
              <w:rPr>
                <w:rFonts w:asciiTheme="majorBidi" w:hAnsiTheme="majorBidi" w:cstheme="majorBidi"/>
                <w:color w:val="000000"/>
                <w:sz w:val="20"/>
                <w:szCs w:val="20"/>
              </w:rPr>
              <w:t>145</w:t>
            </w:r>
          </w:p>
        </w:tc>
      </w:tr>
      <w:tr w:rsidR="00B634BC" w:rsidRPr="00142688" w:rsidTr="00660781">
        <w:trPr>
          <w:trHeight w:val="300"/>
          <w:jc w:val="center"/>
        </w:trPr>
        <w:tc>
          <w:tcPr>
            <w:tcW w:w="3112" w:type="dxa"/>
            <w:noWrap/>
            <w:hideMark/>
          </w:tcPr>
          <w:p w:rsidR="00B634BC" w:rsidRDefault="00B634BC">
            <w:pPr>
              <w:spacing w:line="360" w:lineRule="auto"/>
              <w:rPr>
                <w:rFonts w:ascii="Times New Roman" w:hAnsi="Times New Roman" w:cs="Times New Roman"/>
                <w:sz w:val="20"/>
                <w:szCs w:val="20"/>
              </w:rPr>
            </w:pPr>
            <w:r>
              <w:rPr>
                <w:rFonts w:asciiTheme="majorBidi" w:hAnsiTheme="majorBidi" w:cstheme="majorBidi"/>
                <w:sz w:val="20"/>
                <w:szCs w:val="20"/>
              </w:rPr>
              <w:t xml:space="preserve">     Higher than A level equivalent</w:t>
            </w:r>
          </w:p>
        </w:tc>
        <w:tc>
          <w:tcPr>
            <w:tcW w:w="707" w:type="dxa"/>
          </w:tcPr>
          <w:p w:rsidR="00B634BC" w:rsidRDefault="00B634BC">
            <w:pPr>
              <w:spacing w:line="360" w:lineRule="auto"/>
              <w:jc w:val="left"/>
              <w:rPr>
                <w:rFonts w:ascii="Times New Roman" w:hAnsi="Times New Roman" w:cs="Times New Roman"/>
                <w:sz w:val="20"/>
                <w:szCs w:val="20"/>
              </w:rPr>
            </w:pPr>
            <w:r>
              <w:rPr>
                <w:rFonts w:asciiTheme="majorBidi" w:hAnsiTheme="majorBidi" w:cstheme="majorBidi"/>
                <w:sz w:val="20"/>
                <w:szCs w:val="20"/>
              </w:rPr>
              <w:t>2745</w:t>
            </w:r>
          </w:p>
        </w:tc>
        <w:tc>
          <w:tcPr>
            <w:tcW w:w="1702"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14.5 (-14.7, 43.</w:t>
            </w:r>
            <w:r>
              <w:rPr>
                <w:rFonts w:asciiTheme="majorBidi" w:hAnsiTheme="majorBidi" w:cstheme="majorBidi"/>
                <w:sz w:val="20"/>
                <w:szCs w:val="20"/>
              </w:rPr>
              <w:t>6</w:t>
            </w:r>
            <w:r w:rsidRPr="005618BC">
              <w:rPr>
                <w:rFonts w:asciiTheme="majorBidi" w:hAnsiTheme="majorBidi" w:cstheme="majorBidi"/>
                <w:sz w:val="20"/>
                <w:szCs w:val="20"/>
              </w:rPr>
              <w:t>)</w:t>
            </w:r>
          </w:p>
        </w:tc>
        <w:tc>
          <w:tcPr>
            <w:tcW w:w="709" w:type="dxa"/>
            <w:noWrap/>
            <w:hideMark/>
          </w:tcPr>
          <w:p w:rsidR="00B634BC" w:rsidRDefault="00B634BC">
            <w:pPr>
              <w:spacing w:line="360" w:lineRule="auto"/>
              <w:ind w:left="-100"/>
              <w:jc w:val="left"/>
              <w:rPr>
                <w:rFonts w:asciiTheme="majorBidi" w:hAnsiTheme="majorBidi" w:cstheme="majorBidi"/>
                <w:sz w:val="20"/>
                <w:szCs w:val="20"/>
              </w:rPr>
            </w:pPr>
            <w:r>
              <w:rPr>
                <w:rFonts w:asciiTheme="majorBidi" w:hAnsiTheme="majorBidi" w:cstheme="majorBidi"/>
                <w:sz w:val="20"/>
                <w:szCs w:val="20"/>
              </w:rPr>
              <w:t>0.330</w:t>
            </w:r>
          </w:p>
        </w:tc>
        <w:tc>
          <w:tcPr>
            <w:tcW w:w="1705"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15.7 (-13.3, 44.7)</w:t>
            </w:r>
          </w:p>
        </w:tc>
        <w:tc>
          <w:tcPr>
            <w:tcW w:w="709" w:type="dxa"/>
            <w:noWrap/>
            <w:hideMark/>
          </w:tcPr>
          <w:p w:rsidR="00B634BC" w:rsidRDefault="00B634BC" w:rsidP="003C68A3">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0.2</w:t>
            </w:r>
            <w:r>
              <w:rPr>
                <w:rFonts w:asciiTheme="majorBidi" w:hAnsiTheme="majorBidi" w:cstheme="majorBidi"/>
                <w:sz w:val="20"/>
                <w:szCs w:val="20"/>
              </w:rPr>
              <w:t>88</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17.2 (-12.</w:t>
            </w:r>
            <w:r>
              <w:rPr>
                <w:rFonts w:asciiTheme="majorBidi" w:hAnsiTheme="majorBidi" w:cstheme="majorBidi"/>
                <w:sz w:val="20"/>
                <w:szCs w:val="20"/>
              </w:rPr>
              <w:t>6</w:t>
            </w:r>
            <w:r w:rsidRPr="005618BC">
              <w:rPr>
                <w:rFonts w:asciiTheme="majorBidi" w:hAnsiTheme="majorBidi" w:cstheme="majorBidi"/>
                <w:sz w:val="20"/>
                <w:szCs w:val="20"/>
              </w:rPr>
              <w:t>, 46.</w:t>
            </w:r>
            <w:r>
              <w:rPr>
                <w:rFonts w:asciiTheme="majorBidi" w:hAnsiTheme="majorBidi" w:cstheme="majorBidi"/>
                <w:sz w:val="20"/>
                <w:szCs w:val="20"/>
              </w:rPr>
              <w:t>9</w:t>
            </w:r>
            <w:r w:rsidRPr="005618BC">
              <w:rPr>
                <w:rFonts w:asciiTheme="majorBidi" w:hAnsiTheme="majorBidi" w:cstheme="majorBidi"/>
                <w:sz w:val="20"/>
                <w:szCs w:val="20"/>
              </w:rPr>
              <w:t>)</w:t>
            </w:r>
          </w:p>
        </w:tc>
        <w:tc>
          <w:tcPr>
            <w:tcW w:w="709" w:type="dxa"/>
            <w:noWrap/>
            <w:hideMark/>
          </w:tcPr>
          <w:p w:rsidR="00B634BC" w:rsidRDefault="00B634BC" w:rsidP="00925D19">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0.25</w:t>
            </w:r>
            <w:r>
              <w:rPr>
                <w:rFonts w:asciiTheme="majorBidi" w:hAnsiTheme="majorBidi" w:cstheme="majorBidi"/>
                <w:sz w:val="20"/>
                <w:szCs w:val="20"/>
              </w:rPr>
              <w:t>8</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11.2 (-</w:t>
            </w:r>
            <w:r>
              <w:rPr>
                <w:rFonts w:asciiTheme="majorBidi" w:hAnsiTheme="majorBidi" w:cstheme="majorBidi"/>
                <w:sz w:val="20"/>
                <w:szCs w:val="20"/>
              </w:rPr>
              <w:t>19.7, 4</w:t>
            </w:r>
            <w:r w:rsidRPr="005618BC">
              <w:rPr>
                <w:rFonts w:asciiTheme="majorBidi" w:hAnsiTheme="majorBidi" w:cstheme="majorBidi"/>
                <w:sz w:val="20"/>
                <w:szCs w:val="20"/>
              </w:rPr>
              <w:t>2</w:t>
            </w:r>
            <w:r>
              <w:rPr>
                <w:rFonts w:asciiTheme="majorBidi" w:hAnsiTheme="majorBidi" w:cstheme="majorBidi"/>
                <w:sz w:val="20"/>
                <w:szCs w:val="20"/>
              </w:rPr>
              <w:t>.0</w:t>
            </w:r>
            <w:r w:rsidRPr="005618BC">
              <w:rPr>
                <w:rFonts w:asciiTheme="majorBidi" w:hAnsiTheme="majorBidi" w:cstheme="majorBidi"/>
                <w:sz w:val="20"/>
                <w:szCs w:val="20"/>
              </w:rPr>
              <w:t>)</w:t>
            </w:r>
          </w:p>
        </w:tc>
        <w:tc>
          <w:tcPr>
            <w:tcW w:w="708" w:type="dxa"/>
            <w:noWrap/>
            <w:hideMark/>
          </w:tcPr>
          <w:p w:rsidR="00B634BC" w:rsidRDefault="00B634BC">
            <w:pPr>
              <w:spacing w:line="360" w:lineRule="auto"/>
              <w:ind w:left="-108"/>
              <w:jc w:val="left"/>
              <w:rPr>
                <w:rFonts w:asciiTheme="majorBidi" w:hAnsiTheme="majorBidi" w:cstheme="majorBidi"/>
                <w:sz w:val="20"/>
                <w:szCs w:val="20"/>
              </w:rPr>
            </w:pPr>
            <w:r>
              <w:rPr>
                <w:rFonts w:asciiTheme="majorBidi" w:hAnsiTheme="majorBidi" w:cstheme="majorBidi"/>
                <w:sz w:val="20"/>
                <w:szCs w:val="20"/>
              </w:rPr>
              <w:t>0.47</w:t>
            </w:r>
            <w:r w:rsidRPr="005618BC">
              <w:rPr>
                <w:rFonts w:asciiTheme="majorBidi" w:hAnsiTheme="majorBidi" w:cstheme="majorBidi"/>
                <w:sz w:val="20"/>
                <w:szCs w:val="20"/>
              </w:rPr>
              <w:t>8</w:t>
            </w:r>
          </w:p>
        </w:tc>
        <w:tc>
          <w:tcPr>
            <w:tcW w:w="1701" w:type="dxa"/>
            <w:gridSpan w:val="2"/>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2.3 (-</w:t>
            </w:r>
            <w:r>
              <w:rPr>
                <w:rFonts w:asciiTheme="majorBidi" w:hAnsiTheme="majorBidi" w:cstheme="majorBidi"/>
                <w:sz w:val="20"/>
                <w:szCs w:val="20"/>
              </w:rPr>
              <w:t>28.1</w:t>
            </w:r>
            <w:r w:rsidRPr="005618BC">
              <w:rPr>
                <w:rFonts w:asciiTheme="majorBidi" w:hAnsiTheme="majorBidi" w:cstheme="majorBidi"/>
                <w:sz w:val="20"/>
                <w:szCs w:val="20"/>
              </w:rPr>
              <w:t xml:space="preserve">, </w:t>
            </w:r>
            <w:r>
              <w:rPr>
                <w:rFonts w:asciiTheme="majorBidi" w:hAnsiTheme="majorBidi" w:cstheme="majorBidi"/>
                <w:sz w:val="20"/>
                <w:szCs w:val="20"/>
              </w:rPr>
              <w:t>32.7</w:t>
            </w:r>
            <w:r w:rsidRPr="005618BC">
              <w:rPr>
                <w:rFonts w:asciiTheme="majorBidi" w:hAnsiTheme="majorBidi" w:cstheme="majorBidi"/>
                <w:sz w:val="20"/>
                <w:szCs w:val="20"/>
              </w:rPr>
              <w:t>)</w:t>
            </w:r>
          </w:p>
        </w:tc>
        <w:tc>
          <w:tcPr>
            <w:tcW w:w="709" w:type="dxa"/>
            <w:noWrap/>
            <w:vAlign w:val="bottom"/>
            <w:hideMark/>
          </w:tcPr>
          <w:p w:rsidR="00B634BC" w:rsidRPr="00B634BC" w:rsidRDefault="00B634BC">
            <w:pPr>
              <w:spacing w:after="200" w:line="360" w:lineRule="auto"/>
              <w:ind w:left="-108"/>
              <w:jc w:val="left"/>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882</w:t>
            </w:r>
          </w:p>
        </w:tc>
      </w:tr>
      <w:tr w:rsidR="00B634BC" w:rsidRPr="00142688" w:rsidTr="00660781">
        <w:trPr>
          <w:trHeight w:val="300"/>
          <w:jc w:val="center"/>
        </w:trPr>
        <w:tc>
          <w:tcPr>
            <w:tcW w:w="3112" w:type="dxa"/>
            <w:noWrap/>
            <w:hideMark/>
          </w:tcPr>
          <w:p w:rsidR="00B634BC" w:rsidRDefault="00B634BC">
            <w:pPr>
              <w:spacing w:line="360" w:lineRule="auto"/>
              <w:rPr>
                <w:rFonts w:ascii="Times New Roman" w:hAnsi="Times New Roman" w:cs="Times New Roman"/>
                <w:sz w:val="20"/>
                <w:szCs w:val="20"/>
              </w:rPr>
            </w:pPr>
            <w:r>
              <w:rPr>
                <w:rFonts w:asciiTheme="majorBidi" w:hAnsiTheme="majorBidi" w:cstheme="majorBidi"/>
                <w:sz w:val="20"/>
                <w:szCs w:val="20"/>
              </w:rPr>
              <w:t xml:space="preserve">     Other</w:t>
            </w:r>
          </w:p>
        </w:tc>
        <w:tc>
          <w:tcPr>
            <w:tcW w:w="707" w:type="dxa"/>
          </w:tcPr>
          <w:p w:rsidR="00B634BC" w:rsidRDefault="00B634BC">
            <w:pPr>
              <w:spacing w:line="360" w:lineRule="auto"/>
              <w:jc w:val="left"/>
              <w:rPr>
                <w:rFonts w:ascii="Times New Roman" w:hAnsi="Times New Roman" w:cs="Times New Roman"/>
                <w:sz w:val="20"/>
                <w:szCs w:val="20"/>
              </w:rPr>
            </w:pPr>
            <w:r>
              <w:rPr>
                <w:rFonts w:asciiTheme="majorBidi" w:hAnsiTheme="majorBidi" w:cstheme="majorBidi"/>
                <w:sz w:val="20"/>
                <w:szCs w:val="20"/>
              </w:rPr>
              <w:t>822</w:t>
            </w:r>
          </w:p>
        </w:tc>
        <w:tc>
          <w:tcPr>
            <w:tcW w:w="1702"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23.4 (-31.</w:t>
            </w:r>
            <w:r>
              <w:rPr>
                <w:rFonts w:asciiTheme="majorBidi" w:hAnsiTheme="majorBidi" w:cstheme="majorBidi"/>
                <w:sz w:val="20"/>
                <w:szCs w:val="20"/>
              </w:rPr>
              <w:t>0</w:t>
            </w:r>
            <w:r w:rsidRPr="005618BC">
              <w:rPr>
                <w:rFonts w:asciiTheme="majorBidi" w:hAnsiTheme="majorBidi" w:cstheme="majorBidi"/>
                <w:sz w:val="20"/>
                <w:szCs w:val="20"/>
              </w:rPr>
              <w:t>, 7</w:t>
            </w:r>
            <w:r>
              <w:rPr>
                <w:rFonts w:asciiTheme="majorBidi" w:hAnsiTheme="majorBidi" w:cstheme="majorBidi"/>
                <w:sz w:val="20"/>
                <w:szCs w:val="20"/>
              </w:rPr>
              <w:t>7</w:t>
            </w:r>
            <w:r w:rsidRPr="005618BC">
              <w:rPr>
                <w:rFonts w:asciiTheme="majorBidi" w:hAnsiTheme="majorBidi" w:cstheme="majorBidi"/>
                <w:sz w:val="20"/>
                <w:szCs w:val="20"/>
              </w:rPr>
              <w:t>.</w:t>
            </w:r>
            <w:r>
              <w:rPr>
                <w:rFonts w:asciiTheme="majorBidi" w:hAnsiTheme="majorBidi" w:cstheme="majorBidi"/>
                <w:sz w:val="20"/>
                <w:szCs w:val="20"/>
              </w:rPr>
              <w:t>7</w:t>
            </w:r>
            <w:r w:rsidRPr="005618BC">
              <w:rPr>
                <w:rFonts w:asciiTheme="majorBidi" w:hAnsiTheme="majorBidi" w:cstheme="majorBidi"/>
                <w:sz w:val="20"/>
                <w:szCs w:val="20"/>
              </w:rPr>
              <w:t>)</w:t>
            </w:r>
          </w:p>
        </w:tc>
        <w:tc>
          <w:tcPr>
            <w:tcW w:w="709" w:type="dxa"/>
            <w:noWrap/>
            <w:hideMark/>
          </w:tcPr>
          <w:p w:rsidR="00B634BC" w:rsidRDefault="00B634BC" w:rsidP="00000E52">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0.39</w:t>
            </w:r>
            <w:r>
              <w:rPr>
                <w:rFonts w:asciiTheme="majorBidi" w:hAnsiTheme="majorBidi" w:cstheme="majorBidi"/>
                <w:sz w:val="20"/>
                <w:szCs w:val="20"/>
              </w:rPr>
              <w:t>9</w:t>
            </w:r>
          </w:p>
        </w:tc>
        <w:tc>
          <w:tcPr>
            <w:tcW w:w="1705"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25.4 (-30.</w:t>
            </w:r>
            <w:r>
              <w:rPr>
                <w:rFonts w:asciiTheme="majorBidi" w:hAnsiTheme="majorBidi" w:cstheme="majorBidi"/>
                <w:sz w:val="20"/>
                <w:szCs w:val="20"/>
              </w:rPr>
              <w:t>0</w:t>
            </w:r>
            <w:r w:rsidRPr="005618BC">
              <w:rPr>
                <w:rFonts w:asciiTheme="majorBidi" w:hAnsiTheme="majorBidi" w:cstheme="majorBidi"/>
                <w:sz w:val="20"/>
                <w:szCs w:val="20"/>
              </w:rPr>
              <w:t xml:space="preserve">, </w:t>
            </w:r>
            <w:r>
              <w:rPr>
                <w:rFonts w:asciiTheme="majorBidi" w:hAnsiTheme="majorBidi" w:cstheme="majorBidi"/>
                <w:sz w:val="20"/>
                <w:szCs w:val="20"/>
              </w:rPr>
              <w:t>80.8</w:t>
            </w:r>
            <w:r w:rsidRPr="005618BC">
              <w:rPr>
                <w:rFonts w:asciiTheme="majorBidi" w:hAnsiTheme="majorBidi" w:cstheme="majorBidi"/>
                <w:sz w:val="20"/>
                <w:szCs w:val="20"/>
              </w:rPr>
              <w:t>)</w:t>
            </w:r>
          </w:p>
        </w:tc>
        <w:tc>
          <w:tcPr>
            <w:tcW w:w="709" w:type="dxa"/>
            <w:noWrap/>
            <w:hideMark/>
          </w:tcPr>
          <w:p w:rsidR="00B634BC" w:rsidRDefault="00B634BC" w:rsidP="003C68A3">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0.36</w:t>
            </w:r>
            <w:r>
              <w:rPr>
                <w:rFonts w:asciiTheme="majorBidi" w:hAnsiTheme="majorBidi" w:cstheme="majorBidi"/>
                <w:sz w:val="20"/>
                <w:szCs w:val="20"/>
              </w:rPr>
              <w:t>8</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30.4 (-</w:t>
            </w:r>
            <w:r>
              <w:rPr>
                <w:rFonts w:asciiTheme="majorBidi" w:hAnsiTheme="majorBidi" w:cstheme="majorBidi"/>
                <w:sz w:val="20"/>
                <w:szCs w:val="20"/>
              </w:rPr>
              <w:t>20.1</w:t>
            </w:r>
            <w:r w:rsidRPr="005618BC">
              <w:rPr>
                <w:rFonts w:asciiTheme="majorBidi" w:hAnsiTheme="majorBidi" w:cstheme="majorBidi"/>
                <w:sz w:val="20"/>
                <w:szCs w:val="20"/>
              </w:rPr>
              <w:t xml:space="preserve">, </w:t>
            </w:r>
            <w:r>
              <w:rPr>
                <w:rFonts w:asciiTheme="majorBidi" w:hAnsiTheme="majorBidi" w:cstheme="majorBidi"/>
                <w:sz w:val="20"/>
                <w:szCs w:val="20"/>
              </w:rPr>
              <w:t>80.9</w:t>
            </w:r>
            <w:r w:rsidRPr="005618BC">
              <w:rPr>
                <w:rFonts w:asciiTheme="majorBidi" w:hAnsiTheme="majorBidi" w:cstheme="majorBidi"/>
                <w:sz w:val="20"/>
                <w:szCs w:val="20"/>
              </w:rPr>
              <w:t>)</w:t>
            </w:r>
          </w:p>
        </w:tc>
        <w:tc>
          <w:tcPr>
            <w:tcW w:w="709" w:type="dxa"/>
            <w:noWrap/>
            <w:hideMark/>
          </w:tcPr>
          <w:p w:rsidR="00B634BC" w:rsidRDefault="00B634BC" w:rsidP="00925D19">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0.2</w:t>
            </w:r>
            <w:r>
              <w:rPr>
                <w:rFonts w:asciiTheme="majorBidi" w:hAnsiTheme="majorBidi" w:cstheme="majorBidi"/>
                <w:sz w:val="20"/>
                <w:szCs w:val="20"/>
              </w:rPr>
              <w:t>38</w:t>
            </w:r>
          </w:p>
        </w:tc>
        <w:tc>
          <w:tcPr>
            <w:tcW w:w="1703" w:type="dxa"/>
            <w:gridSpan w:val="3"/>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35.3 (-</w:t>
            </w:r>
            <w:r>
              <w:rPr>
                <w:rFonts w:asciiTheme="majorBidi" w:hAnsiTheme="majorBidi" w:cstheme="majorBidi"/>
                <w:sz w:val="20"/>
                <w:szCs w:val="20"/>
              </w:rPr>
              <w:t>14.9</w:t>
            </w:r>
            <w:r w:rsidRPr="005618BC">
              <w:rPr>
                <w:rFonts w:asciiTheme="majorBidi" w:hAnsiTheme="majorBidi" w:cstheme="majorBidi"/>
                <w:sz w:val="20"/>
                <w:szCs w:val="20"/>
              </w:rPr>
              <w:t xml:space="preserve">, </w:t>
            </w:r>
            <w:r>
              <w:rPr>
                <w:rFonts w:asciiTheme="majorBidi" w:hAnsiTheme="majorBidi" w:cstheme="majorBidi"/>
                <w:sz w:val="20"/>
                <w:szCs w:val="20"/>
              </w:rPr>
              <w:t>85.6</w:t>
            </w:r>
            <w:r w:rsidRPr="005618BC">
              <w:rPr>
                <w:rFonts w:asciiTheme="majorBidi" w:hAnsiTheme="majorBidi" w:cstheme="majorBidi"/>
                <w:sz w:val="20"/>
                <w:szCs w:val="20"/>
              </w:rPr>
              <w:t>)</w:t>
            </w:r>
          </w:p>
        </w:tc>
        <w:tc>
          <w:tcPr>
            <w:tcW w:w="708" w:type="dxa"/>
            <w:noWrap/>
            <w:hideMark/>
          </w:tcPr>
          <w:p w:rsidR="00B634BC" w:rsidRDefault="00B634BC" w:rsidP="00B634B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0.1</w:t>
            </w:r>
            <w:r>
              <w:rPr>
                <w:rFonts w:asciiTheme="majorBidi" w:hAnsiTheme="majorBidi" w:cstheme="majorBidi"/>
                <w:sz w:val="20"/>
                <w:szCs w:val="20"/>
              </w:rPr>
              <w:t>68</w:t>
            </w:r>
          </w:p>
        </w:tc>
        <w:tc>
          <w:tcPr>
            <w:tcW w:w="1701" w:type="dxa"/>
            <w:gridSpan w:val="2"/>
            <w:noWrap/>
            <w:hideMark/>
          </w:tcPr>
          <w:p w:rsidR="00B634BC" w:rsidRDefault="00B634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11.3 (-</w:t>
            </w:r>
            <w:r>
              <w:rPr>
                <w:rFonts w:asciiTheme="majorBidi" w:hAnsiTheme="majorBidi" w:cstheme="majorBidi"/>
                <w:sz w:val="20"/>
                <w:szCs w:val="20"/>
              </w:rPr>
              <w:t>37.1</w:t>
            </w:r>
            <w:r w:rsidRPr="005618BC">
              <w:rPr>
                <w:rFonts w:asciiTheme="majorBidi" w:hAnsiTheme="majorBidi" w:cstheme="majorBidi"/>
                <w:sz w:val="20"/>
                <w:szCs w:val="20"/>
              </w:rPr>
              <w:t xml:space="preserve">, </w:t>
            </w:r>
            <w:r>
              <w:rPr>
                <w:rFonts w:asciiTheme="majorBidi" w:hAnsiTheme="majorBidi" w:cstheme="majorBidi"/>
                <w:sz w:val="20"/>
                <w:szCs w:val="20"/>
              </w:rPr>
              <w:t>59.7</w:t>
            </w:r>
            <w:r w:rsidRPr="005618BC">
              <w:rPr>
                <w:rFonts w:asciiTheme="majorBidi" w:hAnsiTheme="majorBidi" w:cstheme="majorBidi"/>
                <w:sz w:val="20"/>
                <w:szCs w:val="20"/>
              </w:rPr>
              <w:t>)</w:t>
            </w:r>
          </w:p>
        </w:tc>
        <w:tc>
          <w:tcPr>
            <w:tcW w:w="709" w:type="dxa"/>
            <w:noWrap/>
            <w:vAlign w:val="bottom"/>
            <w:hideMark/>
          </w:tcPr>
          <w:p w:rsidR="00B634BC" w:rsidRPr="00B634BC" w:rsidRDefault="00B634BC">
            <w:pPr>
              <w:spacing w:after="200" w:line="360" w:lineRule="auto"/>
              <w:ind w:left="-108"/>
              <w:jc w:val="left"/>
              <w:rPr>
                <w:rFonts w:asciiTheme="majorBidi" w:hAnsiTheme="majorBidi" w:cstheme="majorBidi"/>
                <w:sz w:val="20"/>
                <w:szCs w:val="20"/>
              </w:rPr>
            </w:pPr>
            <w:r>
              <w:rPr>
                <w:rFonts w:asciiTheme="majorBidi" w:hAnsiTheme="majorBidi" w:cstheme="majorBidi"/>
                <w:color w:val="000000"/>
                <w:sz w:val="20"/>
                <w:szCs w:val="20"/>
              </w:rPr>
              <w:t>0.</w:t>
            </w:r>
            <w:r w:rsidR="00214C40" w:rsidRPr="00214C40">
              <w:rPr>
                <w:rFonts w:asciiTheme="majorBidi" w:hAnsiTheme="majorBidi" w:cstheme="majorBidi"/>
                <w:color w:val="000000"/>
                <w:sz w:val="20"/>
                <w:szCs w:val="20"/>
              </w:rPr>
              <w:t>647</w:t>
            </w:r>
          </w:p>
        </w:tc>
      </w:tr>
      <w:tr w:rsidR="00DF0069" w:rsidRPr="00142688" w:rsidTr="00B75367">
        <w:trPr>
          <w:trHeight w:val="300"/>
          <w:jc w:val="center"/>
        </w:trPr>
        <w:tc>
          <w:tcPr>
            <w:tcW w:w="3112" w:type="dxa"/>
            <w:shd w:val="clear" w:color="auto" w:fill="C6D9F1" w:themeFill="text2" w:themeFillTint="33"/>
            <w:noWrap/>
            <w:hideMark/>
          </w:tcPr>
          <w:p w:rsidR="00EC43A4" w:rsidRDefault="00DF0069">
            <w:pPr>
              <w:spacing w:line="360" w:lineRule="auto"/>
              <w:rPr>
                <w:rFonts w:ascii="Times New Roman" w:hAnsi="Times New Roman" w:cs="Times New Roman"/>
                <w:b/>
                <w:bCs/>
                <w:sz w:val="20"/>
                <w:szCs w:val="20"/>
              </w:rPr>
            </w:pPr>
            <w:r>
              <w:rPr>
                <w:rFonts w:asciiTheme="majorBidi" w:hAnsiTheme="majorBidi" w:cstheme="majorBidi"/>
                <w:b/>
                <w:bCs/>
                <w:sz w:val="20"/>
                <w:szCs w:val="20"/>
              </w:rPr>
              <w:t>Neighbourhood IMD</w:t>
            </w:r>
            <w:r>
              <w:rPr>
                <w:rFonts w:asciiTheme="majorBidi" w:hAnsiTheme="majorBidi" w:cstheme="majorBidi"/>
                <w:b/>
                <w:bCs/>
                <w:sz w:val="20"/>
                <w:szCs w:val="20"/>
                <w:vertAlign w:val="superscript"/>
              </w:rPr>
              <w:t>d</w:t>
            </w:r>
          </w:p>
        </w:tc>
        <w:tc>
          <w:tcPr>
            <w:tcW w:w="707" w:type="dxa"/>
            <w:shd w:val="clear" w:color="auto" w:fill="C6D9F1" w:themeFill="text2" w:themeFillTint="33"/>
          </w:tcPr>
          <w:p w:rsidR="00EC43A4" w:rsidRDefault="00EC43A4">
            <w:pPr>
              <w:spacing w:line="360" w:lineRule="auto"/>
              <w:jc w:val="left"/>
              <w:rPr>
                <w:rFonts w:ascii="Times New Roman" w:hAnsi="Times New Roman" w:cs="Times New Roman"/>
                <w:b/>
                <w:bCs/>
                <w:sz w:val="20"/>
                <w:szCs w:val="20"/>
              </w:rPr>
            </w:pPr>
          </w:p>
        </w:tc>
        <w:tc>
          <w:tcPr>
            <w:tcW w:w="519" w:type="dxa"/>
            <w:shd w:val="clear" w:color="auto" w:fill="C6D9F1" w:themeFill="text2" w:themeFillTint="33"/>
            <w:noWrap/>
            <w:hideMark/>
          </w:tcPr>
          <w:p w:rsidR="00EC43A4" w:rsidRDefault="00EC43A4">
            <w:pPr>
              <w:spacing w:line="360" w:lineRule="auto"/>
              <w:jc w:val="center"/>
              <w:rPr>
                <w:rFonts w:asciiTheme="majorBidi" w:hAnsiTheme="majorBidi" w:cstheme="majorBidi"/>
                <w:b/>
                <w:bCs/>
                <w:sz w:val="20"/>
                <w:szCs w:val="20"/>
              </w:rPr>
            </w:pPr>
          </w:p>
        </w:tc>
        <w:tc>
          <w:tcPr>
            <w:tcW w:w="597" w:type="dxa"/>
            <w:shd w:val="clear" w:color="auto" w:fill="C6D9F1" w:themeFill="text2" w:themeFillTint="33"/>
            <w:noWrap/>
            <w:hideMark/>
          </w:tcPr>
          <w:p w:rsidR="00EC43A4" w:rsidRDefault="00EC43A4">
            <w:pPr>
              <w:spacing w:line="360" w:lineRule="auto"/>
              <w:jc w:val="center"/>
              <w:rPr>
                <w:rFonts w:asciiTheme="majorBidi" w:hAnsiTheme="majorBidi" w:cstheme="majorBidi"/>
                <w:b/>
                <w:bCs/>
                <w:sz w:val="20"/>
                <w:szCs w:val="20"/>
              </w:rPr>
            </w:pPr>
          </w:p>
        </w:tc>
        <w:tc>
          <w:tcPr>
            <w:tcW w:w="586" w:type="dxa"/>
            <w:shd w:val="clear" w:color="auto" w:fill="C6D9F1" w:themeFill="text2" w:themeFillTint="33"/>
            <w:noWrap/>
            <w:hideMark/>
          </w:tcPr>
          <w:p w:rsidR="00EC43A4" w:rsidRDefault="00EC43A4">
            <w:pPr>
              <w:spacing w:line="360" w:lineRule="auto"/>
              <w:jc w:val="center"/>
              <w:rPr>
                <w:rFonts w:asciiTheme="majorBidi" w:hAnsiTheme="majorBidi" w:cstheme="majorBidi"/>
                <w:b/>
                <w:bCs/>
                <w:sz w:val="20"/>
                <w:szCs w:val="20"/>
              </w:rPr>
            </w:pPr>
          </w:p>
        </w:tc>
        <w:tc>
          <w:tcPr>
            <w:tcW w:w="709" w:type="dxa"/>
            <w:shd w:val="clear" w:color="auto" w:fill="C6D9F1" w:themeFill="text2" w:themeFillTint="33"/>
            <w:noWrap/>
            <w:hideMark/>
          </w:tcPr>
          <w:p w:rsidR="00EC43A4" w:rsidRDefault="00EC43A4">
            <w:pPr>
              <w:spacing w:line="360" w:lineRule="auto"/>
              <w:ind w:left="-100"/>
              <w:jc w:val="left"/>
              <w:rPr>
                <w:rFonts w:asciiTheme="majorBidi" w:hAnsiTheme="majorBidi" w:cstheme="majorBidi"/>
                <w:b/>
                <w:bCs/>
                <w:sz w:val="20"/>
                <w:szCs w:val="20"/>
              </w:rPr>
            </w:pPr>
          </w:p>
        </w:tc>
        <w:tc>
          <w:tcPr>
            <w:tcW w:w="696"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565"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444"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709" w:type="dxa"/>
            <w:shd w:val="clear" w:color="auto" w:fill="C6D9F1" w:themeFill="text2" w:themeFillTint="33"/>
            <w:noWrap/>
            <w:hideMark/>
          </w:tcPr>
          <w:p w:rsidR="00EC43A4" w:rsidRDefault="005618BC">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 </w:t>
            </w:r>
          </w:p>
        </w:tc>
        <w:tc>
          <w:tcPr>
            <w:tcW w:w="746"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565"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392"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709" w:type="dxa"/>
            <w:shd w:val="clear" w:color="auto" w:fill="C6D9F1" w:themeFill="text2" w:themeFillTint="33"/>
            <w:noWrap/>
            <w:hideMark/>
          </w:tcPr>
          <w:p w:rsidR="00EC43A4" w:rsidRDefault="00EC43A4">
            <w:pPr>
              <w:spacing w:line="360" w:lineRule="auto"/>
              <w:ind w:left="-106"/>
              <w:jc w:val="left"/>
              <w:rPr>
                <w:rFonts w:asciiTheme="majorBidi" w:hAnsiTheme="majorBidi" w:cstheme="majorBidi"/>
                <w:sz w:val="20"/>
                <w:szCs w:val="20"/>
              </w:rPr>
            </w:pPr>
          </w:p>
        </w:tc>
        <w:tc>
          <w:tcPr>
            <w:tcW w:w="794"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565"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344"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708" w:type="dxa"/>
            <w:shd w:val="clear" w:color="auto" w:fill="C6D9F1" w:themeFill="text2" w:themeFillTint="33"/>
            <w:noWrap/>
            <w:hideMark/>
          </w:tcPr>
          <w:p w:rsidR="00EC43A4" w:rsidRDefault="00EC43A4">
            <w:pPr>
              <w:spacing w:line="360" w:lineRule="auto"/>
              <w:ind w:left="-108"/>
              <w:jc w:val="left"/>
              <w:rPr>
                <w:rFonts w:asciiTheme="majorBidi" w:hAnsiTheme="majorBidi" w:cstheme="majorBidi"/>
                <w:sz w:val="20"/>
                <w:szCs w:val="20"/>
              </w:rPr>
            </w:pPr>
          </w:p>
        </w:tc>
        <w:tc>
          <w:tcPr>
            <w:tcW w:w="867" w:type="dxa"/>
            <w:shd w:val="clear" w:color="auto" w:fill="C6D9F1" w:themeFill="text2" w:themeFillTint="33"/>
            <w:noWrap/>
            <w:hideMark/>
          </w:tcPr>
          <w:p w:rsidR="00EC43A4" w:rsidRDefault="00EC43A4">
            <w:pPr>
              <w:spacing w:line="360" w:lineRule="auto"/>
              <w:jc w:val="center"/>
              <w:rPr>
                <w:rFonts w:asciiTheme="majorBidi" w:hAnsiTheme="majorBidi" w:cstheme="majorBidi"/>
                <w:sz w:val="20"/>
                <w:szCs w:val="20"/>
              </w:rPr>
            </w:pPr>
          </w:p>
        </w:tc>
        <w:tc>
          <w:tcPr>
            <w:tcW w:w="834" w:type="dxa"/>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w:t>
            </w:r>
          </w:p>
        </w:tc>
        <w:tc>
          <w:tcPr>
            <w:tcW w:w="709" w:type="dxa"/>
            <w:shd w:val="clear" w:color="auto" w:fill="C6D9F1" w:themeFill="text2" w:themeFillTint="33"/>
            <w:noWrap/>
            <w:hideMark/>
          </w:tcPr>
          <w:p w:rsidR="00EC43A4" w:rsidRDefault="00EC43A4">
            <w:pPr>
              <w:spacing w:line="360" w:lineRule="auto"/>
              <w:ind w:left="-108"/>
              <w:jc w:val="left"/>
              <w:rPr>
                <w:rFonts w:asciiTheme="majorBidi" w:hAnsiTheme="majorBidi" w:cstheme="majorBidi"/>
                <w:sz w:val="20"/>
                <w:szCs w:val="20"/>
              </w:rPr>
            </w:pPr>
          </w:p>
        </w:tc>
      </w:tr>
      <w:tr w:rsidR="00DF0069" w:rsidRPr="00142688" w:rsidTr="00B75367">
        <w:trPr>
          <w:trHeight w:val="300"/>
          <w:jc w:val="center"/>
        </w:trPr>
        <w:tc>
          <w:tcPr>
            <w:tcW w:w="3112" w:type="dxa"/>
            <w:shd w:val="clear" w:color="auto" w:fill="C6D9F1" w:themeFill="text2" w:themeFillTint="33"/>
            <w:noWrap/>
            <w:hideMark/>
          </w:tcPr>
          <w:p w:rsidR="00EC43A4" w:rsidRDefault="00DF0069">
            <w:pPr>
              <w:spacing w:line="360" w:lineRule="auto"/>
              <w:rPr>
                <w:rFonts w:ascii="Times New Roman" w:hAnsi="Times New Roman" w:cs="Times New Roman"/>
                <w:sz w:val="20"/>
                <w:szCs w:val="20"/>
              </w:rPr>
            </w:pPr>
            <w:r>
              <w:rPr>
                <w:rFonts w:asciiTheme="majorBidi" w:hAnsiTheme="majorBidi" w:cstheme="majorBidi"/>
                <w:sz w:val="20"/>
                <w:szCs w:val="20"/>
              </w:rPr>
              <w:t xml:space="preserve">     1</w:t>
            </w:r>
            <w:r>
              <w:rPr>
                <w:rFonts w:asciiTheme="majorBidi" w:hAnsiTheme="majorBidi" w:cstheme="majorBidi"/>
                <w:sz w:val="20"/>
                <w:szCs w:val="20"/>
                <w:vertAlign w:val="superscript"/>
              </w:rPr>
              <w:t>st</w:t>
            </w:r>
            <w:r>
              <w:rPr>
                <w:rFonts w:asciiTheme="majorBidi" w:hAnsiTheme="majorBidi" w:cstheme="majorBidi"/>
                <w:sz w:val="20"/>
                <w:szCs w:val="20"/>
              </w:rPr>
              <w:t xml:space="preserve"> tertile  (Least deprived)</w:t>
            </w:r>
          </w:p>
        </w:tc>
        <w:tc>
          <w:tcPr>
            <w:tcW w:w="707" w:type="dxa"/>
            <w:shd w:val="clear" w:color="auto" w:fill="C6D9F1" w:themeFill="text2" w:themeFillTint="33"/>
          </w:tcPr>
          <w:p w:rsidR="00EC43A4" w:rsidRDefault="00DF0069">
            <w:pPr>
              <w:spacing w:line="360" w:lineRule="auto"/>
              <w:jc w:val="left"/>
              <w:rPr>
                <w:rFonts w:ascii="Times New Roman" w:hAnsi="Times New Roman" w:cs="Times New Roman"/>
                <w:sz w:val="20"/>
                <w:szCs w:val="20"/>
              </w:rPr>
            </w:pPr>
            <w:r>
              <w:rPr>
                <w:rFonts w:asciiTheme="majorBidi" w:hAnsiTheme="majorBidi" w:cstheme="majorBidi"/>
                <w:sz w:val="20"/>
                <w:szCs w:val="20"/>
              </w:rPr>
              <w:t>3530</w:t>
            </w:r>
          </w:p>
        </w:tc>
        <w:tc>
          <w:tcPr>
            <w:tcW w:w="1702"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9.7 </w:t>
            </w:r>
            <w:r w:rsidR="003A6D64" w:rsidRPr="003A6D64">
              <w:rPr>
                <w:rFonts w:asciiTheme="majorBidi" w:hAnsiTheme="majorBidi" w:cstheme="majorBidi"/>
                <w:sz w:val="20"/>
                <w:szCs w:val="20"/>
              </w:rPr>
              <w:t>(-17.6,</w:t>
            </w:r>
            <w:r w:rsidR="003A6D64">
              <w:rPr>
                <w:rFonts w:asciiTheme="majorBidi" w:hAnsiTheme="majorBidi" w:cstheme="majorBidi"/>
                <w:sz w:val="20"/>
                <w:szCs w:val="20"/>
              </w:rPr>
              <w:t xml:space="preserve"> </w:t>
            </w:r>
            <w:r w:rsidR="003A6D64" w:rsidRPr="003A6D64">
              <w:rPr>
                <w:rFonts w:asciiTheme="majorBidi" w:hAnsiTheme="majorBidi" w:cstheme="majorBidi"/>
                <w:sz w:val="20"/>
                <w:szCs w:val="20"/>
              </w:rPr>
              <w:t>37</w:t>
            </w:r>
            <w:r w:rsidR="003A6D64">
              <w:rPr>
                <w:rFonts w:asciiTheme="majorBidi" w:hAnsiTheme="majorBidi" w:cstheme="majorBidi"/>
                <w:sz w:val="20"/>
                <w:szCs w:val="20"/>
              </w:rPr>
              <w:t>.0</w:t>
            </w:r>
            <w:r w:rsidR="003A6D64" w:rsidRPr="003A6D64">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3A6D64">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0.4</w:t>
            </w:r>
            <w:r w:rsidR="003A6D64">
              <w:rPr>
                <w:rFonts w:asciiTheme="majorBidi" w:hAnsiTheme="majorBidi" w:cstheme="majorBidi"/>
                <w:sz w:val="20"/>
                <w:szCs w:val="20"/>
              </w:rPr>
              <w:t>87</w:t>
            </w:r>
          </w:p>
        </w:tc>
        <w:tc>
          <w:tcPr>
            <w:tcW w:w="1705"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19.5 (-8.</w:t>
            </w:r>
            <w:r w:rsidR="00E60DF5">
              <w:rPr>
                <w:rFonts w:asciiTheme="majorBidi" w:hAnsiTheme="majorBidi" w:cstheme="majorBidi"/>
                <w:sz w:val="20"/>
                <w:szCs w:val="20"/>
              </w:rPr>
              <w:t>0</w:t>
            </w:r>
            <w:r w:rsidRPr="005618BC">
              <w:rPr>
                <w:rFonts w:asciiTheme="majorBidi" w:hAnsiTheme="majorBidi" w:cstheme="majorBidi"/>
                <w:sz w:val="20"/>
                <w:szCs w:val="20"/>
              </w:rPr>
              <w:t>, 47.</w:t>
            </w:r>
            <w:r w:rsidR="00E60DF5">
              <w:rPr>
                <w:rFonts w:asciiTheme="majorBidi" w:hAnsiTheme="majorBidi" w:cstheme="majorBidi"/>
                <w:sz w:val="20"/>
                <w:szCs w:val="20"/>
              </w:rPr>
              <w:t>0</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E60DF5">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0.1</w:t>
            </w:r>
            <w:r w:rsidR="00E60DF5">
              <w:rPr>
                <w:rFonts w:asciiTheme="majorBidi" w:hAnsiTheme="majorBidi" w:cstheme="majorBidi"/>
                <w:sz w:val="20"/>
                <w:szCs w:val="20"/>
              </w:rPr>
              <w:t>64</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20.1 </w:t>
            </w:r>
            <w:r w:rsidR="00E60DF5" w:rsidRPr="00E60DF5">
              <w:rPr>
                <w:rFonts w:asciiTheme="majorBidi" w:hAnsiTheme="majorBidi" w:cstheme="majorBidi"/>
                <w:sz w:val="20"/>
                <w:szCs w:val="20"/>
              </w:rPr>
              <w:t>(-6.5,</w:t>
            </w:r>
            <w:r w:rsidR="00E60DF5">
              <w:rPr>
                <w:rFonts w:asciiTheme="majorBidi" w:hAnsiTheme="majorBidi" w:cstheme="majorBidi"/>
                <w:sz w:val="20"/>
                <w:szCs w:val="20"/>
              </w:rPr>
              <w:t xml:space="preserve"> </w:t>
            </w:r>
            <w:r w:rsidR="00E60DF5" w:rsidRPr="00E60DF5">
              <w:rPr>
                <w:rFonts w:asciiTheme="majorBidi" w:hAnsiTheme="majorBidi" w:cstheme="majorBidi"/>
                <w:sz w:val="20"/>
                <w:szCs w:val="20"/>
              </w:rPr>
              <w:t>46.6)</w:t>
            </w:r>
          </w:p>
        </w:tc>
        <w:tc>
          <w:tcPr>
            <w:tcW w:w="709" w:type="dxa"/>
            <w:shd w:val="clear" w:color="auto" w:fill="C6D9F1" w:themeFill="text2" w:themeFillTint="33"/>
            <w:noWrap/>
            <w:hideMark/>
          </w:tcPr>
          <w:p w:rsidR="00EC43A4" w:rsidRDefault="005618BC" w:rsidP="00E60DF5">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0.1</w:t>
            </w:r>
            <w:r w:rsidR="00E60DF5">
              <w:rPr>
                <w:rFonts w:asciiTheme="majorBidi" w:hAnsiTheme="majorBidi" w:cstheme="majorBidi"/>
                <w:sz w:val="20"/>
                <w:szCs w:val="20"/>
              </w:rPr>
              <w:t>38</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9.6 (-16.7, 35.9)</w:t>
            </w:r>
          </w:p>
        </w:tc>
        <w:tc>
          <w:tcPr>
            <w:tcW w:w="708" w:type="dxa"/>
            <w:shd w:val="clear" w:color="auto" w:fill="C6D9F1" w:themeFill="text2" w:themeFillTint="33"/>
            <w:noWrap/>
            <w:hideMark/>
          </w:tcPr>
          <w:p w:rsidR="00EC43A4" w:rsidRDefault="005618BC" w:rsidP="00151FF2">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0.47</w:t>
            </w:r>
            <w:r w:rsidR="00151FF2">
              <w:rPr>
                <w:rFonts w:asciiTheme="majorBidi" w:hAnsiTheme="majorBidi" w:cstheme="majorBidi"/>
                <w:sz w:val="20"/>
                <w:szCs w:val="20"/>
              </w:rPr>
              <w:t>4</w:t>
            </w:r>
          </w:p>
        </w:tc>
        <w:tc>
          <w:tcPr>
            <w:tcW w:w="1701" w:type="dxa"/>
            <w:gridSpan w:val="2"/>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7.1 (-16.2, 30.</w:t>
            </w:r>
            <w:r w:rsidR="00C852FB">
              <w:rPr>
                <w:rFonts w:asciiTheme="majorBidi" w:hAnsiTheme="majorBidi" w:cstheme="majorBidi"/>
                <w:sz w:val="20"/>
                <w:szCs w:val="20"/>
              </w:rPr>
              <w:t>3</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C852FB">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0.5</w:t>
            </w:r>
            <w:r w:rsidR="00C852FB">
              <w:rPr>
                <w:rFonts w:asciiTheme="majorBidi" w:hAnsiTheme="majorBidi" w:cstheme="majorBidi"/>
                <w:sz w:val="20"/>
                <w:szCs w:val="20"/>
              </w:rPr>
              <w:t>49</w:t>
            </w:r>
          </w:p>
        </w:tc>
      </w:tr>
      <w:tr w:rsidR="00DF0069" w:rsidRPr="00142688" w:rsidTr="00B75367">
        <w:trPr>
          <w:trHeight w:val="300"/>
          <w:jc w:val="center"/>
        </w:trPr>
        <w:tc>
          <w:tcPr>
            <w:tcW w:w="3112" w:type="dxa"/>
            <w:shd w:val="clear" w:color="auto" w:fill="C6D9F1" w:themeFill="text2" w:themeFillTint="33"/>
            <w:noWrap/>
            <w:hideMark/>
          </w:tcPr>
          <w:p w:rsidR="00EC43A4" w:rsidRDefault="00DF0069">
            <w:pPr>
              <w:spacing w:line="360" w:lineRule="auto"/>
              <w:rPr>
                <w:rFonts w:ascii="Times New Roman" w:hAnsi="Times New Roman" w:cs="Times New Roman"/>
                <w:sz w:val="20"/>
                <w:szCs w:val="20"/>
              </w:rPr>
            </w:pPr>
            <w:r>
              <w:rPr>
                <w:rFonts w:asciiTheme="majorBidi" w:hAnsiTheme="majorBidi" w:cstheme="majorBidi"/>
                <w:sz w:val="20"/>
                <w:szCs w:val="20"/>
              </w:rPr>
              <w:t xml:space="preserve">     2</w:t>
            </w:r>
            <w:r>
              <w:rPr>
                <w:rFonts w:asciiTheme="majorBidi" w:hAnsiTheme="majorBidi" w:cstheme="majorBidi"/>
                <w:sz w:val="20"/>
                <w:szCs w:val="20"/>
                <w:vertAlign w:val="superscript"/>
              </w:rPr>
              <w:t>nd</w:t>
            </w:r>
            <w:r>
              <w:rPr>
                <w:rFonts w:asciiTheme="majorBidi" w:hAnsiTheme="majorBidi" w:cstheme="majorBidi"/>
                <w:sz w:val="20"/>
                <w:szCs w:val="20"/>
              </w:rPr>
              <w:t xml:space="preserve"> tertile</w:t>
            </w:r>
          </w:p>
        </w:tc>
        <w:tc>
          <w:tcPr>
            <w:tcW w:w="707" w:type="dxa"/>
            <w:shd w:val="clear" w:color="auto" w:fill="C6D9F1" w:themeFill="text2" w:themeFillTint="33"/>
          </w:tcPr>
          <w:p w:rsidR="00EC43A4" w:rsidRDefault="00DF0069">
            <w:pPr>
              <w:spacing w:line="360" w:lineRule="auto"/>
              <w:jc w:val="left"/>
              <w:rPr>
                <w:rFonts w:ascii="Times New Roman" w:hAnsi="Times New Roman" w:cs="Times New Roman"/>
                <w:sz w:val="20"/>
                <w:szCs w:val="20"/>
              </w:rPr>
            </w:pPr>
            <w:r>
              <w:rPr>
                <w:rFonts w:asciiTheme="majorBidi" w:hAnsiTheme="majorBidi" w:cstheme="majorBidi"/>
                <w:sz w:val="20"/>
                <w:szCs w:val="20"/>
              </w:rPr>
              <w:t>3528</w:t>
            </w:r>
          </w:p>
        </w:tc>
        <w:tc>
          <w:tcPr>
            <w:tcW w:w="1702"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7.9 </w:t>
            </w:r>
            <w:r w:rsidR="003A6D64" w:rsidRPr="003A6D64">
              <w:rPr>
                <w:rFonts w:asciiTheme="majorBidi" w:hAnsiTheme="majorBidi" w:cstheme="majorBidi"/>
                <w:sz w:val="20"/>
                <w:szCs w:val="20"/>
              </w:rPr>
              <w:t>(-17.7,</w:t>
            </w:r>
            <w:r w:rsidR="003A6D64">
              <w:rPr>
                <w:rFonts w:asciiTheme="majorBidi" w:hAnsiTheme="majorBidi" w:cstheme="majorBidi"/>
                <w:sz w:val="20"/>
                <w:szCs w:val="20"/>
              </w:rPr>
              <w:t xml:space="preserve"> </w:t>
            </w:r>
            <w:r w:rsidR="003A6D64" w:rsidRPr="003A6D64">
              <w:rPr>
                <w:rFonts w:asciiTheme="majorBidi" w:hAnsiTheme="majorBidi" w:cstheme="majorBidi"/>
                <w:sz w:val="20"/>
                <w:szCs w:val="20"/>
              </w:rPr>
              <w:t>33.5)</w:t>
            </w:r>
          </w:p>
        </w:tc>
        <w:tc>
          <w:tcPr>
            <w:tcW w:w="709" w:type="dxa"/>
            <w:shd w:val="clear" w:color="auto" w:fill="C6D9F1" w:themeFill="text2" w:themeFillTint="33"/>
            <w:noWrap/>
            <w:hideMark/>
          </w:tcPr>
          <w:p w:rsidR="00EC43A4" w:rsidRDefault="005618BC" w:rsidP="003A6D64">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0.5</w:t>
            </w:r>
            <w:r w:rsidR="003A6D64">
              <w:rPr>
                <w:rFonts w:asciiTheme="majorBidi" w:hAnsiTheme="majorBidi" w:cstheme="majorBidi"/>
                <w:sz w:val="20"/>
                <w:szCs w:val="20"/>
              </w:rPr>
              <w:t>45</w:t>
            </w:r>
          </w:p>
        </w:tc>
        <w:tc>
          <w:tcPr>
            <w:tcW w:w="1705"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8.3 (-16.</w:t>
            </w:r>
            <w:r w:rsidR="00E60DF5">
              <w:rPr>
                <w:rFonts w:asciiTheme="majorBidi" w:hAnsiTheme="majorBidi" w:cstheme="majorBidi"/>
                <w:sz w:val="20"/>
                <w:szCs w:val="20"/>
              </w:rPr>
              <w:t>6</w:t>
            </w:r>
            <w:r w:rsidRPr="005618BC">
              <w:rPr>
                <w:rFonts w:asciiTheme="majorBidi" w:hAnsiTheme="majorBidi" w:cstheme="majorBidi"/>
                <w:sz w:val="20"/>
                <w:szCs w:val="20"/>
              </w:rPr>
              <w:t>, 33.</w:t>
            </w:r>
            <w:r w:rsidR="00E60DF5">
              <w:rPr>
                <w:rFonts w:asciiTheme="majorBidi" w:hAnsiTheme="majorBidi" w:cstheme="majorBidi"/>
                <w:sz w:val="20"/>
                <w:szCs w:val="20"/>
              </w:rPr>
              <w:t>2</w:t>
            </w:r>
            <w:r w:rsidRPr="005618BC">
              <w:rPr>
                <w:rFonts w:asciiTheme="majorBidi" w:hAnsiTheme="majorBidi" w:cstheme="majorBidi"/>
                <w:sz w:val="20"/>
                <w:szCs w:val="20"/>
              </w:rPr>
              <w:t>)</w:t>
            </w:r>
          </w:p>
        </w:tc>
        <w:tc>
          <w:tcPr>
            <w:tcW w:w="709" w:type="dxa"/>
            <w:shd w:val="clear" w:color="auto" w:fill="C6D9F1" w:themeFill="text2" w:themeFillTint="33"/>
            <w:noWrap/>
            <w:hideMark/>
          </w:tcPr>
          <w:p w:rsidR="00EC43A4" w:rsidRDefault="005618BC" w:rsidP="00E60DF5">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0.5</w:t>
            </w:r>
            <w:r w:rsidR="00E60DF5">
              <w:rPr>
                <w:rFonts w:asciiTheme="majorBidi" w:hAnsiTheme="majorBidi" w:cstheme="majorBidi"/>
                <w:sz w:val="20"/>
                <w:szCs w:val="20"/>
              </w:rPr>
              <w:t>14</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11.4 </w:t>
            </w:r>
            <w:r w:rsidR="00E60DF5" w:rsidRPr="00E60DF5">
              <w:rPr>
                <w:rFonts w:asciiTheme="majorBidi" w:hAnsiTheme="majorBidi" w:cstheme="majorBidi"/>
                <w:sz w:val="20"/>
                <w:szCs w:val="20"/>
              </w:rPr>
              <w:t>(-13.4,</w:t>
            </w:r>
            <w:r w:rsidR="00E60DF5">
              <w:rPr>
                <w:rFonts w:asciiTheme="majorBidi" w:hAnsiTheme="majorBidi" w:cstheme="majorBidi"/>
                <w:sz w:val="20"/>
                <w:szCs w:val="20"/>
              </w:rPr>
              <w:t xml:space="preserve"> </w:t>
            </w:r>
            <w:r w:rsidR="00E60DF5" w:rsidRPr="00E60DF5">
              <w:rPr>
                <w:rFonts w:asciiTheme="majorBidi" w:hAnsiTheme="majorBidi" w:cstheme="majorBidi"/>
                <w:sz w:val="20"/>
                <w:szCs w:val="20"/>
              </w:rPr>
              <w:t>36.2)</w:t>
            </w:r>
          </w:p>
        </w:tc>
        <w:tc>
          <w:tcPr>
            <w:tcW w:w="709" w:type="dxa"/>
            <w:shd w:val="clear" w:color="auto" w:fill="C6D9F1" w:themeFill="text2" w:themeFillTint="33"/>
            <w:noWrap/>
            <w:hideMark/>
          </w:tcPr>
          <w:p w:rsidR="00EC43A4" w:rsidRDefault="005618BC" w:rsidP="00E60DF5">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0.3</w:t>
            </w:r>
            <w:r w:rsidR="00E60DF5">
              <w:rPr>
                <w:rFonts w:asciiTheme="majorBidi" w:hAnsiTheme="majorBidi" w:cstheme="majorBidi"/>
                <w:sz w:val="20"/>
                <w:szCs w:val="20"/>
              </w:rPr>
              <w:t>69</w:t>
            </w:r>
          </w:p>
        </w:tc>
        <w:tc>
          <w:tcPr>
            <w:tcW w:w="1703" w:type="dxa"/>
            <w:gridSpan w:val="3"/>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15.4 </w:t>
            </w:r>
            <w:r w:rsidR="00151FF2" w:rsidRPr="00151FF2">
              <w:rPr>
                <w:rFonts w:asciiTheme="majorBidi" w:hAnsiTheme="majorBidi" w:cstheme="majorBidi"/>
                <w:sz w:val="20"/>
                <w:szCs w:val="20"/>
              </w:rPr>
              <w:t>(-11.7,</w:t>
            </w:r>
            <w:r w:rsidR="00C852FB">
              <w:rPr>
                <w:rFonts w:asciiTheme="majorBidi" w:hAnsiTheme="majorBidi" w:cstheme="majorBidi"/>
                <w:sz w:val="20"/>
                <w:szCs w:val="20"/>
              </w:rPr>
              <w:t xml:space="preserve"> </w:t>
            </w:r>
            <w:r w:rsidR="00151FF2" w:rsidRPr="00151FF2">
              <w:rPr>
                <w:rFonts w:asciiTheme="majorBidi" w:hAnsiTheme="majorBidi" w:cstheme="majorBidi"/>
                <w:sz w:val="20"/>
                <w:szCs w:val="20"/>
              </w:rPr>
              <w:t>42.4)</w:t>
            </w:r>
          </w:p>
        </w:tc>
        <w:tc>
          <w:tcPr>
            <w:tcW w:w="708" w:type="dxa"/>
            <w:shd w:val="clear" w:color="auto" w:fill="C6D9F1" w:themeFill="text2" w:themeFillTint="33"/>
            <w:noWrap/>
            <w:hideMark/>
          </w:tcPr>
          <w:p w:rsidR="00EC43A4" w:rsidRDefault="005618BC" w:rsidP="00151FF2">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0.2</w:t>
            </w:r>
            <w:r w:rsidR="00151FF2">
              <w:rPr>
                <w:rFonts w:asciiTheme="majorBidi" w:hAnsiTheme="majorBidi" w:cstheme="majorBidi"/>
                <w:sz w:val="20"/>
                <w:szCs w:val="20"/>
              </w:rPr>
              <w:t>65</w:t>
            </w:r>
          </w:p>
        </w:tc>
        <w:tc>
          <w:tcPr>
            <w:tcW w:w="1701" w:type="dxa"/>
            <w:gridSpan w:val="2"/>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13.8 </w:t>
            </w:r>
            <w:r w:rsidR="00C852FB" w:rsidRPr="00C852FB">
              <w:rPr>
                <w:rFonts w:asciiTheme="majorBidi" w:hAnsiTheme="majorBidi" w:cstheme="majorBidi"/>
                <w:sz w:val="20"/>
                <w:szCs w:val="20"/>
              </w:rPr>
              <w:t>(-14.6,</w:t>
            </w:r>
            <w:r w:rsidR="00C852FB">
              <w:rPr>
                <w:rFonts w:asciiTheme="majorBidi" w:hAnsiTheme="majorBidi" w:cstheme="majorBidi"/>
                <w:sz w:val="20"/>
                <w:szCs w:val="20"/>
              </w:rPr>
              <w:t xml:space="preserve"> </w:t>
            </w:r>
            <w:r w:rsidR="00C852FB" w:rsidRPr="00C852FB">
              <w:rPr>
                <w:rFonts w:asciiTheme="majorBidi" w:hAnsiTheme="majorBidi" w:cstheme="majorBidi"/>
                <w:sz w:val="20"/>
                <w:szCs w:val="20"/>
              </w:rPr>
              <w:t>42.2)</w:t>
            </w:r>
          </w:p>
        </w:tc>
        <w:tc>
          <w:tcPr>
            <w:tcW w:w="709" w:type="dxa"/>
            <w:shd w:val="clear" w:color="auto" w:fill="C6D9F1" w:themeFill="text2" w:themeFillTint="33"/>
            <w:noWrap/>
            <w:hideMark/>
          </w:tcPr>
          <w:p w:rsidR="00EC43A4" w:rsidRDefault="005618BC" w:rsidP="00C852FB">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0.3</w:t>
            </w:r>
            <w:r w:rsidR="00C852FB">
              <w:rPr>
                <w:rFonts w:asciiTheme="majorBidi" w:hAnsiTheme="majorBidi" w:cstheme="majorBidi"/>
                <w:sz w:val="20"/>
                <w:szCs w:val="20"/>
              </w:rPr>
              <w:t>40</w:t>
            </w:r>
          </w:p>
        </w:tc>
      </w:tr>
      <w:tr w:rsidR="00DF0069" w:rsidRPr="00142688" w:rsidTr="00B75367">
        <w:trPr>
          <w:trHeight w:val="300"/>
          <w:jc w:val="center"/>
        </w:trPr>
        <w:tc>
          <w:tcPr>
            <w:tcW w:w="3112" w:type="dxa"/>
            <w:tcBorders>
              <w:bottom w:val="single" w:sz="24" w:space="0" w:color="4F81BD" w:themeColor="accent1"/>
            </w:tcBorders>
            <w:shd w:val="clear" w:color="auto" w:fill="C6D9F1" w:themeFill="text2" w:themeFillTint="33"/>
            <w:noWrap/>
            <w:hideMark/>
          </w:tcPr>
          <w:p w:rsidR="00EC43A4" w:rsidRDefault="00DF0069">
            <w:pPr>
              <w:spacing w:line="360" w:lineRule="auto"/>
              <w:rPr>
                <w:rFonts w:ascii="Times New Roman" w:hAnsi="Times New Roman" w:cs="Times New Roman"/>
                <w:sz w:val="20"/>
                <w:szCs w:val="20"/>
              </w:rPr>
            </w:pPr>
            <w:r>
              <w:rPr>
                <w:rFonts w:asciiTheme="majorBidi" w:hAnsiTheme="majorBidi" w:cstheme="majorBidi"/>
                <w:sz w:val="20"/>
                <w:szCs w:val="20"/>
              </w:rPr>
              <w:t xml:space="preserve">     3</w:t>
            </w:r>
            <w:r>
              <w:rPr>
                <w:rFonts w:asciiTheme="majorBidi" w:hAnsiTheme="majorBidi" w:cstheme="majorBidi"/>
                <w:sz w:val="20"/>
                <w:szCs w:val="20"/>
                <w:vertAlign w:val="superscript"/>
              </w:rPr>
              <w:t>rd</w:t>
            </w:r>
            <w:r>
              <w:rPr>
                <w:rFonts w:asciiTheme="majorBidi" w:hAnsiTheme="majorBidi" w:cstheme="majorBidi"/>
                <w:sz w:val="20"/>
                <w:szCs w:val="20"/>
              </w:rPr>
              <w:t xml:space="preserve"> tertile  (Most deprived)</w:t>
            </w:r>
          </w:p>
        </w:tc>
        <w:tc>
          <w:tcPr>
            <w:tcW w:w="707" w:type="dxa"/>
            <w:tcBorders>
              <w:bottom w:val="single" w:sz="24" w:space="0" w:color="4F81BD" w:themeColor="accent1"/>
            </w:tcBorders>
            <w:shd w:val="clear" w:color="auto" w:fill="C6D9F1" w:themeFill="text2" w:themeFillTint="33"/>
          </w:tcPr>
          <w:p w:rsidR="00EC43A4" w:rsidRDefault="00DF0069">
            <w:pPr>
              <w:spacing w:line="360" w:lineRule="auto"/>
              <w:jc w:val="left"/>
              <w:rPr>
                <w:rFonts w:ascii="Times New Roman" w:hAnsi="Times New Roman" w:cs="Times New Roman"/>
                <w:sz w:val="20"/>
                <w:szCs w:val="20"/>
              </w:rPr>
            </w:pPr>
            <w:r>
              <w:rPr>
                <w:rFonts w:asciiTheme="majorBidi" w:hAnsiTheme="majorBidi" w:cstheme="majorBidi"/>
                <w:sz w:val="20"/>
                <w:szCs w:val="20"/>
              </w:rPr>
              <w:t>3701</w:t>
            </w:r>
          </w:p>
        </w:tc>
        <w:tc>
          <w:tcPr>
            <w:tcW w:w="1702" w:type="dxa"/>
            <w:gridSpan w:val="3"/>
            <w:tcBorders>
              <w:bottom w:val="single" w:sz="24" w:space="0" w:color="4F81BD" w:themeColor="accent1"/>
            </w:tcBorders>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38.9 </w:t>
            </w:r>
            <w:r w:rsidR="003A6D64" w:rsidRPr="003A6D64">
              <w:rPr>
                <w:rFonts w:asciiTheme="majorBidi" w:hAnsiTheme="majorBidi" w:cstheme="majorBidi"/>
                <w:sz w:val="20"/>
                <w:szCs w:val="20"/>
              </w:rPr>
              <w:t>(13.6,</w:t>
            </w:r>
            <w:r w:rsidR="003A6D64">
              <w:rPr>
                <w:rFonts w:asciiTheme="majorBidi" w:hAnsiTheme="majorBidi" w:cstheme="majorBidi"/>
                <w:sz w:val="20"/>
                <w:szCs w:val="20"/>
              </w:rPr>
              <w:t xml:space="preserve"> </w:t>
            </w:r>
            <w:r w:rsidR="003A6D64" w:rsidRPr="003A6D64">
              <w:rPr>
                <w:rFonts w:asciiTheme="majorBidi" w:hAnsiTheme="majorBidi" w:cstheme="majorBidi"/>
                <w:sz w:val="20"/>
                <w:szCs w:val="20"/>
              </w:rPr>
              <w:t>64.3)</w:t>
            </w:r>
          </w:p>
        </w:tc>
        <w:tc>
          <w:tcPr>
            <w:tcW w:w="709" w:type="dxa"/>
            <w:tcBorders>
              <w:bottom w:val="single" w:sz="24" w:space="0" w:color="4F81BD" w:themeColor="accent1"/>
            </w:tcBorders>
            <w:shd w:val="clear" w:color="auto" w:fill="C6D9F1" w:themeFill="text2" w:themeFillTint="33"/>
            <w:noWrap/>
            <w:hideMark/>
          </w:tcPr>
          <w:p w:rsidR="00EC43A4" w:rsidRDefault="005618BC">
            <w:pPr>
              <w:spacing w:line="360" w:lineRule="auto"/>
              <w:ind w:left="-100"/>
              <w:jc w:val="left"/>
              <w:rPr>
                <w:rFonts w:asciiTheme="majorBidi" w:hAnsiTheme="majorBidi" w:cstheme="majorBidi"/>
                <w:sz w:val="20"/>
                <w:szCs w:val="20"/>
              </w:rPr>
            </w:pPr>
            <w:r w:rsidRPr="005618BC">
              <w:rPr>
                <w:rFonts w:asciiTheme="majorBidi" w:hAnsiTheme="majorBidi" w:cstheme="majorBidi"/>
                <w:sz w:val="20"/>
                <w:szCs w:val="20"/>
              </w:rPr>
              <w:t>0.003</w:t>
            </w:r>
          </w:p>
        </w:tc>
        <w:tc>
          <w:tcPr>
            <w:tcW w:w="1705" w:type="dxa"/>
            <w:gridSpan w:val="3"/>
            <w:tcBorders>
              <w:bottom w:val="single" w:sz="24" w:space="0" w:color="4F81BD" w:themeColor="accent1"/>
            </w:tcBorders>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38.1 (</w:t>
            </w:r>
            <w:r w:rsidR="00E60DF5">
              <w:rPr>
                <w:rFonts w:asciiTheme="majorBidi" w:hAnsiTheme="majorBidi" w:cstheme="majorBidi"/>
                <w:sz w:val="20"/>
                <w:szCs w:val="20"/>
              </w:rPr>
              <w:t>11.7</w:t>
            </w:r>
            <w:r w:rsidRPr="005618BC">
              <w:rPr>
                <w:rFonts w:asciiTheme="majorBidi" w:hAnsiTheme="majorBidi" w:cstheme="majorBidi"/>
                <w:sz w:val="20"/>
                <w:szCs w:val="20"/>
              </w:rPr>
              <w:t>, 64.</w:t>
            </w:r>
            <w:r w:rsidR="00E60DF5">
              <w:rPr>
                <w:rFonts w:asciiTheme="majorBidi" w:hAnsiTheme="majorBidi" w:cstheme="majorBidi"/>
                <w:sz w:val="20"/>
                <w:szCs w:val="20"/>
              </w:rPr>
              <w:t>4</w:t>
            </w:r>
            <w:r w:rsidRPr="005618BC">
              <w:rPr>
                <w:rFonts w:asciiTheme="majorBidi" w:hAnsiTheme="majorBidi" w:cstheme="majorBidi"/>
                <w:sz w:val="20"/>
                <w:szCs w:val="20"/>
              </w:rPr>
              <w:t>)</w:t>
            </w:r>
          </w:p>
        </w:tc>
        <w:tc>
          <w:tcPr>
            <w:tcW w:w="709" w:type="dxa"/>
            <w:tcBorders>
              <w:bottom w:val="single" w:sz="24" w:space="0" w:color="4F81BD" w:themeColor="accent1"/>
            </w:tcBorders>
            <w:shd w:val="clear" w:color="auto" w:fill="C6D9F1" w:themeFill="text2" w:themeFillTint="33"/>
            <w:noWrap/>
            <w:hideMark/>
          </w:tcPr>
          <w:p w:rsidR="00EC43A4" w:rsidRDefault="005618BC">
            <w:pPr>
              <w:spacing w:line="360" w:lineRule="auto"/>
              <w:ind w:left="-104"/>
              <w:jc w:val="left"/>
              <w:rPr>
                <w:rFonts w:asciiTheme="majorBidi" w:hAnsiTheme="majorBidi" w:cstheme="majorBidi"/>
                <w:sz w:val="20"/>
                <w:szCs w:val="20"/>
              </w:rPr>
            </w:pPr>
            <w:r w:rsidRPr="005618BC">
              <w:rPr>
                <w:rFonts w:asciiTheme="majorBidi" w:hAnsiTheme="majorBidi" w:cstheme="majorBidi"/>
                <w:sz w:val="20"/>
                <w:szCs w:val="20"/>
              </w:rPr>
              <w:t>0.005</w:t>
            </w:r>
          </w:p>
        </w:tc>
        <w:tc>
          <w:tcPr>
            <w:tcW w:w="1703" w:type="dxa"/>
            <w:gridSpan w:val="3"/>
            <w:tcBorders>
              <w:bottom w:val="single" w:sz="24" w:space="0" w:color="4F81BD" w:themeColor="accent1"/>
            </w:tcBorders>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 xml:space="preserve">35.8 </w:t>
            </w:r>
            <w:r w:rsidR="00E60DF5" w:rsidRPr="00E60DF5">
              <w:rPr>
                <w:rFonts w:asciiTheme="majorBidi" w:hAnsiTheme="majorBidi" w:cstheme="majorBidi"/>
                <w:sz w:val="20"/>
                <w:szCs w:val="20"/>
              </w:rPr>
              <w:t>(9.9,</w:t>
            </w:r>
            <w:r w:rsidR="00E60DF5">
              <w:rPr>
                <w:rFonts w:asciiTheme="majorBidi" w:hAnsiTheme="majorBidi" w:cstheme="majorBidi"/>
                <w:sz w:val="20"/>
                <w:szCs w:val="20"/>
              </w:rPr>
              <w:t xml:space="preserve"> </w:t>
            </w:r>
            <w:r w:rsidR="00E60DF5" w:rsidRPr="00E60DF5">
              <w:rPr>
                <w:rFonts w:asciiTheme="majorBidi" w:hAnsiTheme="majorBidi" w:cstheme="majorBidi"/>
                <w:sz w:val="20"/>
                <w:szCs w:val="20"/>
              </w:rPr>
              <w:t>61.7)</w:t>
            </w:r>
          </w:p>
        </w:tc>
        <w:tc>
          <w:tcPr>
            <w:tcW w:w="709" w:type="dxa"/>
            <w:tcBorders>
              <w:bottom w:val="single" w:sz="24" w:space="0" w:color="4F81BD" w:themeColor="accent1"/>
            </w:tcBorders>
            <w:shd w:val="clear" w:color="auto" w:fill="C6D9F1" w:themeFill="text2" w:themeFillTint="33"/>
            <w:noWrap/>
            <w:hideMark/>
          </w:tcPr>
          <w:p w:rsidR="00EC43A4" w:rsidRDefault="005618BC" w:rsidP="00E60DF5">
            <w:pPr>
              <w:spacing w:line="360" w:lineRule="auto"/>
              <w:ind w:left="-106"/>
              <w:jc w:val="left"/>
              <w:rPr>
                <w:rFonts w:asciiTheme="majorBidi" w:hAnsiTheme="majorBidi" w:cstheme="majorBidi"/>
                <w:sz w:val="20"/>
                <w:szCs w:val="20"/>
              </w:rPr>
            </w:pPr>
            <w:r w:rsidRPr="005618BC">
              <w:rPr>
                <w:rFonts w:asciiTheme="majorBidi" w:hAnsiTheme="majorBidi" w:cstheme="majorBidi"/>
                <w:sz w:val="20"/>
                <w:szCs w:val="20"/>
              </w:rPr>
              <w:t>0.00</w:t>
            </w:r>
            <w:r w:rsidR="00E60DF5">
              <w:rPr>
                <w:rFonts w:asciiTheme="majorBidi" w:hAnsiTheme="majorBidi" w:cstheme="majorBidi"/>
                <w:sz w:val="20"/>
                <w:szCs w:val="20"/>
              </w:rPr>
              <w:t>7</w:t>
            </w:r>
          </w:p>
        </w:tc>
        <w:tc>
          <w:tcPr>
            <w:tcW w:w="1703" w:type="dxa"/>
            <w:gridSpan w:val="3"/>
            <w:tcBorders>
              <w:bottom w:val="single" w:sz="24" w:space="0" w:color="4F81BD" w:themeColor="accent1"/>
            </w:tcBorders>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39.7 (13.</w:t>
            </w:r>
            <w:r w:rsidR="00151FF2">
              <w:rPr>
                <w:rFonts w:asciiTheme="majorBidi" w:hAnsiTheme="majorBidi" w:cstheme="majorBidi"/>
                <w:sz w:val="20"/>
                <w:szCs w:val="20"/>
              </w:rPr>
              <w:t>8</w:t>
            </w:r>
            <w:r w:rsidRPr="005618BC">
              <w:rPr>
                <w:rFonts w:asciiTheme="majorBidi" w:hAnsiTheme="majorBidi" w:cstheme="majorBidi"/>
                <w:sz w:val="20"/>
                <w:szCs w:val="20"/>
              </w:rPr>
              <w:t>, 65.</w:t>
            </w:r>
            <w:r w:rsidR="00151FF2">
              <w:rPr>
                <w:rFonts w:asciiTheme="majorBidi" w:hAnsiTheme="majorBidi" w:cstheme="majorBidi"/>
                <w:sz w:val="20"/>
                <w:szCs w:val="20"/>
              </w:rPr>
              <w:t>5</w:t>
            </w:r>
            <w:r w:rsidRPr="005618BC">
              <w:rPr>
                <w:rFonts w:asciiTheme="majorBidi" w:hAnsiTheme="majorBidi" w:cstheme="majorBidi"/>
                <w:sz w:val="20"/>
                <w:szCs w:val="20"/>
              </w:rPr>
              <w:t>)</w:t>
            </w:r>
          </w:p>
        </w:tc>
        <w:tc>
          <w:tcPr>
            <w:tcW w:w="708" w:type="dxa"/>
            <w:tcBorders>
              <w:bottom w:val="single" w:sz="24" w:space="0" w:color="4F81BD" w:themeColor="accent1"/>
            </w:tcBorders>
            <w:shd w:val="clear" w:color="auto" w:fill="C6D9F1" w:themeFill="text2" w:themeFillTint="33"/>
            <w:noWrap/>
            <w:hideMark/>
          </w:tcPr>
          <w:p w:rsidR="00EC43A4" w:rsidRDefault="005618BC">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0.003</w:t>
            </w:r>
          </w:p>
        </w:tc>
        <w:tc>
          <w:tcPr>
            <w:tcW w:w="1701" w:type="dxa"/>
            <w:gridSpan w:val="2"/>
            <w:tcBorders>
              <w:bottom w:val="single" w:sz="24" w:space="0" w:color="4F81BD" w:themeColor="accent1"/>
            </w:tcBorders>
            <w:shd w:val="clear" w:color="auto" w:fill="C6D9F1" w:themeFill="text2" w:themeFillTint="33"/>
            <w:noWrap/>
            <w:hideMark/>
          </w:tcPr>
          <w:p w:rsidR="00EC43A4" w:rsidRDefault="005618BC">
            <w:pPr>
              <w:spacing w:line="360" w:lineRule="auto"/>
              <w:jc w:val="center"/>
              <w:rPr>
                <w:rFonts w:asciiTheme="majorBidi" w:hAnsiTheme="majorBidi" w:cstheme="majorBidi"/>
                <w:sz w:val="20"/>
                <w:szCs w:val="20"/>
              </w:rPr>
            </w:pPr>
            <w:r w:rsidRPr="005618BC">
              <w:rPr>
                <w:rFonts w:asciiTheme="majorBidi" w:hAnsiTheme="majorBidi" w:cstheme="majorBidi"/>
                <w:sz w:val="20"/>
                <w:szCs w:val="20"/>
              </w:rPr>
              <w:t>37.2 (11.</w:t>
            </w:r>
            <w:r w:rsidR="00C852FB">
              <w:rPr>
                <w:rFonts w:asciiTheme="majorBidi" w:hAnsiTheme="majorBidi" w:cstheme="majorBidi"/>
                <w:sz w:val="20"/>
                <w:szCs w:val="20"/>
              </w:rPr>
              <w:t>6</w:t>
            </w:r>
            <w:r w:rsidRPr="005618BC">
              <w:rPr>
                <w:rFonts w:asciiTheme="majorBidi" w:hAnsiTheme="majorBidi" w:cstheme="majorBidi"/>
                <w:sz w:val="20"/>
                <w:szCs w:val="20"/>
              </w:rPr>
              <w:t>, 62.</w:t>
            </w:r>
            <w:r w:rsidR="00C852FB">
              <w:rPr>
                <w:rFonts w:asciiTheme="majorBidi" w:hAnsiTheme="majorBidi" w:cstheme="majorBidi"/>
                <w:sz w:val="20"/>
                <w:szCs w:val="20"/>
              </w:rPr>
              <w:t>7</w:t>
            </w:r>
            <w:r w:rsidRPr="005618BC">
              <w:rPr>
                <w:rFonts w:asciiTheme="majorBidi" w:hAnsiTheme="majorBidi" w:cstheme="majorBidi"/>
                <w:sz w:val="20"/>
                <w:szCs w:val="20"/>
              </w:rPr>
              <w:t>)</w:t>
            </w:r>
          </w:p>
        </w:tc>
        <w:tc>
          <w:tcPr>
            <w:tcW w:w="709" w:type="dxa"/>
            <w:tcBorders>
              <w:bottom w:val="single" w:sz="24" w:space="0" w:color="4F81BD" w:themeColor="accent1"/>
            </w:tcBorders>
            <w:shd w:val="clear" w:color="auto" w:fill="C6D9F1" w:themeFill="text2" w:themeFillTint="33"/>
            <w:noWrap/>
            <w:hideMark/>
          </w:tcPr>
          <w:p w:rsidR="00EC43A4" w:rsidRDefault="005618BC" w:rsidP="00C852FB">
            <w:pPr>
              <w:spacing w:line="360" w:lineRule="auto"/>
              <w:ind w:left="-108"/>
              <w:jc w:val="left"/>
              <w:rPr>
                <w:rFonts w:asciiTheme="majorBidi" w:hAnsiTheme="majorBidi" w:cstheme="majorBidi"/>
                <w:sz w:val="20"/>
                <w:szCs w:val="20"/>
              </w:rPr>
            </w:pPr>
            <w:r w:rsidRPr="005618BC">
              <w:rPr>
                <w:rFonts w:asciiTheme="majorBidi" w:hAnsiTheme="majorBidi" w:cstheme="majorBidi"/>
                <w:sz w:val="20"/>
                <w:szCs w:val="20"/>
              </w:rPr>
              <w:t>0.00</w:t>
            </w:r>
            <w:r w:rsidR="00C852FB">
              <w:rPr>
                <w:rFonts w:asciiTheme="majorBidi" w:hAnsiTheme="majorBidi" w:cstheme="majorBidi"/>
                <w:sz w:val="20"/>
                <w:szCs w:val="20"/>
              </w:rPr>
              <w:t>4</w:t>
            </w:r>
          </w:p>
        </w:tc>
      </w:tr>
    </w:tbl>
    <w:p w:rsidR="005B2034" w:rsidRDefault="005B2034">
      <w:pPr>
        <w:spacing w:after="0" w:line="360" w:lineRule="auto"/>
        <w:rPr>
          <w:rFonts w:ascii="Times New Roman" w:hAnsi="Times New Roman" w:cs="Times New Roman"/>
        </w:rPr>
      </w:pPr>
    </w:p>
    <w:p w:rsidR="00E44D65" w:rsidRDefault="00E44D65" w:rsidP="00B75367">
      <w:pPr>
        <w:spacing w:after="0" w:line="360" w:lineRule="auto"/>
        <w:rPr>
          <w:rFonts w:ascii="Times New Roman" w:hAnsi="Times New Roman" w:cs="Times New Roman"/>
        </w:rPr>
      </w:pPr>
      <w:r>
        <w:rPr>
          <w:rFonts w:ascii="Times New Roman" w:hAnsi="Times New Roman" w:cs="Times New Roman"/>
          <w:vertAlign w:val="superscript"/>
        </w:rPr>
        <w:lastRenderedPageBreak/>
        <w:t xml:space="preserve">           </w:t>
      </w:r>
      <w:r w:rsidRPr="00E44D65">
        <w:rPr>
          <w:rFonts w:ascii="Times New Roman" w:hAnsi="Times New Roman" w:cs="Times New Roman"/>
          <w:vertAlign w:val="superscript"/>
        </w:rPr>
        <w:t>a</w:t>
      </w:r>
      <w:r>
        <w:rPr>
          <w:rFonts w:ascii="Times New Roman" w:hAnsi="Times New Roman" w:cs="Times New Roman"/>
        </w:rPr>
        <w:t xml:space="preserve"> </w:t>
      </w:r>
      <w:r w:rsidR="00B75367">
        <w:rPr>
          <w:rFonts w:ascii="Times New Roman" w:hAnsi="Times New Roman" w:cs="Times New Roman"/>
          <w:sz w:val="20"/>
        </w:rPr>
        <w:t>0.176 for 50 m buffer,</w:t>
      </w:r>
      <w:r w:rsidR="00B75367" w:rsidRPr="003D3DED">
        <w:rPr>
          <w:rFonts w:ascii="Times New Roman" w:hAnsi="Times New Roman" w:cs="Times New Roman"/>
          <w:sz w:val="20"/>
        </w:rPr>
        <w:t xml:space="preserve"> 0.166 for 10</w:t>
      </w:r>
      <w:r w:rsidR="00B75367">
        <w:rPr>
          <w:rFonts w:ascii="Times New Roman" w:hAnsi="Times New Roman" w:cs="Times New Roman"/>
          <w:sz w:val="20"/>
        </w:rPr>
        <w:t>0 m</w:t>
      </w:r>
      <w:r w:rsidR="00B75367" w:rsidRPr="003D3DED">
        <w:rPr>
          <w:rFonts w:ascii="Times New Roman" w:hAnsi="Times New Roman" w:cs="Times New Roman"/>
          <w:sz w:val="20"/>
        </w:rPr>
        <w:t xml:space="preserve"> buffer, 0.1</w:t>
      </w:r>
      <w:r w:rsidR="00B75367">
        <w:rPr>
          <w:rFonts w:ascii="Times New Roman" w:hAnsi="Times New Roman" w:cs="Times New Roman"/>
          <w:sz w:val="20"/>
        </w:rPr>
        <w:t>50</w:t>
      </w:r>
      <w:r w:rsidR="00B75367" w:rsidRPr="003D3DED">
        <w:rPr>
          <w:rFonts w:ascii="Times New Roman" w:hAnsi="Times New Roman" w:cs="Times New Roman"/>
          <w:sz w:val="20"/>
        </w:rPr>
        <w:t xml:space="preserve"> for 25</w:t>
      </w:r>
      <w:r w:rsidR="00B75367">
        <w:rPr>
          <w:rFonts w:ascii="Times New Roman" w:hAnsi="Times New Roman" w:cs="Times New Roman"/>
          <w:sz w:val="20"/>
        </w:rPr>
        <w:t>0 m</w:t>
      </w:r>
      <w:r w:rsidR="00B75367" w:rsidRPr="003D3DED">
        <w:rPr>
          <w:rFonts w:ascii="Times New Roman" w:hAnsi="Times New Roman" w:cs="Times New Roman"/>
          <w:sz w:val="20"/>
        </w:rPr>
        <w:t xml:space="preserve"> buffer, 0.14</w:t>
      </w:r>
      <w:r w:rsidR="00B75367">
        <w:rPr>
          <w:rFonts w:ascii="Times New Roman" w:hAnsi="Times New Roman" w:cs="Times New Roman"/>
          <w:sz w:val="20"/>
        </w:rPr>
        <w:t>2</w:t>
      </w:r>
      <w:r w:rsidR="00B75367" w:rsidRPr="003D3DED">
        <w:rPr>
          <w:rFonts w:ascii="Times New Roman" w:hAnsi="Times New Roman" w:cs="Times New Roman"/>
          <w:sz w:val="20"/>
        </w:rPr>
        <w:t xml:space="preserve"> for 50</w:t>
      </w:r>
      <w:r w:rsidR="00B75367">
        <w:rPr>
          <w:rFonts w:ascii="Times New Roman" w:hAnsi="Times New Roman" w:cs="Times New Roman"/>
          <w:sz w:val="20"/>
        </w:rPr>
        <w:t>0 m</w:t>
      </w:r>
      <w:r w:rsidR="00B75367" w:rsidRPr="003D3DED">
        <w:rPr>
          <w:rFonts w:ascii="Times New Roman" w:hAnsi="Times New Roman" w:cs="Times New Roman"/>
          <w:sz w:val="20"/>
        </w:rPr>
        <w:t xml:space="preserve"> buffer</w:t>
      </w:r>
      <w:r w:rsidR="00B75367">
        <w:rPr>
          <w:rFonts w:ascii="Times New Roman" w:hAnsi="Times New Roman" w:cs="Times New Roman"/>
          <w:sz w:val="20"/>
        </w:rPr>
        <w:t>, and 0.127 for 1000m buffer</w:t>
      </w:r>
      <w:r w:rsidR="00B75367" w:rsidRPr="003D3DED">
        <w:rPr>
          <w:rFonts w:ascii="Times New Roman" w:hAnsi="Times New Roman" w:cs="Times New Roman"/>
          <w:sz w:val="20"/>
        </w:rPr>
        <w:t>.</w:t>
      </w:r>
      <w:r>
        <w:rPr>
          <w:rFonts w:ascii="Times New Roman" w:hAnsi="Times New Roman" w:cs="Times New Roman"/>
        </w:rPr>
        <w:tab/>
      </w:r>
    </w:p>
    <w:p w:rsidR="0078358F" w:rsidRDefault="00E44D65">
      <w:pPr>
        <w:pStyle w:val="ListParagraph"/>
        <w:spacing w:after="0" w:line="360" w:lineRule="auto"/>
        <w:ind w:left="567" w:hanging="141"/>
        <w:rPr>
          <w:rFonts w:ascii="Times New Roman" w:hAnsi="Times New Roman" w:cs="Times New Roman"/>
          <w:sz w:val="20"/>
        </w:rPr>
      </w:pPr>
      <w:r w:rsidRPr="00E44D65">
        <w:rPr>
          <w:rFonts w:ascii="Times New Roman" w:hAnsi="Times New Roman" w:cs="Times New Roman"/>
          <w:sz w:val="20"/>
          <w:vertAlign w:val="superscript"/>
        </w:rPr>
        <w:t>b</w:t>
      </w:r>
      <w:r w:rsidR="003D3DED" w:rsidRPr="003D3DED">
        <w:rPr>
          <w:rFonts w:ascii="Times New Roman" w:hAnsi="Times New Roman" w:cs="Times New Roman"/>
        </w:rPr>
        <w:t xml:space="preserve"> </w:t>
      </w:r>
      <w:r w:rsidR="003D3DED" w:rsidRPr="003D3DED">
        <w:rPr>
          <w:rFonts w:ascii="Times New Roman" w:hAnsi="Times New Roman" w:cs="Times New Roman"/>
          <w:sz w:val="20"/>
        </w:rPr>
        <w:t>Adjusted for gestational age at delivery, maternal age, body mass index, tobacco smoking during pregnancy, exposure to environmental tobacco smoke during pregnancy, parity, alcohol consumption during pregnancy, parity, conception year, conception season, maternal education, and neighbourhood IMD.</w:t>
      </w:r>
    </w:p>
    <w:p w:rsidR="0078358F" w:rsidRDefault="0078358F">
      <w:pPr>
        <w:pStyle w:val="ListParagraph"/>
        <w:spacing w:after="0" w:line="360" w:lineRule="auto"/>
        <w:ind w:left="567" w:hanging="141"/>
        <w:rPr>
          <w:rFonts w:ascii="Times New Roman" w:hAnsi="Times New Roman" w:cs="Times New Roman"/>
          <w:sz w:val="20"/>
        </w:rPr>
      </w:pPr>
    </w:p>
    <w:p w:rsidR="0078358F" w:rsidRDefault="00E44D65">
      <w:pPr>
        <w:pStyle w:val="ListParagraph"/>
        <w:spacing w:after="0" w:line="360" w:lineRule="auto"/>
        <w:ind w:left="567" w:hanging="141"/>
        <w:rPr>
          <w:rFonts w:ascii="Times New Roman" w:hAnsi="Times New Roman" w:cs="Times New Roman"/>
          <w:sz w:val="20"/>
        </w:rPr>
      </w:pPr>
      <w:r w:rsidRPr="00E44D65">
        <w:rPr>
          <w:rFonts w:ascii="Times New Roman" w:hAnsi="Times New Roman" w:cs="Times New Roman"/>
          <w:sz w:val="20"/>
          <w:vertAlign w:val="superscript"/>
        </w:rPr>
        <w:t>c</w:t>
      </w:r>
      <w:r w:rsidR="003D3DED" w:rsidRPr="003D3DED">
        <w:rPr>
          <w:rFonts w:ascii="Times New Roman" w:hAnsi="Times New Roman" w:cs="Times New Roman"/>
          <w:sz w:val="20"/>
        </w:rPr>
        <w:t xml:space="preserve"> Adjusted for gestational age at delivery, maternal age, body mass index, tobacco smoking during pregnancy, exposure to environmental tobacco smoke during pregnancy, parity, alcohol consumption during pregnancy, parity, conception year, conception season, maternal ethnicity, and neighbourhood IMD.</w:t>
      </w:r>
    </w:p>
    <w:p w:rsidR="0078358F" w:rsidRDefault="0078358F">
      <w:pPr>
        <w:pStyle w:val="ListParagraph"/>
        <w:spacing w:after="0" w:line="360" w:lineRule="auto"/>
        <w:ind w:left="567" w:hanging="141"/>
        <w:rPr>
          <w:rFonts w:ascii="Times New Roman" w:hAnsi="Times New Roman" w:cs="Times New Roman"/>
          <w:sz w:val="20"/>
        </w:rPr>
      </w:pPr>
    </w:p>
    <w:p w:rsidR="0078358F" w:rsidRPr="00EB004E" w:rsidRDefault="00E44D65" w:rsidP="00EB004E">
      <w:pPr>
        <w:pStyle w:val="ListParagraph"/>
        <w:spacing w:after="0" w:line="360" w:lineRule="auto"/>
        <w:ind w:left="567" w:hanging="141"/>
        <w:rPr>
          <w:rFonts w:ascii="Times New Roman" w:hAnsi="Times New Roman" w:cs="Times New Roman"/>
          <w:sz w:val="20"/>
        </w:rPr>
      </w:pPr>
      <w:r w:rsidRPr="00E44D65">
        <w:rPr>
          <w:rFonts w:ascii="Times New Roman" w:hAnsi="Times New Roman" w:cs="Times New Roman"/>
          <w:sz w:val="20"/>
          <w:vertAlign w:val="superscript"/>
        </w:rPr>
        <w:t>d</w:t>
      </w:r>
      <w:r w:rsidR="003D3DED" w:rsidRPr="003D3DED">
        <w:rPr>
          <w:rFonts w:ascii="Times New Roman" w:hAnsi="Times New Roman" w:cs="Times New Roman"/>
          <w:sz w:val="20"/>
        </w:rPr>
        <w:t xml:space="preserve"> Adjusted for gestational age at delivery, maternal age, body mass index, tobacco smoking during pregnancy, exposure to environmental tobacco smoke during pregnancy, parity, alcohol consumption during pregnancy, parity, conception year, conception season, maternal education, and ethnicity.</w:t>
      </w:r>
    </w:p>
    <w:sectPr w:rsidR="0078358F" w:rsidRPr="00EB004E" w:rsidSect="005E0ABD">
      <w:footerReference w:type="default" r:id="rId22"/>
      <w:pgSz w:w="16838" w:h="11906" w:orient="landscape"/>
      <w:pgMar w:top="1701" w:right="1417" w:bottom="1701" w:left="1417"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C2" w:rsidRPr="00ED1B13" w:rsidRDefault="00D43AC2" w:rsidP="00173667">
      <w:pPr>
        <w:spacing w:after="0" w:line="240" w:lineRule="auto"/>
        <w:rPr>
          <w:rFonts w:cs="Times New Roman"/>
        </w:rPr>
      </w:pPr>
      <w:r>
        <w:separator/>
      </w:r>
    </w:p>
  </w:endnote>
  <w:endnote w:type="continuationSeparator" w:id="0">
    <w:p w:rsidR="00D43AC2" w:rsidRPr="00ED1B13" w:rsidRDefault="00D43AC2" w:rsidP="00173667">
      <w:pPr>
        <w:spacing w:after="0" w:line="240" w:lineRule="auto"/>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54850"/>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1</w:t>
        </w:r>
        <w:r>
          <w:rPr>
            <w:noProof/>
          </w:rPr>
          <w:fldChar w:fldCharType="end"/>
        </w:r>
      </w:p>
    </w:sdtContent>
  </w:sdt>
  <w:p w:rsidR="006C6EDD" w:rsidRDefault="006C6E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201650"/>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3</w:t>
        </w:r>
        <w:r>
          <w:rPr>
            <w:noProof/>
          </w:rPr>
          <w:fldChar w:fldCharType="end"/>
        </w:r>
      </w:p>
    </w:sdtContent>
  </w:sdt>
  <w:p w:rsidR="006C6EDD" w:rsidRDefault="006C6E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475096"/>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21</w:t>
        </w:r>
        <w:r>
          <w:rPr>
            <w:noProof/>
          </w:rPr>
          <w:fldChar w:fldCharType="end"/>
        </w:r>
      </w:p>
    </w:sdtContent>
  </w:sdt>
  <w:p w:rsidR="006C6EDD" w:rsidRDefault="006C6ED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1581"/>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28</w:t>
        </w:r>
        <w:r>
          <w:rPr>
            <w:noProof/>
          </w:rPr>
          <w:fldChar w:fldCharType="end"/>
        </w:r>
      </w:p>
    </w:sdtContent>
  </w:sdt>
  <w:p w:rsidR="006C6EDD" w:rsidRDefault="006C6EDD">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9227"/>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30</w:t>
        </w:r>
        <w:r>
          <w:rPr>
            <w:noProof/>
          </w:rPr>
          <w:fldChar w:fldCharType="end"/>
        </w:r>
      </w:p>
    </w:sdtContent>
  </w:sdt>
  <w:p w:rsidR="006C6EDD" w:rsidRDefault="006C6ED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279018"/>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31</w:t>
        </w:r>
        <w:r>
          <w:rPr>
            <w:noProof/>
          </w:rPr>
          <w:fldChar w:fldCharType="end"/>
        </w:r>
      </w:p>
    </w:sdtContent>
  </w:sdt>
  <w:p w:rsidR="006C6EDD" w:rsidRDefault="006C6ED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01103"/>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32</w:t>
        </w:r>
        <w:r>
          <w:rPr>
            <w:noProof/>
          </w:rPr>
          <w:fldChar w:fldCharType="end"/>
        </w:r>
      </w:p>
    </w:sdtContent>
  </w:sdt>
  <w:p w:rsidR="006C6EDD" w:rsidRDefault="006C6EDD">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609443"/>
      <w:docPartObj>
        <w:docPartGallery w:val="Page Numbers (Bottom of Page)"/>
        <w:docPartUnique/>
      </w:docPartObj>
    </w:sdtPr>
    <w:sdtEndPr/>
    <w:sdtContent>
      <w:p w:rsidR="006C6EDD" w:rsidRDefault="00D43AC2">
        <w:pPr>
          <w:pStyle w:val="Footer"/>
          <w:jc w:val="right"/>
        </w:pPr>
        <w:r>
          <w:fldChar w:fldCharType="begin"/>
        </w:r>
        <w:r>
          <w:instrText xml:space="preserve"> PAGE   \* MERGEFORMAT </w:instrText>
        </w:r>
        <w:r>
          <w:fldChar w:fldCharType="separate"/>
        </w:r>
        <w:r w:rsidR="00B71088">
          <w:rPr>
            <w:noProof/>
          </w:rPr>
          <w:t>34</w:t>
        </w:r>
        <w:r>
          <w:rPr>
            <w:noProof/>
          </w:rPr>
          <w:fldChar w:fldCharType="end"/>
        </w:r>
      </w:p>
    </w:sdtContent>
  </w:sdt>
  <w:p w:rsidR="006C6EDD" w:rsidRDefault="006C6E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C2" w:rsidRPr="00ED1B13" w:rsidRDefault="00D43AC2" w:rsidP="00173667">
      <w:pPr>
        <w:spacing w:after="0" w:line="240" w:lineRule="auto"/>
        <w:rPr>
          <w:rFonts w:cs="Times New Roman"/>
        </w:rPr>
      </w:pPr>
      <w:r>
        <w:separator/>
      </w:r>
    </w:p>
  </w:footnote>
  <w:footnote w:type="continuationSeparator" w:id="0">
    <w:p w:rsidR="00D43AC2" w:rsidRPr="00ED1B13" w:rsidRDefault="00D43AC2" w:rsidP="00173667">
      <w:pPr>
        <w:spacing w:after="0" w:line="240" w:lineRule="auto"/>
        <w:rPr>
          <w:rFonts w:cs="Times New Roman"/>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A5B69"/>
    <w:multiLevelType w:val="hybridMultilevel"/>
    <w:tmpl w:val="07DC03FC"/>
    <w:lvl w:ilvl="0" w:tplc="05969C0C">
      <w:start w:val="1"/>
      <w:numFmt w:val="decimal"/>
      <w:lvlText w:val="%1."/>
      <w:lvlJc w:val="left"/>
      <w:pPr>
        <w:ind w:left="720" w:hanging="360"/>
      </w:pPr>
    </w:lvl>
    <w:lvl w:ilvl="1" w:tplc="DF345DD6">
      <w:start w:val="1"/>
      <w:numFmt w:val="lowerLetter"/>
      <w:lvlText w:val="%2."/>
      <w:lvlJc w:val="left"/>
      <w:pPr>
        <w:ind w:left="1440" w:hanging="360"/>
      </w:pPr>
    </w:lvl>
    <w:lvl w:ilvl="2" w:tplc="6CA8E076">
      <w:start w:val="1"/>
      <w:numFmt w:val="lowerRoman"/>
      <w:lvlText w:val="%3."/>
      <w:lvlJc w:val="right"/>
      <w:pPr>
        <w:ind w:left="2160" w:hanging="180"/>
      </w:pPr>
    </w:lvl>
    <w:lvl w:ilvl="3" w:tplc="9164522E">
      <w:start w:val="1"/>
      <w:numFmt w:val="decimal"/>
      <w:lvlText w:val="%4."/>
      <w:lvlJc w:val="left"/>
      <w:pPr>
        <w:ind w:left="2880" w:hanging="360"/>
      </w:pPr>
    </w:lvl>
    <w:lvl w:ilvl="4" w:tplc="25AEF2A6">
      <w:start w:val="1"/>
      <w:numFmt w:val="lowerLetter"/>
      <w:lvlText w:val="%5."/>
      <w:lvlJc w:val="left"/>
      <w:pPr>
        <w:ind w:left="3600" w:hanging="360"/>
      </w:pPr>
    </w:lvl>
    <w:lvl w:ilvl="5" w:tplc="4F886B8A">
      <w:start w:val="1"/>
      <w:numFmt w:val="lowerRoman"/>
      <w:lvlText w:val="%6."/>
      <w:lvlJc w:val="right"/>
      <w:pPr>
        <w:ind w:left="4320" w:hanging="180"/>
      </w:pPr>
    </w:lvl>
    <w:lvl w:ilvl="6" w:tplc="2BE41322">
      <w:start w:val="1"/>
      <w:numFmt w:val="decimal"/>
      <w:lvlText w:val="%7."/>
      <w:lvlJc w:val="left"/>
      <w:pPr>
        <w:ind w:left="5040" w:hanging="360"/>
      </w:pPr>
    </w:lvl>
    <w:lvl w:ilvl="7" w:tplc="78640C72">
      <w:start w:val="1"/>
      <w:numFmt w:val="lowerLetter"/>
      <w:lvlText w:val="%8."/>
      <w:lvlJc w:val="left"/>
      <w:pPr>
        <w:ind w:left="5760" w:hanging="360"/>
      </w:pPr>
    </w:lvl>
    <w:lvl w:ilvl="8" w:tplc="DB48186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ENInstantFormat&gt;"/>
    <w:docVar w:name="EN.Layout" w:val="&lt;ENLayout&gt;&lt;Style&gt;Environment Int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1&lt;/SpaceAfter&gt;&lt;/ENLayout&gt;"/>
    <w:docVar w:name="EN.Libraries" w:val="&lt;ENLibraries&gt;&lt;Libraries&gt;&lt;item&gt;SuperLib.enl&lt;/item&gt;&lt;/Libraries&gt;&lt;/ENLibraries&gt;"/>
  </w:docVars>
  <w:rsids>
    <w:rsidRoot w:val="00BA6DE6"/>
    <w:rsid w:val="00000E52"/>
    <w:rsid w:val="000021F5"/>
    <w:rsid w:val="00004117"/>
    <w:rsid w:val="00005248"/>
    <w:rsid w:val="00006429"/>
    <w:rsid w:val="000068BF"/>
    <w:rsid w:val="00007689"/>
    <w:rsid w:val="000078EB"/>
    <w:rsid w:val="00011DBF"/>
    <w:rsid w:val="00013E9B"/>
    <w:rsid w:val="0001604F"/>
    <w:rsid w:val="00017AAE"/>
    <w:rsid w:val="0002015D"/>
    <w:rsid w:val="000202B7"/>
    <w:rsid w:val="0002161D"/>
    <w:rsid w:val="0002209F"/>
    <w:rsid w:val="000235A9"/>
    <w:rsid w:val="0003144E"/>
    <w:rsid w:val="0003226A"/>
    <w:rsid w:val="000354DC"/>
    <w:rsid w:val="000370D8"/>
    <w:rsid w:val="00037FBF"/>
    <w:rsid w:val="0004005E"/>
    <w:rsid w:val="00040B61"/>
    <w:rsid w:val="000413F2"/>
    <w:rsid w:val="00043BDA"/>
    <w:rsid w:val="000471B0"/>
    <w:rsid w:val="0004756A"/>
    <w:rsid w:val="00050D41"/>
    <w:rsid w:val="0005336A"/>
    <w:rsid w:val="000542F5"/>
    <w:rsid w:val="00057004"/>
    <w:rsid w:val="000616A4"/>
    <w:rsid w:val="00063249"/>
    <w:rsid w:val="00063335"/>
    <w:rsid w:val="000642C9"/>
    <w:rsid w:val="000653D0"/>
    <w:rsid w:val="00066A2C"/>
    <w:rsid w:val="0006755F"/>
    <w:rsid w:val="00070D6E"/>
    <w:rsid w:val="0007236E"/>
    <w:rsid w:val="00073B3B"/>
    <w:rsid w:val="000759DF"/>
    <w:rsid w:val="000779A0"/>
    <w:rsid w:val="00077F13"/>
    <w:rsid w:val="00082D95"/>
    <w:rsid w:val="00082E31"/>
    <w:rsid w:val="000860A8"/>
    <w:rsid w:val="00087E5E"/>
    <w:rsid w:val="000952FB"/>
    <w:rsid w:val="000A4385"/>
    <w:rsid w:val="000B1F29"/>
    <w:rsid w:val="000B24D4"/>
    <w:rsid w:val="000B448B"/>
    <w:rsid w:val="000B493B"/>
    <w:rsid w:val="000B6175"/>
    <w:rsid w:val="000B7E4B"/>
    <w:rsid w:val="000B7EB1"/>
    <w:rsid w:val="000C22C2"/>
    <w:rsid w:val="000C251F"/>
    <w:rsid w:val="000C45C8"/>
    <w:rsid w:val="000C7394"/>
    <w:rsid w:val="000D1B3C"/>
    <w:rsid w:val="000D40F8"/>
    <w:rsid w:val="000D5751"/>
    <w:rsid w:val="000D7148"/>
    <w:rsid w:val="000E0AC9"/>
    <w:rsid w:val="000E168F"/>
    <w:rsid w:val="000E1CC4"/>
    <w:rsid w:val="000E29DA"/>
    <w:rsid w:val="000E3348"/>
    <w:rsid w:val="000E3975"/>
    <w:rsid w:val="000E66AC"/>
    <w:rsid w:val="000E6B86"/>
    <w:rsid w:val="000E7115"/>
    <w:rsid w:val="000F398B"/>
    <w:rsid w:val="000F48EE"/>
    <w:rsid w:val="000F58E8"/>
    <w:rsid w:val="001024D2"/>
    <w:rsid w:val="00103263"/>
    <w:rsid w:val="0010387E"/>
    <w:rsid w:val="00104AA7"/>
    <w:rsid w:val="00113FA9"/>
    <w:rsid w:val="00116E0A"/>
    <w:rsid w:val="00117507"/>
    <w:rsid w:val="00121F94"/>
    <w:rsid w:val="00122335"/>
    <w:rsid w:val="00125125"/>
    <w:rsid w:val="00127550"/>
    <w:rsid w:val="00132C4E"/>
    <w:rsid w:val="00132E60"/>
    <w:rsid w:val="00134971"/>
    <w:rsid w:val="00134EEB"/>
    <w:rsid w:val="001356CF"/>
    <w:rsid w:val="001359C0"/>
    <w:rsid w:val="0014079D"/>
    <w:rsid w:val="00140FC2"/>
    <w:rsid w:val="00142688"/>
    <w:rsid w:val="00142DCC"/>
    <w:rsid w:val="001447D7"/>
    <w:rsid w:val="00146055"/>
    <w:rsid w:val="00146374"/>
    <w:rsid w:val="00146ABB"/>
    <w:rsid w:val="00150C17"/>
    <w:rsid w:val="001519FA"/>
    <w:rsid w:val="00151C00"/>
    <w:rsid w:val="00151FF2"/>
    <w:rsid w:val="001528AA"/>
    <w:rsid w:val="00154992"/>
    <w:rsid w:val="0015517B"/>
    <w:rsid w:val="00155E9D"/>
    <w:rsid w:val="00162552"/>
    <w:rsid w:val="00163990"/>
    <w:rsid w:val="00163A13"/>
    <w:rsid w:val="00173667"/>
    <w:rsid w:val="0017435D"/>
    <w:rsid w:val="00174E42"/>
    <w:rsid w:val="001754E5"/>
    <w:rsid w:val="00177018"/>
    <w:rsid w:val="001772D8"/>
    <w:rsid w:val="001802D5"/>
    <w:rsid w:val="00181A41"/>
    <w:rsid w:val="00182498"/>
    <w:rsid w:val="001840D8"/>
    <w:rsid w:val="001844AE"/>
    <w:rsid w:val="00186415"/>
    <w:rsid w:val="00186573"/>
    <w:rsid w:val="001870E6"/>
    <w:rsid w:val="00190101"/>
    <w:rsid w:val="001902AD"/>
    <w:rsid w:val="00193C8F"/>
    <w:rsid w:val="001949A8"/>
    <w:rsid w:val="00195EAE"/>
    <w:rsid w:val="001966D5"/>
    <w:rsid w:val="00197E29"/>
    <w:rsid w:val="001A58B4"/>
    <w:rsid w:val="001A5A11"/>
    <w:rsid w:val="001B2704"/>
    <w:rsid w:val="001B4303"/>
    <w:rsid w:val="001B6402"/>
    <w:rsid w:val="001B67E0"/>
    <w:rsid w:val="001C3916"/>
    <w:rsid w:val="001C4845"/>
    <w:rsid w:val="001C48D0"/>
    <w:rsid w:val="001C6A8E"/>
    <w:rsid w:val="001C7D0C"/>
    <w:rsid w:val="001D1BE7"/>
    <w:rsid w:val="001D40C8"/>
    <w:rsid w:val="001D49C3"/>
    <w:rsid w:val="001D5D3D"/>
    <w:rsid w:val="001D6A58"/>
    <w:rsid w:val="001D7789"/>
    <w:rsid w:val="001D78B9"/>
    <w:rsid w:val="001E3B65"/>
    <w:rsid w:val="001E4C2B"/>
    <w:rsid w:val="001E7770"/>
    <w:rsid w:val="001E7DAA"/>
    <w:rsid w:val="001F5283"/>
    <w:rsid w:val="001F570D"/>
    <w:rsid w:val="001F629C"/>
    <w:rsid w:val="001F6620"/>
    <w:rsid w:val="001F7B65"/>
    <w:rsid w:val="0020094B"/>
    <w:rsid w:val="00200F59"/>
    <w:rsid w:val="00201AC2"/>
    <w:rsid w:val="00201FB7"/>
    <w:rsid w:val="002041FC"/>
    <w:rsid w:val="0020580C"/>
    <w:rsid w:val="00205D14"/>
    <w:rsid w:val="00205ED9"/>
    <w:rsid w:val="00206BA2"/>
    <w:rsid w:val="00207EFC"/>
    <w:rsid w:val="002138F5"/>
    <w:rsid w:val="00214B94"/>
    <w:rsid w:val="00214C40"/>
    <w:rsid w:val="00214ED3"/>
    <w:rsid w:val="00216559"/>
    <w:rsid w:val="0022160F"/>
    <w:rsid w:val="00221EC9"/>
    <w:rsid w:val="00222A7F"/>
    <w:rsid w:val="002231F2"/>
    <w:rsid w:val="00226B01"/>
    <w:rsid w:val="00230839"/>
    <w:rsid w:val="00230A00"/>
    <w:rsid w:val="002310C1"/>
    <w:rsid w:val="002321ED"/>
    <w:rsid w:val="00232A7E"/>
    <w:rsid w:val="00232B99"/>
    <w:rsid w:val="00235669"/>
    <w:rsid w:val="0024317E"/>
    <w:rsid w:val="00245804"/>
    <w:rsid w:val="0025018F"/>
    <w:rsid w:val="002516E7"/>
    <w:rsid w:val="00254011"/>
    <w:rsid w:val="002556D8"/>
    <w:rsid w:val="00256A14"/>
    <w:rsid w:val="00257347"/>
    <w:rsid w:val="00262734"/>
    <w:rsid w:val="002633BF"/>
    <w:rsid w:val="00263E46"/>
    <w:rsid w:val="00266E36"/>
    <w:rsid w:val="0027029B"/>
    <w:rsid w:val="00273662"/>
    <w:rsid w:val="00273919"/>
    <w:rsid w:val="00274D52"/>
    <w:rsid w:val="0027678F"/>
    <w:rsid w:val="00277E35"/>
    <w:rsid w:val="00277F27"/>
    <w:rsid w:val="0028047D"/>
    <w:rsid w:val="00280E10"/>
    <w:rsid w:val="00285FB5"/>
    <w:rsid w:val="002863FE"/>
    <w:rsid w:val="0028653C"/>
    <w:rsid w:val="00287821"/>
    <w:rsid w:val="002915D1"/>
    <w:rsid w:val="00291776"/>
    <w:rsid w:val="00292053"/>
    <w:rsid w:val="00297758"/>
    <w:rsid w:val="002A3E2F"/>
    <w:rsid w:val="002A4674"/>
    <w:rsid w:val="002A7E79"/>
    <w:rsid w:val="002B2630"/>
    <w:rsid w:val="002B3A74"/>
    <w:rsid w:val="002B4290"/>
    <w:rsid w:val="002B5FE3"/>
    <w:rsid w:val="002B6DD0"/>
    <w:rsid w:val="002C0525"/>
    <w:rsid w:val="002C075D"/>
    <w:rsid w:val="002C1DC1"/>
    <w:rsid w:val="002C2C33"/>
    <w:rsid w:val="002C3E42"/>
    <w:rsid w:val="002C4BE4"/>
    <w:rsid w:val="002C4FE8"/>
    <w:rsid w:val="002C5130"/>
    <w:rsid w:val="002C623B"/>
    <w:rsid w:val="002C657F"/>
    <w:rsid w:val="002C6C0A"/>
    <w:rsid w:val="002C70EA"/>
    <w:rsid w:val="002D2F1C"/>
    <w:rsid w:val="002D2F62"/>
    <w:rsid w:val="002D6A9A"/>
    <w:rsid w:val="002D7ED6"/>
    <w:rsid w:val="002E0E4F"/>
    <w:rsid w:val="002E3245"/>
    <w:rsid w:val="002E63F8"/>
    <w:rsid w:val="002E65A8"/>
    <w:rsid w:val="002E6C00"/>
    <w:rsid w:val="002E6D92"/>
    <w:rsid w:val="002F0CAA"/>
    <w:rsid w:val="002F36E5"/>
    <w:rsid w:val="002F5C3F"/>
    <w:rsid w:val="002F611B"/>
    <w:rsid w:val="00300294"/>
    <w:rsid w:val="003010D1"/>
    <w:rsid w:val="00301D10"/>
    <w:rsid w:val="0030229B"/>
    <w:rsid w:val="00302D8B"/>
    <w:rsid w:val="003052C5"/>
    <w:rsid w:val="00305D91"/>
    <w:rsid w:val="00310043"/>
    <w:rsid w:val="003102DB"/>
    <w:rsid w:val="00311F7A"/>
    <w:rsid w:val="0031430D"/>
    <w:rsid w:val="00314D72"/>
    <w:rsid w:val="003151FB"/>
    <w:rsid w:val="00317D9C"/>
    <w:rsid w:val="00317F0D"/>
    <w:rsid w:val="00322A9C"/>
    <w:rsid w:val="00322B00"/>
    <w:rsid w:val="0032448C"/>
    <w:rsid w:val="003270FB"/>
    <w:rsid w:val="00327B31"/>
    <w:rsid w:val="00327F27"/>
    <w:rsid w:val="003333CD"/>
    <w:rsid w:val="003368AC"/>
    <w:rsid w:val="00341988"/>
    <w:rsid w:val="00343176"/>
    <w:rsid w:val="00345301"/>
    <w:rsid w:val="00345913"/>
    <w:rsid w:val="00345D4F"/>
    <w:rsid w:val="00346BF0"/>
    <w:rsid w:val="00350381"/>
    <w:rsid w:val="003519C3"/>
    <w:rsid w:val="00352AF5"/>
    <w:rsid w:val="00352CE9"/>
    <w:rsid w:val="00353213"/>
    <w:rsid w:val="00353F77"/>
    <w:rsid w:val="00354ABF"/>
    <w:rsid w:val="00354FCA"/>
    <w:rsid w:val="0036222F"/>
    <w:rsid w:val="00364248"/>
    <w:rsid w:val="00365712"/>
    <w:rsid w:val="00367665"/>
    <w:rsid w:val="0037208F"/>
    <w:rsid w:val="0037536A"/>
    <w:rsid w:val="00381421"/>
    <w:rsid w:val="00381850"/>
    <w:rsid w:val="00381E2C"/>
    <w:rsid w:val="003825BE"/>
    <w:rsid w:val="00383516"/>
    <w:rsid w:val="003836DC"/>
    <w:rsid w:val="003837D0"/>
    <w:rsid w:val="00384BAF"/>
    <w:rsid w:val="003853CF"/>
    <w:rsid w:val="003854BE"/>
    <w:rsid w:val="0038714F"/>
    <w:rsid w:val="003918A4"/>
    <w:rsid w:val="00396002"/>
    <w:rsid w:val="003A11D5"/>
    <w:rsid w:val="003A2FED"/>
    <w:rsid w:val="003A5A7F"/>
    <w:rsid w:val="003A6D64"/>
    <w:rsid w:val="003A7E99"/>
    <w:rsid w:val="003B200E"/>
    <w:rsid w:val="003B55E0"/>
    <w:rsid w:val="003B5C80"/>
    <w:rsid w:val="003B69A4"/>
    <w:rsid w:val="003B7B3D"/>
    <w:rsid w:val="003C3E60"/>
    <w:rsid w:val="003C4273"/>
    <w:rsid w:val="003C4581"/>
    <w:rsid w:val="003C4B65"/>
    <w:rsid w:val="003C68A3"/>
    <w:rsid w:val="003C6A5A"/>
    <w:rsid w:val="003C72B2"/>
    <w:rsid w:val="003C748E"/>
    <w:rsid w:val="003C7E91"/>
    <w:rsid w:val="003D0DAF"/>
    <w:rsid w:val="003D245D"/>
    <w:rsid w:val="003D2CCD"/>
    <w:rsid w:val="003D3DED"/>
    <w:rsid w:val="003D3F5F"/>
    <w:rsid w:val="003D5BB9"/>
    <w:rsid w:val="003D72DD"/>
    <w:rsid w:val="003D7873"/>
    <w:rsid w:val="003E0ED8"/>
    <w:rsid w:val="003E1676"/>
    <w:rsid w:val="003E38F2"/>
    <w:rsid w:val="003E3A11"/>
    <w:rsid w:val="003E3D5E"/>
    <w:rsid w:val="003E537E"/>
    <w:rsid w:val="003F5E54"/>
    <w:rsid w:val="00402290"/>
    <w:rsid w:val="00403C53"/>
    <w:rsid w:val="004119C1"/>
    <w:rsid w:val="004119C4"/>
    <w:rsid w:val="00411D2B"/>
    <w:rsid w:val="00412498"/>
    <w:rsid w:val="00412DEB"/>
    <w:rsid w:val="00414524"/>
    <w:rsid w:val="00417000"/>
    <w:rsid w:val="00421164"/>
    <w:rsid w:val="004220F9"/>
    <w:rsid w:val="00425557"/>
    <w:rsid w:val="00432B24"/>
    <w:rsid w:val="004338AB"/>
    <w:rsid w:val="00435B5D"/>
    <w:rsid w:val="00440888"/>
    <w:rsid w:val="00440B86"/>
    <w:rsid w:val="0044212D"/>
    <w:rsid w:val="004442C4"/>
    <w:rsid w:val="004470A2"/>
    <w:rsid w:val="0044733E"/>
    <w:rsid w:val="00454AAF"/>
    <w:rsid w:val="00455D67"/>
    <w:rsid w:val="00463000"/>
    <w:rsid w:val="0046689A"/>
    <w:rsid w:val="00473A2C"/>
    <w:rsid w:val="00476B2D"/>
    <w:rsid w:val="00476D76"/>
    <w:rsid w:val="0048195A"/>
    <w:rsid w:val="00483B30"/>
    <w:rsid w:val="00484679"/>
    <w:rsid w:val="004850DC"/>
    <w:rsid w:val="00485E63"/>
    <w:rsid w:val="00486281"/>
    <w:rsid w:val="00486EC9"/>
    <w:rsid w:val="00490AC8"/>
    <w:rsid w:val="00490D7D"/>
    <w:rsid w:val="00492266"/>
    <w:rsid w:val="0049556E"/>
    <w:rsid w:val="004975CE"/>
    <w:rsid w:val="004A0B62"/>
    <w:rsid w:val="004A418B"/>
    <w:rsid w:val="004A7CAC"/>
    <w:rsid w:val="004A7DB1"/>
    <w:rsid w:val="004A7E6E"/>
    <w:rsid w:val="004B1D4A"/>
    <w:rsid w:val="004B2EA5"/>
    <w:rsid w:val="004B444F"/>
    <w:rsid w:val="004B59D9"/>
    <w:rsid w:val="004C078C"/>
    <w:rsid w:val="004C0A98"/>
    <w:rsid w:val="004C3AC4"/>
    <w:rsid w:val="004C4D23"/>
    <w:rsid w:val="004C5163"/>
    <w:rsid w:val="004C5574"/>
    <w:rsid w:val="004C6854"/>
    <w:rsid w:val="004D2BC5"/>
    <w:rsid w:val="004D4D06"/>
    <w:rsid w:val="004D5709"/>
    <w:rsid w:val="004D66D5"/>
    <w:rsid w:val="004E0D47"/>
    <w:rsid w:val="004E19C7"/>
    <w:rsid w:val="004E37A6"/>
    <w:rsid w:val="004E4454"/>
    <w:rsid w:val="004E5080"/>
    <w:rsid w:val="004E5FD6"/>
    <w:rsid w:val="004E72EC"/>
    <w:rsid w:val="004F29A3"/>
    <w:rsid w:val="004F4499"/>
    <w:rsid w:val="004F4DA1"/>
    <w:rsid w:val="004F6CCB"/>
    <w:rsid w:val="004F7DAA"/>
    <w:rsid w:val="00501FF0"/>
    <w:rsid w:val="00502AAB"/>
    <w:rsid w:val="00503467"/>
    <w:rsid w:val="005055A9"/>
    <w:rsid w:val="00505DB4"/>
    <w:rsid w:val="0050614C"/>
    <w:rsid w:val="00506706"/>
    <w:rsid w:val="00510F26"/>
    <w:rsid w:val="0051153D"/>
    <w:rsid w:val="00511C95"/>
    <w:rsid w:val="005127B6"/>
    <w:rsid w:val="005128BD"/>
    <w:rsid w:val="0051782A"/>
    <w:rsid w:val="005200E6"/>
    <w:rsid w:val="00520AA0"/>
    <w:rsid w:val="0052232A"/>
    <w:rsid w:val="00523E75"/>
    <w:rsid w:val="005260B2"/>
    <w:rsid w:val="005265DB"/>
    <w:rsid w:val="005336EE"/>
    <w:rsid w:val="00540FE4"/>
    <w:rsid w:val="00542255"/>
    <w:rsid w:val="00542918"/>
    <w:rsid w:val="0054420C"/>
    <w:rsid w:val="0055071C"/>
    <w:rsid w:val="0055143A"/>
    <w:rsid w:val="005516BF"/>
    <w:rsid w:val="00553E77"/>
    <w:rsid w:val="0055536E"/>
    <w:rsid w:val="005568C6"/>
    <w:rsid w:val="005606C7"/>
    <w:rsid w:val="005618BC"/>
    <w:rsid w:val="00564538"/>
    <w:rsid w:val="00565FBA"/>
    <w:rsid w:val="0057038F"/>
    <w:rsid w:val="00570C08"/>
    <w:rsid w:val="005713D6"/>
    <w:rsid w:val="00571684"/>
    <w:rsid w:val="00571D02"/>
    <w:rsid w:val="00571E0B"/>
    <w:rsid w:val="00583542"/>
    <w:rsid w:val="0058451F"/>
    <w:rsid w:val="0058557C"/>
    <w:rsid w:val="00586889"/>
    <w:rsid w:val="00587D45"/>
    <w:rsid w:val="00591F2A"/>
    <w:rsid w:val="00592C49"/>
    <w:rsid w:val="00593324"/>
    <w:rsid w:val="005A5176"/>
    <w:rsid w:val="005B004C"/>
    <w:rsid w:val="005B2034"/>
    <w:rsid w:val="005B290C"/>
    <w:rsid w:val="005B3207"/>
    <w:rsid w:val="005B330E"/>
    <w:rsid w:val="005B4C9D"/>
    <w:rsid w:val="005C1142"/>
    <w:rsid w:val="005C4383"/>
    <w:rsid w:val="005C4583"/>
    <w:rsid w:val="005C786D"/>
    <w:rsid w:val="005D1D01"/>
    <w:rsid w:val="005D3946"/>
    <w:rsid w:val="005D442A"/>
    <w:rsid w:val="005E0ABD"/>
    <w:rsid w:val="005E6845"/>
    <w:rsid w:val="005E708A"/>
    <w:rsid w:val="005F0F86"/>
    <w:rsid w:val="005F2114"/>
    <w:rsid w:val="005F273D"/>
    <w:rsid w:val="005F2984"/>
    <w:rsid w:val="005F36AB"/>
    <w:rsid w:val="005F781C"/>
    <w:rsid w:val="006013BE"/>
    <w:rsid w:val="00601CC8"/>
    <w:rsid w:val="00602B48"/>
    <w:rsid w:val="006036E9"/>
    <w:rsid w:val="0060761C"/>
    <w:rsid w:val="006100E2"/>
    <w:rsid w:val="006122EA"/>
    <w:rsid w:val="006125FC"/>
    <w:rsid w:val="006127CB"/>
    <w:rsid w:val="00612C66"/>
    <w:rsid w:val="00614B2B"/>
    <w:rsid w:val="00615735"/>
    <w:rsid w:val="006243BA"/>
    <w:rsid w:val="006318F5"/>
    <w:rsid w:val="00632778"/>
    <w:rsid w:val="0063310C"/>
    <w:rsid w:val="00633BE1"/>
    <w:rsid w:val="0063604E"/>
    <w:rsid w:val="006367ED"/>
    <w:rsid w:val="00636B86"/>
    <w:rsid w:val="006404FD"/>
    <w:rsid w:val="00653F76"/>
    <w:rsid w:val="006549E1"/>
    <w:rsid w:val="00656E5E"/>
    <w:rsid w:val="00657B13"/>
    <w:rsid w:val="00660781"/>
    <w:rsid w:val="006643EB"/>
    <w:rsid w:val="00670AD1"/>
    <w:rsid w:val="00673E78"/>
    <w:rsid w:val="00674FF7"/>
    <w:rsid w:val="00682201"/>
    <w:rsid w:val="00682F55"/>
    <w:rsid w:val="00684716"/>
    <w:rsid w:val="00685FDB"/>
    <w:rsid w:val="006871C0"/>
    <w:rsid w:val="0069495B"/>
    <w:rsid w:val="0069595D"/>
    <w:rsid w:val="006963B8"/>
    <w:rsid w:val="00697DE8"/>
    <w:rsid w:val="006A0846"/>
    <w:rsid w:val="006A34F4"/>
    <w:rsid w:val="006A5341"/>
    <w:rsid w:val="006B0DF0"/>
    <w:rsid w:val="006B16FD"/>
    <w:rsid w:val="006B1748"/>
    <w:rsid w:val="006B556E"/>
    <w:rsid w:val="006B6FC4"/>
    <w:rsid w:val="006B7A8B"/>
    <w:rsid w:val="006B7F12"/>
    <w:rsid w:val="006C28DF"/>
    <w:rsid w:val="006C4410"/>
    <w:rsid w:val="006C4B02"/>
    <w:rsid w:val="006C55D9"/>
    <w:rsid w:val="006C6EDD"/>
    <w:rsid w:val="006D52A4"/>
    <w:rsid w:val="006D7055"/>
    <w:rsid w:val="006D79B1"/>
    <w:rsid w:val="006E010E"/>
    <w:rsid w:val="006E0134"/>
    <w:rsid w:val="006E0967"/>
    <w:rsid w:val="006E1A48"/>
    <w:rsid w:val="006E3631"/>
    <w:rsid w:val="006E36B5"/>
    <w:rsid w:val="006E3A7F"/>
    <w:rsid w:val="006E3BCA"/>
    <w:rsid w:val="006E5CD8"/>
    <w:rsid w:val="006E67F7"/>
    <w:rsid w:val="006F07C9"/>
    <w:rsid w:val="006F1EAB"/>
    <w:rsid w:val="006F208E"/>
    <w:rsid w:val="006F2F29"/>
    <w:rsid w:val="006F3D23"/>
    <w:rsid w:val="006F486B"/>
    <w:rsid w:val="006F5062"/>
    <w:rsid w:val="006F5B1D"/>
    <w:rsid w:val="006F6B87"/>
    <w:rsid w:val="006F7D1C"/>
    <w:rsid w:val="0070063D"/>
    <w:rsid w:val="00701D08"/>
    <w:rsid w:val="0070392B"/>
    <w:rsid w:val="00703AC0"/>
    <w:rsid w:val="00703B1C"/>
    <w:rsid w:val="007050CB"/>
    <w:rsid w:val="00707074"/>
    <w:rsid w:val="00712495"/>
    <w:rsid w:val="007136E7"/>
    <w:rsid w:val="007156D0"/>
    <w:rsid w:val="00720070"/>
    <w:rsid w:val="0072542C"/>
    <w:rsid w:val="0072662A"/>
    <w:rsid w:val="0073362D"/>
    <w:rsid w:val="007341BA"/>
    <w:rsid w:val="0073458D"/>
    <w:rsid w:val="007346F8"/>
    <w:rsid w:val="00734C13"/>
    <w:rsid w:val="00735289"/>
    <w:rsid w:val="00735D9E"/>
    <w:rsid w:val="00737401"/>
    <w:rsid w:val="00740574"/>
    <w:rsid w:val="007457C5"/>
    <w:rsid w:val="00746C6B"/>
    <w:rsid w:val="00747B3C"/>
    <w:rsid w:val="0075017E"/>
    <w:rsid w:val="007510D0"/>
    <w:rsid w:val="00751988"/>
    <w:rsid w:val="007529DB"/>
    <w:rsid w:val="007533CC"/>
    <w:rsid w:val="007547DB"/>
    <w:rsid w:val="0075508D"/>
    <w:rsid w:val="00755113"/>
    <w:rsid w:val="0075604C"/>
    <w:rsid w:val="00757A78"/>
    <w:rsid w:val="00762075"/>
    <w:rsid w:val="00767B57"/>
    <w:rsid w:val="00775777"/>
    <w:rsid w:val="00776E0D"/>
    <w:rsid w:val="007805E2"/>
    <w:rsid w:val="0078358F"/>
    <w:rsid w:val="007878D7"/>
    <w:rsid w:val="0079164B"/>
    <w:rsid w:val="00791EF2"/>
    <w:rsid w:val="00792868"/>
    <w:rsid w:val="00793773"/>
    <w:rsid w:val="007942AA"/>
    <w:rsid w:val="00794BB6"/>
    <w:rsid w:val="00794CA3"/>
    <w:rsid w:val="00796FE1"/>
    <w:rsid w:val="007A2700"/>
    <w:rsid w:val="007A2FA6"/>
    <w:rsid w:val="007A56E4"/>
    <w:rsid w:val="007B0079"/>
    <w:rsid w:val="007B0B19"/>
    <w:rsid w:val="007B20CC"/>
    <w:rsid w:val="007B39E2"/>
    <w:rsid w:val="007B41C8"/>
    <w:rsid w:val="007C0FAB"/>
    <w:rsid w:val="007C3085"/>
    <w:rsid w:val="007C4123"/>
    <w:rsid w:val="007C553E"/>
    <w:rsid w:val="007D22D9"/>
    <w:rsid w:val="007D6D83"/>
    <w:rsid w:val="007E1208"/>
    <w:rsid w:val="007E125D"/>
    <w:rsid w:val="007E1374"/>
    <w:rsid w:val="007E3B60"/>
    <w:rsid w:val="007E5F16"/>
    <w:rsid w:val="007F0BE8"/>
    <w:rsid w:val="007F0E7B"/>
    <w:rsid w:val="007F36E5"/>
    <w:rsid w:val="007F60AC"/>
    <w:rsid w:val="008109DF"/>
    <w:rsid w:val="00812432"/>
    <w:rsid w:val="008155D6"/>
    <w:rsid w:val="00815EAD"/>
    <w:rsid w:val="00820F88"/>
    <w:rsid w:val="00826285"/>
    <w:rsid w:val="00826579"/>
    <w:rsid w:val="00831881"/>
    <w:rsid w:val="00837CC9"/>
    <w:rsid w:val="00840A30"/>
    <w:rsid w:val="00841DB3"/>
    <w:rsid w:val="00842CAE"/>
    <w:rsid w:val="00845700"/>
    <w:rsid w:val="00851B8A"/>
    <w:rsid w:val="00857810"/>
    <w:rsid w:val="00860A7D"/>
    <w:rsid w:val="00863CE4"/>
    <w:rsid w:val="00870234"/>
    <w:rsid w:val="0087106A"/>
    <w:rsid w:val="00871EAC"/>
    <w:rsid w:val="00871FB6"/>
    <w:rsid w:val="00873928"/>
    <w:rsid w:val="008743EF"/>
    <w:rsid w:val="00874C08"/>
    <w:rsid w:val="008750AE"/>
    <w:rsid w:val="008810DA"/>
    <w:rsid w:val="008836C3"/>
    <w:rsid w:val="00887232"/>
    <w:rsid w:val="00892AE6"/>
    <w:rsid w:val="00893360"/>
    <w:rsid w:val="00893BED"/>
    <w:rsid w:val="00894D01"/>
    <w:rsid w:val="00894D27"/>
    <w:rsid w:val="00894EC1"/>
    <w:rsid w:val="00896C55"/>
    <w:rsid w:val="00897EFC"/>
    <w:rsid w:val="008A0939"/>
    <w:rsid w:val="008A1B49"/>
    <w:rsid w:val="008A221F"/>
    <w:rsid w:val="008A4078"/>
    <w:rsid w:val="008B0111"/>
    <w:rsid w:val="008B16B2"/>
    <w:rsid w:val="008B1D4C"/>
    <w:rsid w:val="008B67B1"/>
    <w:rsid w:val="008C1E54"/>
    <w:rsid w:val="008C5214"/>
    <w:rsid w:val="008D33CA"/>
    <w:rsid w:val="008D4B1E"/>
    <w:rsid w:val="008D4C11"/>
    <w:rsid w:val="008D54C2"/>
    <w:rsid w:val="008D64CE"/>
    <w:rsid w:val="008D710C"/>
    <w:rsid w:val="008D7B16"/>
    <w:rsid w:val="008E0FDF"/>
    <w:rsid w:val="008E51CB"/>
    <w:rsid w:val="008E5CB1"/>
    <w:rsid w:val="008F0003"/>
    <w:rsid w:val="008F7863"/>
    <w:rsid w:val="00902364"/>
    <w:rsid w:val="00902CA7"/>
    <w:rsid w:val="00902CC4"/>
    <w:rsid w:val="00904D5C"/>
    <w:rsid w:val="00906F56"/>
    <w:rsid w:val="009070BC"/>
    <w:rsid w:val="009077F7"/>
    <w:rsid w:val="00910951"/>
    <w:rsid w:val="00912656"/>
    <w:rsid w:val="009132BD"/>
    <w:rsid w:val="00914054"/>
    <w:rsid w:val="00915124"/>
    <w:rsid w:val="009165AA"/>
    <w:rsid w:val="00916E06"/>
    <w:rsid w:val="00921F8D"/>
    <w:rsid w:val="00923127"/>
    <w:rsid w:val="00924E31"/>
    <w:rsid w:val="00925D19"/>
    <w:rsid w:val="00932C46"/>
    <w:rsid w:val="00932F66"/>
    <w:rsid w:val="00937134"/>
    <w:rsid w:val="00937789"/>
    <w:rsid w:val="00937BE5"/>
    <w:rsid w:val="0094229A"/>
    <w:rsid w:val="009425B0"/>
    <w:rsid w:val="00943464"/>
    <w:rsid w:val="00943CDF"/>
    <w:rsid w:val="00944802"/>
    <w:rsid w:val="00950B3C"/>
    <w:rsid w:val="00951AB3"/>
    <w:rsid w:val="009530F5"/>
    <w:rsid w:val="00955F4E"/>
    <w:rsid w:val="00960119"/>
    <w:rsid w:val="0096528E"/>
    <w:rsid w:val="00965342"/>
    <w:rsid w:val="0096562D"/>
    <w:rsid w:val="0096576F"/>
    <w:rsid w:val="009663E1"/>
    <w:rsid w:val="00970997"/>
    <w:rsid w:val="00971E77"/>
    <w:rsid w:val="00972260"/>
    <w:rsid w:val="00973D69"/>
    <w:rsid w:val="00976DB2"/>
    <w:rsid w:val="009779DB"/>
    <w:rsid w:val="009807DE"/>
    <w:rsid w:val="00983ACD"/>
    <w:rsid w:val="00984479"/>
    <w:rsid w:val="009906EB"/>
    <w:rsid w:val="00991001"/>
    <w:rsid w:val="0099240A"/>
    <w:rsid w:val="00993260"/>
    <w:rsid w:val="00996044"/>
    <w:rsid w:val="009965AC"/>
    <w:rsid w:val="009977B8"/>
    <w:rsid w:val="009A201F"/>
    <w:rsid w:val="009A47C1"/>
    <w:rsid w:val="009A64F6"/>
    <w:rsid w:val="009A75D4"/>
    <w:rsid w:val="009B0A7C"/>
    <w:rsid w:val="009B0E31"/>
    <w:rsid w:val="009B1CB5"/>
    <w:rsid w:val="009B3101"/>
    <w:rsid w:val="009B43DD"/>
    <w:rsid w:val="009C165B"/>
    <w:rsid w:val="009C335E"/>
    <w:rsid w:val="009C3836"/>
    <w:rsid w:val="009C4BAC"/>
    <w:rsid w:val="009C4E15"/>
    <w:rsid w:val="009C52E9"/>
    <w:rsid w:val="009C5FED"/>
    <w:rsid w:val="009D0258"/>
    <w:rsid w:val="009D0F24"/>
    <w:rsid w:val="009D10E3"/>
    <w:rsid w:val="009D186D"/>
    <w:rsid w:val="009D22A0"/>
    <w:rsid w:val="009D2F51"/>
    <w:rsid w:val="009D3CB1"/>
    <w:rsid w:val="009D5B16"/>
    <w:rsid w:val="009D720E"/>
    <w:rsid w:val="009D77F7"/>
    <w:rsid w:val="009E17EB"/>
    <w:rsid w:val="009E1C4A"/>
    <w:rsid w:val="009E3AA3"/>
    <w:rsid w:val="009E43A8"/>
    <w:rsid w:val="009E6092"/>
    <w:rsid w:val="009E7C94"/>
    <w:rsid w:val="009E7FC0"/>
    <w:rsid w:val="009F12C2"/>
    <w:rsid w:val="009F1B31"/>
    <w:rsid w:val="009F27D5"/>
    <w:rsid w:val="009F5EFE"/>
    <w:rsid w:val="009F6C85"/>
    <w:rsid w:val="00A02C15"/>
    <w:rsid w:val="00A061F2"/>
    <w:rsid w:val="00A069DC"/>
    <w:rsid w:val="00A10CD4"/>
    <w:rsid w:val="00A14E49"/>
    <w:rsid w:val="00A15F24"/>
    <w:rsid w:val="00A1650B"/>
    <w:rsid w:val="00A213F4"/>
    <w:rsid w:val="00A31A11"/>
    <w:rsid w:val="00A323E5"/>
    <w:rsid w:val="00A40256"/>
    <w:rsid w:val="00A44EC7"/>
    <w:rsid w:val="00A474D5"/>
    <w:rsid w:val="00A479FB"/>
    <w:rsid w:val="00A506AF"/>
    <w:rsid w:val="00A50A2D"/>
    <w:rsid w:val="00A51F1F"/>
    <w:rsid w:val="00A522F8"/>
    <w:rsid w:val="00A54989"/>
    <w:rsid w:val="00A608DB"/>
    <w:rsid w:val="00A61222"/>
    <w:rsid w:val="00A61354"/>
    <w:rsid w:val="00A63A90"/>
    <w:rsid w:val="00A65254"/>
    <w:rsid w:val="00A66A6F"/>
    <w:rsid w:val="00A66B10"/>
    <w:rsid w:val="00A670DC"/>
    <w:rsid w:val="00A708E6"/>
    <w:rsid w:val="00A71967"/>
    <w:rsid w:val="00A74DD0"/>
    <w:rsid w:val="00A764C5"/>
    <w:rsid w:val="00A8097A"/>
    <w:rsid w:val="00A837A5"/>
    <w:rsid w:val="00A843C4"/>
    <w:rsid w:val="00A86E0D"/>
    <w:rsid w:val="00A90634"/>
    <w:rsid w:val="00A92034"/>
    <w:rsid w:val="00A92CC9"/>
    <w:rsid w:val="00A93666"/>
    <w:rsid w:val="00A942C8"/>
    <w:rsid w:val="00A94AFD"/>
    <w:rsid w:val="00A96627"/>
    <w:rsid w:val="00AA04DB"/>
    <w:rsid w:val="00AA5D97"/>
    <w:rsid w:val="00AB1C2A"/>
    <w:rsid w:val="00AB28F6"/>
    <w:rsid w:val="00AB3295"/>
    <w:rsid w:val="00AB3796"/>
    <w:rsid w:val="00AB67EB"/>
    <w:rsid w:val="00AB7D0F"/>
    <w:rsid w:val="00AC285D"/>
    <w:rsid w:val="00AC51AB"/>
    <w:rsid w:val="00AC57D9"/>
    <w:rsid w:val="00AD0998"/>
    <w:rsid w:val="00AD1125"/>
    <w:rsid w:val="00AD2580"/>
    <w:rsid w:val="00AD4C5A"/>
    <w:rsid w:val="00AD5EEA"/>
    <w:rsid w:val="00AD73C3"/>
    <w:rsid w:val="00AE05F8"/>
    <w:rsid w:val="00AE1CF0"/>
    <w:rsid w:val="00AE2E1A"/>
    <w:rsid w:val="00AE2EBB"/>
    <w:rsid w:val="00AE39D9"/>
    <w:rsid w:val="00AE52F3"/>
    <w:rsid w:val="00AE5989"/>
    <w:rsid w:val="00AE7172"/>
    <w:rsid w:val="00AF5616"/>
    <w:rsid w:val="00AF5ED7"/>
    <w:rsid w:val="00AF784E"/>
    <w:rsid w:val="00B032FC"/>
    <w:rsid w:val="00B04ADF"/>
    <w:rsid w:val="00B07768"/>
    <w:rsid w:val="00B10D04"/>
    <w:rsid w:val="00B11C2C"/>
    <w:rsid w:val="00B13EEF"/>
    <w:rsid w:val="00B16446"/>
    <w:rsid w:val="00B203AC"/>
    <w:rsid w:val="00B223A5"/>
    <w:rsid w:val="00B22AF0"/>
    <w:rsid w:val="00B22C91"/>
    <w:rsid w:val="00B22E5C"/>
    <w:rsid w:val="00B232FB"/>
    <w:rsid w:val="00B24EF5"/>
    <w:rsid w:val="00B328C2"/>
    <w:rsid w:val="00B32F77"/>
    <w:rsid w:val="00B342E7"/>
    <w:rsid w:val="00B34FF1"/>
    <w:rsid w:val="00B367B2"/>
    <w:rsid w:val="00B41CE6"/>
    <w:rsid w:val="00B4416E"/>
    <w:rsid w:val="00B47198"/>
    <w:rsid w:val="00B47B72"/>
    <w:rsid w:val="00B51E03"/>
    <w:rsid w:val="00B52CBA"/>
    <w:rsid w:val="00B619B8"/>
    <w:rsid w:val="00B634BC"/>
    <w:rsid w:val="00B66A54"/>
    <w:rsid w:val="00B71088"/>
    <w:rsid w:val="00B7125F"/>
    <w:rsid w:val="00B7134E"/>
    <w:rsid w:val="00B726E2"/>
    <w:rsid w:val="00B75367"/>
    <w:rsid w:val="00B75768"/>
    <w:rsid w:val="00B76E70"/>
    <w:rsid w:val="00B81B57"/>
    <w:rsid w:val="00B8655C"/>
    <w:rsid w:val="00B93606"/>
    <w:rsid w:val="00B940D4"/>
    <w:rsid w:val="00B95B82"/>
    <w:rsid w:val="00BA6DE6"/>
    <w:rsid w:val="00BA7429"/>
    <w:rsid w:val="00BB3660"/>
    <w:rsid w:val="00BB486B"/>
    <w:rsid w:val="00BB5C62"/>
    <w:rsid w:val="00BC0BE0"/>
    <w:rsid w:val="00BC108A"/>
    <w:rsid w:val="00BC125D"/>
    <w:rsid w:val="00BC1B04"/>
    <w:rsid w:val="00BC783A"/>
    <w:rsid w:val="00BD38A8"/>
    <w:rsid w:val="00BD5A4D"/>
    <w:rsid w:val="00BE1019"/>
    <w:rsid w:val="00BE23C2"/>
    <w:rsid w:val="00BE2A7E"/>
    <w:rsid w:val="00BE3134"/>
    <w:rsid w:val="00BE38A3"/>
    <w:rsid w:val="00BE39B2"/>
    <w:rsid w:val="00BE46B1"/>
    <w:rsid w:val="00BE5ECB"/>
    <w:rsid w:val="00BE71E0"/>
    <w:rsid w:val="00BF0845"/>
    <w:rsid w:val="00BF39CC"/>
    <w:rsid w:val="00BF3E25"/>
    <w:rsid w:val="00BF611D"/>
    <w:rsid w:val="00C0544E"/>
    <w:rsid w:val="00C064C2"/>
    <w:rsid w:val="00C140E7"/>
    <w:rsid w:val="00C1463F"/>
    <w:rsid w:val="00C147C9"/>
    <w:rsid w:val="00C23561"/>
    <w:rsid w:val="00C23664"/>
    <w:rsid w:val="00C24E32"/>
    <w:rsid w:val="00C24F14"/>
    <w:rsid w:val="00C27EEF"/>
    <w:rsid w:val="00C30456"/>
    <w:rsid w:val="00C3133B"/>
    <w:rsid w:val="00C33FEE"/>
    <w:rsid w:val="00C371F3"/>
    <w:rsid w:val="00C414F1"/>
    <w:rsid w:val="00C53296"/>
    <w:rsid w:val="00C534D4"/>
    <w:rsid w:val="00C5514E"/>
    <w:rsid w:val="00C610EE"/>
    <w:rsid w:val="00C611B4"/>
    <w:rsid w:val="00C627CE"/>
    <w:rsid w:val="00C63FD6"/>
    <w:rsid w:val="00C64EFB"/>
    <w:rsid w:val="00C67A14"/>
    <w:rsid w:val="00C803F4"/>
    <w:rsid w:val="00C80ECB"/>
    <w:rsid w:val="00C81EFF"/>
    <w:rsid w:val="00C8323C"/>
    <w:rsid w:val="00C852FB"/>
    <w:rsid w:val="00C90386"/>
    <w:rsid w:val="00C917C5"/>
    <w:rsid w:val="00C95760"/>
    <w:rsid w:val="00C96389"/>
    <w:rsid w:val="00C97131"/>
    <w:rsid w:val="00C9726C"/>
    <w:rsid w:val="00CA0106"/>
    <w:rsid w:val="00CA1616"/>
    <w:rsid w:val="00CA2791"/>
    <w:rsid w:val="00CA7E0D"/>
    <w:rsid w:val="00CB1DC1"/>
    <w:rsid w:val="00CB3602"/>
    <w:rsid w:val="00CB424E"/>
    <w:rsid w:val="00CB577A"/>
    <w:rsid w:val="00CB7F4D"/>
    <w:rsid w:val="00CC5EC0"/>
    <w:rsid w:val="00CC612C"/>
    <w:rsid w:val="00CD2D05"/>
    <w:rsid w:val="00CD3B73"/>
    <w:rsid w:val="00CD3E97"/>
    <w:rsid w:val="00CD43DF"/>
    <w:rsid w:val="00CE5D3E"/>
    <w:rsid w:val="00CE6880"/>
    <w:rsid w:val="00CE7712"/>
    <w:rsid w:val="00CE7E56"/>
    <w:rsid w:val="00CF0522"/>
    <w:rsid w:val="00CF1D19"/>
    <w:rsid w:val="00CF37EF"/>
    <w:rsid w:val="00CF4215"/>
    <w:rsid w:val="00CF55F8"/>
    <w:rsid w:val="00D00975"/>
    <w:rsid w:val="00D00B30"/>
    <w:rsid w:val="00D04E24"/>
    <w:rsid w:val="00D06E3B"/>
    <w:rsid w:val="00D07094"/>
    <w:rsid w:val="00D155F1"/>
    <w:rsid w:val="00D163A4"/>
    <w:rsid w:val="00D168F2"/>
    <w:rsid w:val="00D16DB3"/>
    <w:rsid w:val="00D1797F"/>
    <w:rsid w:val="00D20C34"/>
    <w:rsid w:val="00D210D9"/>
    <w:rsid w:val="00D2218B"/>
    <w:rsid w:val="00D22862"/>
    <w:rsid w:val="00D23C99"/>
    <w:rsid w:val="00D2528D"/>
    <w:rsid w:val="00D26389"/>
    <w:rsid w:val="00D26E41"/>
    <w:rsid w:val="00D31D94"/>
    <w:rsid w:val="00D33370"/>
    <w:rsid w:val="00D33DB7"/>
    <w:rsid w:val="00D3599C"/>
    <w:rsid w:val="00D37B9E"/>
    <w:rsid w:val="00D37C7F"/>
    <w:rsid w:val="00D40459"/>
    <w:rsid w:val="00D43508"/>
    <w:rsid w:val="00D43AC2"/>
    <w:rsid w:val="00D44793"/>
    <w:rsid w:val="00D447F3"/>
    <w:rsid w:val="00D46908"/>
    <w:rsid w:val="00D46A51"/>
    <w:rsid w:val="00D46B83"/>
    <w:rsid w:val="00D4774F"/>
    <w:rsid w:val="00D52866"/>
    <w:rsid w:val="00D53399"/>
    <w:rsid w:val="00D53BCB"/>
    <w:rsid w:val="00D54123"/>
    <w:rsid w:val="00D5414E"/>
    <w:rsid w:val="00D56CF6"/>
    <w:rsid w:val="00D57760"/>
    <w:rsid w:val="00D66D1A"/>
    <w:rsid w:val="00D72043"/>
    <w:rsid w:val="00D73687"/>
    <w:rsid w:val="00D73AD8"/>
    <w:rsid w:val="00D73D17"/>
    <w:rsid w:val="00D760AF"/>
    <w:rsid w:val="00D771DD"/>
    <w:rsid w:val="00D81D28"/>
    <w:rsid w:val="00D843AF"/>
    <w:rsid w:val="00D86F0F"/>
    <w:rsid w:val="00D872FF"/>
    <w:rsid w:val="00D87A4B"/>
    <w:rsid w:val="00D87BBF"/>
    <w:rsid w:val="00D90645"/>
    <w:rsid w:val="00D90676"/>
    <w:rsid w:val="00D94368"/>
    <w:rsid w:val="00D950C8"/>
    <w:rsid w:val="00D96401"/>
    <w:rsid w:val="00D97481"/>
    <w:rsid w:val="00DA568C"/>
    <w:rsid w:val="00DA56B9"/>
    <w:rsid w:val="00DA71F1"/>
    <w:rsid w:val="00DA7D9D"/>
    <w:rsid w:val="00DB2AE1"/>
    <w:rsid w:val="00DB4AAE"/>
    <w:rsid w:val="00DB55FC"/>
    <w:rsid w:val="00DB5744"/>
    <w:rsid w:val="00DB7C0D"/>
    <w:rsid w:val="00DC12B8"/>
    <w:rsid w:val="00DC2CE5"/>
    <w:rsid w:val="00DC3242"/>
    <w:rsid w:val="00DC37B8"/>
    <w:rsid w:val="00DC397A"/>
    <w:rsid w:val="00DC4D22"/>
    <w:rsid w:val="00DD1789"/>
    <w:rsid w:val="00DD5B6A"/>
    <w:rsid w:val="00DD6052"/>
    <w:rsid w:val="00DD6F9A"/>
    <w:rsid w:val="00DE15E0"/>
    <w:rsid w:val="00DF0069"/>
    <w:rsid w:val="00DF00AF"/>
    <w:rsid w:val="00DF03E6"/>
    <w:rsid w:val="00DF43BB"/>
    <w:rsid w:val="00DF6018"/>
    <w:rsid w:val="00DF69FB"/>
    <w:rsid w:val="00DF7650"/>
    <w:rsid w:val="00E00364"/>
    <w:rsid w:val="00E01CD3"/>
    <w:rsid w:val="00E0445B"/>
    <w:rsid w:val="00E04935"/>
    <w:rsid w:val="00E05E68"/>
    <w:rsid w:val="00E0645F"/>
    <w:rsid w:val="00E1071B"/>
    <w:rsid w:val="00E10DC8"/>
    <w:rsid w:val="00E1144A"/>
    <w:rsid w:val="00E12014"/>
    <w:rsid w:val="00E14139"/>
    <w:rsid w:val="00E145B5"/>
    <w:rsid w:val="00E14D66"/>
    <w:rsid w:val="00E20DB5"/>
    <w:rsid w:val="00E24012"/>
    <w:rsid w:val="00E31424"/>
    <w:rsid w:val="00E31CB6"/>
    <w:rsid w:val="00E3297A"/>
    <w:rsid w:val="00E36EE5"/>
    <w:rsid w:val="00E423C5"/>
    <w:rsid w:val="00E42565"/>
    <w:rsid w:val="00E4345F"/>
    <w:rsid w:val="00E44394"/>
    <w:rsid w:val="00E44D65"/>
    <w:rsid w:val="00E47303"/>
    <w:rsid w:val="00E51088"/>
    <w:rsid w:val="00E526E1"/>
    <w:rsid w:val="00E527CF"/>
    <w:rsid w:val="00E53AE9"/>
    <w:rsid w:val="00E547F8"/>
    <w:rsid w:val="00E56BE2"/>
    <w:rsid w:val="00E5717C"/>
    <w:rsid w:val="00E57D4C"/>
    <w:rsid w:val="00E60DF5"/>
    <w:rsid w:val="00E64141"/>
    <w:rsid w:val="00E6486B"/>
    <w:rsid w:val="00E64E3A"/>
    <w:rsid w:val="00E65E84"/>
    <w:rsid w:val="00E665B9"/>
    <w:rsid w:val="00E70FA2"/>
    <w:rsid w:val="00E75273"/>
    <w:rsid w:val="00E75E40"/>
    <w:rsid w:val="00E768D4"/>
    <w:rsid w:val="00E776EF"/>
    <w:rsid w:val="00E84D93"/>
    <w:rsid w:val="00E85A32"/>
    <w:rsid w:val="00E8672A"/>
    <w:rsid w:val="00E86ED0"/>
    <w:rsid w:val="00E872CD"/>
    <w:rsid w:val="00E87AA1"/>
    <w:rsid w:val="00E91FFE"/>
    <w:rsid w:val="00E93FA4"/>
    <w:rsid w:val="00E95412"/>
    <w:rsid w:val="00EB004E"/>
    <w:rsid w:val="00EB109F"/>
    <w:rsid w:val="00EB2F6E"/>
    <w:rsid w:val="00EB495D"/>
    <w:rsid w:val="00EC05A3"/>
    <w:rsid w:val="00EC43A4"/>
    <w:rsid w:val="00EC6A99"/>
    <w:rsid w:val="00EC769C"/>
    <w:rsid w:val="00ED0300"/>
    <w:rsid w:val="00ED1A05"/>
    <w:rsid w:val="00ED3306"/>
    <w:rsid w:val="00ED3B42"/>
    <w:rsid w:val="00EF05F5"/>
    <w:rsid w:val="00EF1B70"/>
    <w:rsid w:val="00EF2195"/>
    <w:rsid w:val="00EF2542"/>
    <w:rsid w:val="00EF44EF"/>
    <w:rsid w:val="00EF6CDD"/>
    <w:rsid w:val="00F03138"/>
    <w:rsid w:val="00F05AFA"/>
    <w:rsid w:val="00F05F19"/>
    <w:rsid w:val="00F0659D"/>
    <w:rsid w:val="00F07450"/>
    <w:rsid w:val="00F077E2"/>
    <w:rsid w:val="00F10ABF"/>
    <w:rsid w:val="00F121C4"/>
    <w:rsid w:val="00F132A0"/>
    <w:rsid w:val="00F14052"/>
    <w:rsid w:val="00F1628E"/>
    <w:rsid w:val="00F1658C"/>
    <w:rsid w:val="00F1671E"/>
    <w:rsid w:val="00F210B5"/>
    <w:rsid w:val="00F22C58"/>
    <w:rsid w:val="00F236EB"/>
    <w:rsid w:val="00F26525"/>
    <w:rsid w:val="00F2774F"/>
    <w:rsid w:val="00F30801"/>
    <w:rsid w:val="00F30970"/>
    <w:rsid w:val="00F30992"/>
    <w:rsid w:val="00F32048"/>
    <w:rsid w:val="00F334FF"/>
    <w:rsid w:val="00F36B73"/>
    <w:rsid w:val="00F40E8E"/>
    <w:rsid w:val="00F4338B"/>
    <w:rsid w:val="00F449B3"/>
    <w:rsid w:val="00F44A21"/>
    <w:rsid w:val="00F504A3"/>
    <w:rsid w:val="00F5233C"/>
    <w:rsid w:val="00F5275D"/>
    <w:rsid w:val="00F53399"/>
    <w:rsid w:val="00F53F0A"/>
    <w:rsid w:val="00F549D5"/>
    <w:rsid w:val="00F57BBF"/>
    <w:rsid w:val="00F62065"/>
    <w:rsid w:val="00F62B80"/>
    <w:rsid w:val="00F66030"/>
    <w:rsid w:val="00F665EF"/>
    <w:rsid w:val="00F71B45"/>
    <w:rsid w:val="00F71E23"/>
    <w:rsid w:val="00F754E0"/>
    <w:rsid w:val="00F77863"/>
    <w:rsid w:val="00F80308"/>
    <w:rsid w:val="00F80605"/>
    <w:rsid w:val="00F83076"/>
    <w:rsid w:val="00F850C6"/>
    <w:rsid w:val="00F864AD"/>
    <w:rsid w:val="00F92175"/>
    <w:rsid w:val="00F957A9"/>
    <w:rsid w:val="00F969DC"/>
    <w:rsid w:val="00FA0498"/>
    <w:rsid w:val="00FA1A03"/>
    <w:rsid w:val="00FA1A77"/>
    <w:rsid w:val="00FA3EBA"/>
    <w:rsid w:val="00FA42FF"/>
    <w:rsid w:val="00FA52A5"/>
    <w:rsid w:val="00FA6C21"/>
    <w:rsid w:val="00FB163D"/>
    <w:rsid w:val="00FB3ECB"/>
    <w:rsid w:val="00FB4650"/>
    <w:rsid w:val="00FC0E66"/>
    <w:rsid w:val="00FC2D11"/>
    <w:rsid w:val="00FD0D54"/>
    <w:rsid w:val="00FD3133"/>
    <w:rsid w:val="00FD5A44"/>
    <w:rsid w:val="00FE2F5A"/>
    <w:rsid w:val="00FE3356"/>
    <w:rsid w:val="00FE509C"/>
    <w:rsid w:val="00FE7EE0"/>
    <w:rsid w:val="00FF7D54"/>
    <w:rsid w:val="00FF7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DF1A763-0EC5-48FB-805E-7FD94F5D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56"/>
    <w:pPr>
      <w:spacing w:line="480" w:lineRule="auto"/>
      <w:jc w:val="both"/>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F13"/>
    <w:rPr>
      <w:color w:val="0000FF" w:themeColor="hyperlink"/>
      <w:u w:val="single"/>
    </w:rPr>
  </w:style>
  <w:style w:type="paragraph" w:styleId="ListParagraph">
    <w:name w:val="List Paragraph"/>
    <w:basedOn w:val="Normal"/>
    <w:uiPriority w:val="34"/>
    <w:qFormat/>
    <w:rsid w:val="00EB109F"/>
    <w:pPr>
      <w:ind w:left="720"/>
      <w:contextualSpacing/>
    </w:pPr>
  </w:style>
  <w:style w:type="character" w:styleId="FollowedHyperlink">
    <w:name w:val="FollowedHyperlink"/>
    <w:basedOn w:val="DefaultParagraphFont"/>
    <w:uiPriority w:val="99"/>
    <w:semiHidden/>
    <w:unhideWhenUsed/>
    <w:rsid w:val="00CA1616"/>
    <w:rPr>
      <w:color w:val="800080" w:themeColor="followedHyperlink"/>
      <w:u w:val="single"/>
    </w:rPr>
  </w:style>
  <w:style w:type="table" w:styleId="TableGrid">
    <w:name w:val="Table Grid"/>
    <w:basedOn w:val="TableNormal"/>
    <w:uiPriority w:val="59"/>
    <w:rsid w:val="009C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F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F7F9F"/>
    <w:rPr>
      <w:rFonts w:ascii="Courier New" w:eastAsia="Times New Roman" w:hAnsi="Courier New" w:cs="Courier New"/>
      <w:sz w:val="20"/>
      <w:szCs w:val="20"/>
      <w:lang w:eastAsia="en-GB"/>
    </w:rPr>
  </w:style>
  <w:style w:type="paragraph" w:styleId="Header">
    <w:name w:val="header"/>
    <w:basedOn w:val="Normal"/>
    <w:link w:val="HeaderChar"/>
    <w:uiPriority w:val="99"/>
    <w:semiHidden/>
    <w:unhideWhenUsed/>
    <w:rsid w:val="00173667"/>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173667"/>
    <w:rPr>
      <w:rFonts w:ascii="Arial" w:hAnsi="Arial" w:cs="Arial"/>
      <w:sz w:val="24"/>
      <w:lang w:val="en-US"/>
    </w:rPr>
  </w:style>
  <w:style w:type="paragraph" w:styleId="Footer">
    <w:name w:val="footer"/>
    <w:basedOn w:val="Normal"/>
    <w:link w:val="FooterChar"/>
    <w:uiPriority w:val="99"/>
    <w:unhideWhenUsed/>
    <w:rsid w:val="00173667"/>
    <w:pPr>
      <w:tabs>
        <w:tab w:val="center" w:pos="4252"/>
        <w:tab w:val="right" w:pos="8504"/>
      </w:tabs>
      <w:spacing w:after="0" w:line="240" w:lineRule="auto"/>
    </w:pPr>
  </w:style>
  <w:style w:type="character" w:customStyle="1" w:styleId="FooterChar">
    <w:name w:val="Footer Char"/>
    <w:basedOn w:val="DefaultParagraphFont"/>
    <w:link w:val="Footer"/>
    <w:uiPriority w:val="99"/>
    <w:rsid w:val="00173667"/>
    <w:rPr>
      <w:rFonts w:ascii="Arial" w:hAnsi="Arial" w:cs="Arial"/>
      <w:sz w:val="24"/>
      <w:lang w:val="en-US"/>
    </w:rPr>
  </w:style>
  <w:style w:type="character" w:customStyle="1" w:styleId="gnvmtomchab">
    <w:name w:val="gnvmtomchab"/>
    <w:basedOn w:val="DefaultParagraphFont"/>
    <w:rsid w:val="00162552"/>
  </w:style>
  <w:style w:type="character" w:customStyle="1" w:styleId="gnvmtomcdbb">
    <w:name w:val="gnvmtomcdbb"/>
    <w:basedOn w:val="DefaultParagraphFont"/>
    <w:rsid w:val="0016255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B9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C0FAB"/>
    <w:rPr>
      <w:b/>
      <w:bCs/>
    </w:rPr>
  </w:style>
  <w:style w:type="character" w:customStyle="1" w:styleId="CommentSubjectChar">
    <w:name w:val="Comment Subject Char"/>
    <w:basedOn w:val="CommentTextChar"/>
    <w:link w:val="CommentSubject"/>
    <w:uiPriority w:val="99"/>
    <w:semiHidden/>
    <w:rsid w:val="007C0FAB"/>
    <w:rPr>
      <w:rFonts w:ascii="Arial" w:hAnsi="Arial" w:cs="Arial"/>
      <w:b/>
      <w:bCs/>
      <w:sz w:val="20"/>
      <w:szCs w:val="20"/>
    </w:rPr>
  </w:style>
  <w:style w:type="paragraph" w:styleId="Revision">
    <w:name w:val="Revision"/>
    <w:hidden/>
    <w:uiPriority w:val="99"/>
    <w:semiHidden/>
    <w:rsid w:val="00F71B45"/>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797">
      <w:bodyDiv w:val="1"/>
      <w:marLeft w:val="0"/>
      <w:marRight w:val="0"/>
      <w:marTop w:val="0"/>
      <w:marBottom w:val="0"/>
      <w:divBdr>
        <w:top w:val="none" w:sz="0" w:space="0" w:color="auto"/>
        <w:left w:val="none" w:sz="0" w:space="0" w:color="auto"/>
        <w:bottom w:val="none" w:sz="0" w:space="0" w:color="auto"/>
        <w:right w:val="none" w:sz="0" w:space="0" w:color="auto"/>
      </w:divBdr>
    </w:div>
    <w:div w:id="93870598">
      <w:bodyDiv w:val="1"/>
      <w:marLeft w:val="0"/>
      <w:marRight w:val="0"/>
      <w:marTop w:val="0"/>
      <w:marBottom w:val="0"/>
      <w:divBdr>
        <w:top w:val="none" w:sz="0" w:space="0" w:color="auto"/>
        <w:left w:val="none" w:sz="0" w:space="0" w:color="auto"/>
        <w:bottom w:val="none" w:sz="0" w:space="0" w:color="auto"/>
        <w:right w:val="none" w:sz="0" w:space="0" w:color="auto"/>
      </w:divBdr>
    </w:div>
    <w:div w:id="103814185">
      <w:bodyDiv w:val="1"/>
      <w:marLeft w:val="0"/>
      <w:marRight w:val="0"/>
      <w:marTop w:val="0"/>
      <w:marBottom w:val="0"/>
      <w:divBdr>
        <w:top w:val="none" w:sz="0" w:space="0" w:color="auto"/>
        <w:left w:val="none" w:sz="0" w:space="0" w:color="auto"/>
        <w:bottom w:val="none" w:sz="0" w:space="0" w:color="auto"/>
        <w:right w:val="none" w:sz="0" w:space="0" w:color="auto"/>
      </w:divBdr>
    </w:div>
    <w:div w:id="160238318">
      <w:bodyDiv w:val="1"/>
      <w:marLeft w:val="0"/>
      <w:marRight w:val="0"/>
      <w:marTop w:val="0"/>
      <w:marBottom w:val="0"/>
      <w:divBdr>
        <w:top w:val="none" w:sz="0" w:space="0" w:color="auto"/>
        <w:left w:val="none" w:sz="0" w:space="0" w:color="auto"/>
        <w:bottom w:val="none" w:sz="0" w:space="0" w:color="auto"/>
        <w:right w:val="none" w:sz="0" w:space="0" w:color="auto"/>
      </w:divBdr>
    </w:div>
    <w:div w:id="197818787">
      <w:bodyDiv w:val="1"/>
      <w:marLeft w:val="0"/>
      <w:marRight w:val="0"/>
      <w:marTop w:val="0"/>
      <w:marBottom w:val="0"/>
      <w:divBdr>
        <w:top w:val="none" w:sz="0" w:space="0" w:color="auto"/>
        <w:left w:val="none" w:sz="0" w:space="0" w:color="auto"/>
        <w:bottom w:val="none" w:sz="0" w:space="0" w:color="auto"/>
        <w:right w:val="none" w:sz="0" w:space="0" w:color="auto"/>
      </w:divBdr>
    </w:div>
    <w:div w:id="200091973">
      <w:bodyDiv w:val="1"/>
      <w:marLeft w:val="0"/>
      <w:marRight w:val="0"/>
      <w:marTop w:val="0"/>
      <w:marBottom w:val="0"/>
      <w:divBdr>
        <w:top w:val="none" w:sz="0" w:space="0" w:color="auto"/>
        <w:left w:val="none" w:sz="0" w:space="0" w:color="auto"/>
        <w:bottom w:val="none" w:sz="0" w:space="0" w:color="auto"/>
        <w:right w:val="none" w:sz="0" w:space="0" w:color="auto"/>
      </w:divBdr>
    </w:div>
    <w:div w:id="274020917">
      <w:bodyDiv w:val="1"/>
      <w:marLeft w:val="0"/>
      <w:marRight w:val="0"/>
      <w:marTop w:val="0"/>
      <w:marBottom w:val="0"/>
      <w:divBdr>
        <w:top w:val="none" w:sz="0" w:space="0" w:color="auto"/>
        <w:left w:val="none" w:sz="0" w:space="0" w:color="auto"/>
        <w:bottom w:val="none" w:sz="0" w:space="0" w:color="auto"/>
        <w:right w:val="none" w:sz="0" w:space="0" w:color="auto"/>
      </w:divBdr>
    </w:div>
    <w:div w:id="331029232">
      <w:bodyDiv w:val="1"/>
      <w:marLeft w:val="0"/>
      <w:marRight w:val="0"/>
      <w:marTop w:val="0"/>
      <w:marBottom w:val="0"/>
      <w:divBdr>
        <w:top w:val="none" w:sz="0" w:space="0" w:color="auto"/>
        <w:left w:val="none" w:sz="0" w:space="0" w:color="auto"/>
        <w:bottom w:val="none" w:sz="0" w:space="0" w:color="auto"/>
        <w:right w:val="none" w:sz="0" w:space="0" w:color="auto"/>
      </w:divBdr>
    </w:div>
    <w:div w:id="548539769">
      <w:bodyDiv w:val="1"/>
      <w:marLeft w:val="0"/>
      <w:marRight w:val="0"/>
      <w:marTop w:val="0"/>
      <w:marBottom w:val="0"/>
      <w:divBdr>
        <w:top w:val="none" w:sz="0" w:space="0" w:color="auto"/>
        <w:left w:val="none" w:sz="0" w:space="0" w:color="auto"/>
        <w:bottom w:val="none" w:sz="0" w:space="0" w:color="auto"/>
        <w:right w:val="none" w:sz="0" w:space="0" w:color="auto"/>
      </w:divBdr>
    </w:div>
    <w:div w:id="687679309">
      <w:bodyDiv w:val="1"/>
      <w:marLeft w:val="0"/>
      <w:marRight w:val="0"/>
      <w:marTop w:val="0"/>
      <w:marBottom w:val="0"/>
      <w:divBdr>
        <w:top w:val="none" w:sz="0" w:space="0" w:color="auto"/>
        <w:left w:val="none" w:sz="0" w:space="0" w:color="auto"/>
        <w:bottom w:val="none" w:sz="0" w:space="0" w:color="auto"/>
        <w:right w:val="none" w:sz="0" w:space="0" w:color="auto"/>
      </w:divBdr>
      <w:divsChild>
        <w:div w:id="861867490">
          <w:marLeft w:val="0"/>
          <w:marRight w:val="0"/>
          <w:marTop w:val="0"/>
          <w:marBottom w:val="0"/>
          <w:divBdr>
            <w:top w:val="none" w:sz="0" w:space="0" w:color="auto"/>
            <w:left w:val="none" w:sz="0" w:space="0" w:color="auto"/>
            <w:bottom w:val="none" w:sz="0" w:space="0" w:color="auto"/>
            <w:right w:val="none" w:sz="0" w:space="0" w:color="auto"/>
          </w:divBdr>
        </w:div>
        <w:div w:id="397558570">
          <w:marLeft w:val="0"/>
          <w:marRight w:val="0"/>
          <w:marTop w:val="0"/>
          <w:marBottom w:val="0"/>
          <w:divBdr>
            <w:top w:val="none" w:sz="0" w:space="0" w:color="auto"/>
            <w:left w:val="none" w:sz="0" w:space="0" w:color="auto"/>
            <w:bottom w:val="none" w:sz="0" w:space="0" w:color="auto"/>
            <w:right w:val="none" w:sz="0" w:space="0" w:color="auto"/>
          </w:divBdr>
        </w:div>
        <w:div w:id="831796329">
          <w:marLeft w:val="0"/>
          <w:marRight w:val="0"/>
          <w:marTop w:val="0"/>
          <w:marBottom w:val="0"/>
          <w:divBdr>
            <w:top w:val="none" w:sz="0" w:space="0" w:color="auto"/>
            <w:left w:val="none" w:sz="0" w:space="0" w:color="auto"/>
            <w:bottom w:val="none" w:sz="0" w:space="0" w:color="auto"/>
            <w:right w:val="none" w:sz="0" w:space="0" w:color="auto"/>
          </w:divBdr>
        </w:div>
      </w:divsChild>
    </w:div>
    <w:div w:id="734012314">
      <w:bodyDiv w:val="1"/>
      <w:marLeft w:val="0"/>
      <w:marRight w:val="0"/>
      <w:marTop w:val="0"/>
      <w:marBottom w:val="0"/>
      <w:divBdr>
        <w:top w:val="none" w:sz="0" w:space="0" w:color="auto"/>
        <w:left w:val="none" w:sz="0" w:space="0" w:color="auto"/>
        <w:bottom w:val="none" w:sz="0" w:space="0" w:color="auto"/>
        <w:right w:val="none" w:sz="0" w:space="0" w:color="auto"/>
      </w:divBdr>
    </w:div>
    <w:div w:id="767116514">
      <w:bodyDiv w:val="1"/>
      <w:marLeft w:val="0"/>
      <w:marRight w:val="0"/>
      <w:marTop w:val="0"/>
      <w:marBottom w:val="0"/>
      <w:divBdr>
        <w:top w:val="none" w:sz="0" w:space="0" w:color="auto"/>
        <w:left w:val="none" w:sz="0" w:space="0" w:color="auto"/>
        <w:bottom w:val="none" w:sz="0" w:space="0" w:color="auto"/>
        <w:right w:val="none" w:sz="0" w:space="0" w:color="auto"/>
      </w:divBdr>
    </w:div>
    <w:div w:id="855923205">
      <w:bodyDiv w:val="1"/>
      <w:marLeft w:val="0"/>
      <w:marRight w:val="0"/>
      <w:marTop w:val="0"/>
      <w:marBottom w:val="0"/>
      <w:divBdr>
        <w:top w:val="none" w:sz="0" w:space="0" w:color="auto"/>
        <w:left w:val="none" w:sz="0" w:space="0" w:color="auto"/>
        <w:bottom w:val="none" w:sz="0" w:space="0" w:color="auto"/>
        <w:right w:val="none" w:sz="0" w:space="0" w:color="auto"/>
      </w:divBdr>
      <w:divsChild>
        <w:div w:id="606275276">
          <w:marLeft w:val="0"/>
          <w:marRight w:val="0"/>
          <w:marTop w:val="0"/>
          <w:marBottom w:val="0"/>
          <w:divBdr>
            <w:top w:val="none" w:sz="0" w:space="0" w:color="auto"/>
            <w:left w:val="none" w:sz="0" w:space="0" w:color="auto"/>
            <w:bottom w:val="none" w:sz="0" w:space="0" w:color="auto"/>
            <w:right w:val="none" w:sz="0" w:space="0" w:color="auto"/>
          </w:divBdr>
        </w:div>
        <w:div w:id="1172841905">
          <w:marLeft w:val="0"/>
          <w:marRight w:val="0"/>
          <w:marTop w:val="0"/>
          <w:marBottom w:val="0"/>
          <w:divBdr>
            <w:top w:val="none" w:sz="0" w:space="0" w:color="auto"/>
            <w:left w:val="none" w:sz="0" w:space="0" w:color="auto"/>
            <w:bottom w:val="none" w:sz="0" w:space="0" w:color="auto"/>
            <w:right w:val="none" w:sz="0" w:space="0" w:color="auto"/>
          </w:divBdr>
        </w:div>
        <w:div w:id="293559270">
          <w:marLeft w:val="0"/>
          <w:marRight w:val="0"/>
          <w:marTop w:val="0"/>
          <w:marBottom w:val="0"/>
          <w:divBdr>
            <w:top w:val="none" w:sz="0" w:space="0" w:color="auto"/>
            <w:left w:val="none" w:sz="0" w:space="0" w:color="auto"/>
            <w:bottom w:val="none" w:sz="0" w:space="0" w:color="auto"/>
            <w:right w:val="none" w:sz="0" w:space="0" w:color="auto"/>
          </w:divBdr>
        </w:div>
      </w:divsChild>
    </w:div>
    <w:div w:id="892038984">
      <w:bodyDiv w:val="1"/>
      <w:marLeft w:val="0"/>
      <w:marRight w:val="0"/>
      <w:marTop w:val="0"/>
      <w:marBottom w:val="0"/>
      <w:divBdr>
        <w:top w:val="none" w:sz="0" w:space="0" w:color="auto"/>
        <w:left w:val="none" w:sz="0" w:space="0" w:color="auto"/>
        <w:bottom w:val="none" w:sz="0" w:space="0" w:color="auto"/>
        <w:right w:val="none" w:sz="0" w:space="0" w:color="auto"/>
      </w:divBdr>
    </w:div>
    <w:div w:id="894975562">
      <w:bodyDiv w:val="1"/>
      <w:marLeft w:val="0"/>
      <w:marRight w:val="0"/>
      <w:marTop w:val="0"/>
      <w:marBottom w:val="0"/>
      <w:divBdr>
        <w:top w:val="none" w:sz="0" w:space="0" w:color="auto"/>
        <w:left w:val="none" w:sz="0" w:space="0" w:color="auto"/>
        <w:bottom w:val="none" w:sz="0" w:space="0" w:color="auto"/>
        <w:right w:val="none" w:sz="0" w:space="0" w:color="auto"/>
      </w:divBdr>
    </w:div>
    <w:div w:id="909075552">
      <w:bodyDiv w:val="1"/>
      <w:marLeft w:val="0"/>
      <w:marRight w:val="0"/>
      <w:marTop w:val="0"/>
      <w:marBottom w:val="0"/>
      <w:divBdr>
        <w:top w:val="none" w:sz="0" w:space="0" w:color="auto"/>
        <w:left w:val="none" w:sz="0" w:space="0" w:color="auto"/>
        <w:bottom w:val="none" w:sz="0" w:space="0" w:color="auto"/>
        <w:right w:val="none" w:sz="0" w:space="0" w:color="auto"/>
      </w:divBdr>
    </w:div>
    <w:div w:id="945844123">
      <w:bodyDiv w:val="1"/>
      <w:marLeft w:val="0"/>
      <w:marRight w:val="0"/>
      <w:marTop w:val="0"/>
      <w:marBottom w:val="0"/>
      <w:divBdr>
        <w:top w:val="none" w:sz="0" w:space="0" w:color="auto"/>
        <w:left w:val="none" w:sz="0" w:space="0" w:color="auto"/>
        <w:bottom w:val="none" w:sz="0" w:space="0" w:color="auto"/>
        <w:right w:val="none" w:sz="0" w:space="0" w:color="auto"/>
      </w:divBdr>
    </w:div>
    <w:div w:id="1072697970">
      <w:bodyDiv w:val="1"/>
      <w:marLeft w:val="0"/>
      <w:marRight w:val="0"/>
      <w:marTop w:val="0"/>
      <w:marBottom w:val="0"/>
      <w:divBdr>
        <w:top w:val="none" w:sz="0" w:space="0" w:color="auto"/>
        <w:left w:val="none" w:sz="0" w:space="0" w:color="auto"/>
        <w:bottom w:val="none" w:sz="0" w:space="0" w:color="auto"/>
        <w:right w:val="none" w:sz="0" w:space="0" w:color="auto"/>
      </w:divBdr>
    </w:div>
    <w:div w:id="1223297979">
      <w:bodyDiv w:val="1"/>
      <w:marLeft w:val="0"/>
      <w:marRight w:val="0"/>
      <w:marTop w:val="0"/>
      <w:marBottom w:val="0"/>
      <w:divBdr>
        <w:top w:val="none" w:sz="0" w:space="0" w:color="auto"/>
        <w:left w:val="none" w:sz="0" w:space="0" w:color="auto"/>
        <w:bottom w:val="none" w:sz="0" w:space="0" w:color="auto"/>
        <w:right w:val="none" w:sz="0" w:space="0" w:color="auto"/>
      </w:divBdr>
    </w:div>
    <w:div w:id="1231425461">
      <w:bodyDiv w:val="1"/>
      <w:marLeft w:val="0"/>
      <w:marRight w:val="0"/>
      <w:marTop w:val="0"/>
      <w:marBottom w:val="0"/>
      <w:divBdr>
        <w:top w:val="none" w:sz="0" w:space="0" w:color="auto"/>
        <w:left w:val="none" w:sz="0" w:space="0" w:color="auto"/>
        <w:bottom w:val="none" w:sz="0" w:space="0" w:color="auto"/>
        <w:right w:val="none" w:sz="0" w:space="0" w:color="auto"/>
      </w:divBdr>
    </w:div>
    <w:div w:id="1277102571">
      <w:bodyDiv w:val="1"/>
      <w:marLeft w:val="0"/>
      <w:marRight w:val="0"/>
      <w:marTop w:val="0"/>
      <w:marBottom w:val="0"/>
      <w:divBdr>
        <w:top w:val="none" w:sz="0" w:space="0" w:color="auto"/>
        <w:left w:val="none" w:sz="0" w:space="0" w:color="auto"/>
        <w:bottom w:val="none" w:sz="0" w:space="0" w:color="auto"/>
        <w:right w:val="none" w:sz="0" w:space="0" w:color="auto"/>
      </w:divBdr>
    </w:div>
    <w:div w:id="1280406564">
      <w:bodyDiv w:val="1"/>
      <w:marLeft w:val="0"/>
      <w:marRight w:val="0"/>
      <w:marTop w:val="0"/>
      <w:marBottom w:val="0"/>
      <w:divBdr>
        <w:top w:val="none" w:sz="0" w:space="0" w:color="auto"/>
        <w:left w:val="none" w:sz="0" w:space="0" w:color="auto"/>
        <w:bottom w:val="none" w:sz="0" w:space="0" w:color="auto"/>
        <w:right w:val="none" w:sz="0" w:space="0" w:color="auto"/>
      </w:divBdr>
    </w:div>
    <w:div w:id="1494835411">
      <w:bodyDiv w:val="1"/>
      <w:marLeft w:val="0"/>
      <w:marRight w:val="0"/>
      <w:marTop w:val="0"/>
      <w:marBottom w:val="0"/>
      <w:divBdr>
        <w:top w:val="none" w:sz="0" w:space="0" w:color="auto"/>
        <w:left w:val="none" w:sz="0" w:space="0" w:color="auto"/>
        <w:bottom w:val="none" w:sz="0" w:space="0" w:color="auto"/>
        <w:right w:val="none" w:sz="0" w:space="0" w:color="auto"/>
      </w:divBdr>
    </w:div>
    <w:div w:id="1558660914">
      <w:bodyDiv w:val="1"/>
      <w:marLeft w:val="0"/>
      <w:marRight w:val="0"/>
      <w:marTop w:val="0"/>
      <w:marBottom w:val="0"/>
      <w:divBdr>
        <w:top w:val="none" w:sz="0" w:space="0" w:color="auto"/>
        <w:left w:val="none" w:sz="0" w:space="0" w:color="auto"/>
        <w:bottom w:val="none" w:sz="0" w:space="0" w:color="auto"/>
        <w:right w:val="none" w:sz="0" w:space="0" w:color="auto"/>
      </w:divBdr>
    </w:div>
    <w:div w:id="1620839122">
      <w:bodyDiv w:val="1"/>
      <w:marLeft w:val="0"/>
      <w:marRight w:val="0"/>
      <w:marTop w:val="0"/>
      <w:marBottom w:val="0"/>
      <w:divBdr>
        <w:top w:val="none" w:sz="0" w:space="0" w:color="auto"/>
        <w:left w:val="none" w:sz="0" w:space="0" w:color="auto"/>
        <w:bottom w:val="none" w:sz="0" w:space="0" w:color="auto"/>
        <w:right w:val="none" w:sz="0" w:space="0" w:color="auto"/>
      </w:divBdr>
    </w:div>
    <w:div w:id="1686518752">
      <w:bodyDiv w:val="1"/>
      <w:marLeft w:val="0"/>
      <w:marRight w:val="0"/>
      <w:marTop w:val="0"/>
      <w:marBottom w:val="0"/>
      <w:divBdr>
        <w:top w:val="none" w:sz="0" w:space="0" w:color="auto"/>
        <w:left w:val="none" w:sz="0" w:space="0" w:color="auto"/>
        <w:bottom w:val="none" w:sz="0" w:space="0" w:color="auto"/>
        <w:right w:val="none" w:sz="0" w:space="0" w:color="auto"/>
      </w:divBdr>
    </w:div>
    <w:div w:id="1696423975">
      <w:bodyDiv w:val="1"/>
      <w:marLeft w:val="0"/>
      <w:marRight w:val="0"/>
      <w:marTop w:val="0"/>
      <w:marBottom w:val="0"/>
      <w:divBdr>
        <w:top w:val="none" w:sz="0" w:space="0" w:color="auto"/>
        <w:left w:val="none" w:sz="0" w:space="0" w:color="auto"/>
        <w:bottom w:val="none" w:sz="0" w:space="0" w:color="auto"/>
        <w:right w:val="none" w:sz="0" w:space="0" w:color="auto"/>
      </w:divBdr>
    </w:div>
    <w:div w:id="1710063523">
      <w:bodyDiv w:val="1"/>
      <w:marLeft w:val="0"/>
      <w:marRight w:val="0"/>
      <w:marTop w:val="0"/>
      <w:marBottom w:val="0"/>
      <w:divBdr>
        <w:top w:val="none" w:sz="0" w:space="0" w:color="auto"/>
        <w:left w:val="none" w:sz="0" w:space="0" w:color="auto"/>
        <w:bottom w:val="none" w:sz="0" w:space="0" w:color="auto"/>
        <w:right w:val="none" w:sz="0" w:space="0" w:color="auto"/>
      </w:divBdr>
    </w:div>
    <w:div w:id="1718774704">
      <w:bodyDiv w:val="1"/>
      <w:marLeft w:val="0"/>
      <w:marRight w:val="0"/>
      <w:marTop w:val="0"/>
      <w:marBottom w:val="0"/>
      <w:divBdr>
        <w:top w:val="none" w:sz="0" w:space="0" w:color="auto"/>
        <w:left w:val="none" w:sz="0" w:space="0" w:color="auto"/>
        <w:bottom w:val="none" w:sz="0" w:space="0" w:color="auto"/>
        <w:right w:val="none" w:sz="0" w:space="0" w:color="auto"/>
      </w:divBdr>
    </w:div>
    <w:div w:id="1731034227">
      <w:bodyDiv w:val="1"/>
      <w:marLeft w:val="0"/>
      <w:marRight w:val="0"/>
      <w:marTop w:val="0"/>
      <w:marBottom w:val="0"/>
      <w:divBdr>
        <w:top w:val="none" w:sz="0" w:space="0" w:color="auto"/>
        <w:left w:val="none" w:sz="0" w:space="0" w:color="auto"/>
        <w:bottom w:val="none" w:sz="0" w:space="0" w:color="auto"/>
        <w:right w:val="none" w:sz="0" w:space="0" w:color="auto"/>
      </w:divBdr>
    </w:div>
    <w:div w:id="1745953671">
      <w:bodyDiv w:val="1"/>
      <w:marLeft w:val="0"/>
      <w:marRight w:val="0"/>
      <w:marTop w:val="0"/>
      <w:marBottom w:val="0"/>
      <w:divBdr>
        <w:top w:val="none" w:sz="0" w:space="0" w:color="auto"/>
        <w:left w:val="none" w:sz="0" w:space="0" w:color="auto"/>
        <w:bottom w:val="none" w:sz="0" w:space="0" w:color="auto"/>
        <w:right w:val="none" w:sz="0" w:space="0" w:color="auto"/>
      </w:divBdr>
    </w:div>
    <w:div w:id="1762067044">
      <w:bodyDiv w:val="1"/>
      <w:marLeft w:val="0"/>
      <w:marRight w:val="0"/>
      <w:marTop w:val="0"/>
      <w:marBottom w:val="0"/>
      <w:divBdr>
        <w:top w:val="none" w:sz="0" w:space="0" w:color="auto"/>
        <w:left w:val="none" w:sz="0" w:space="0" w:color="auto"/>
        <w:bottom w:val="none" w:sz="0" w:space="0" w:color="auto"/>
        <w:right w:val="none" w:sz="0" w:space="0" w:color="auto"/>
      </w:divBdr>
    </w:div>
    <w:div w:id="1784375265">
      <w:bodyDiv w:val="1"/>
      <w:marLeft w:val="0"/>
      <w:marRight w:val="0"/>
      <w:marTop w:val="0"/>
      <w:marBottom w:val="0"/>
      <w:divBdr>
        <w:top w:val="none" w:sz="0" w:space="0" w:color="auto"/>
        <w:left w:val="none" w:sz="0" w:space="0" w:color="auto"/>
        <w:bottom w:val="none" w:sz="0" w:space="0" w:color="auto"/>
        <w:right w:val="none" w:sz="0" w:space="0" w:color="auto"/>
      </w:divBdr>
    </w:div>
    <w:div w:id="1784838137">
      <w:bodyDiv w:val="1"/>
      <w:marLeft w:val="0"/>
      <w:marRight w:val="0"/>
      <w:marTop w:val="0"/>
      <w:marBottom w:val="0"/>
      <w:divBdr>
        <w:top w:val="none" w:sz="0" w:space="0" w:color="auto"/>
        <w:left w:val="none" w:sz="0" w:space="0" w:color="auto"/>
        <w:bottom w:val="none" w:sz="0" w:space="0" w:color="auto"/>
        <w:right w:val="none" w:sz="0" w:space="0" w:color="auto"/>
      </w:divBdr>
    </w:div>
    <w:div w:id="1913469593">
      <w:bodyDiv w:val="1"/>
      <w:marLeft w:val="0"/>
      <w:marRight w:val="0"/>
      <w:marTop w:val="0"/>
      <w:marBottom w:val="0"/>
      <w:divBdr>
        <w:top w:val="none" w:sz="0" w:space="0" w:color="auto"/>
        <w:left w:val="none" w:sz="0" w:space="0" w:color="auto"/>
        <w:bottom w:val="none" w:sz="0" w:space="0" w:color="auto"/>
        <w:right w:val="none" w:sz="0" w:space="0" w:color="auto"/>
      </w:divBdr>
    </w:div>
    <w:div w:id="1953977150">
      <w:bodyDiv w:val="1"/>
      <w:marLeft w:val="0"/>
      <w:marRight w:val="0"/>
      <w:marTop w:val="0"/>
      <w:marBottom w:val="0"/>
      <w:divBdr>
        <w:top w:val="none" w:sz="0" w:space="0" w:color="auto"/>
        <w:left w:val="none" w:sz="0" w:space="0" w:color="auto"/>
        <w:bottom w:val="none" w:sz="0" w:space="0" w:color="auto"/>
        <w:right w:val="none" w:sz="0" w:space="0" w:color="auto"/>
      </w:divBdr>
    </w:div>
    <w:div w:id="2042002349">
      <w:bodyDiv w:val="1"/>
      <w:marLeft w:val="0"/>
      <w:marRight w:val="0"/>
      <w:marTop w:val="0"/>
      <w:marBottom w:val="0"/>
      <w:divBdr>
        <w:top w:val="none" w:sz="0" w:space="0" w:color="auto"/>
        <w:left w:val="none" w:sz="0" w:space="0" w:color="auto"/>
        <w:bottom w:val="none" w:sz="0" w:space="0" w:color="auto"/>
        <w:right w:val="none" w:sz="0" w:space="0" w:color="auto"/>
      </w:divBdr>
    </w:div>
    <w:div w:id="2095278243">
      <w:bodyDiv w:val="1"/>
      <w:marLeft w:val="0"/>
      <w:marRight w:val="0"/>
      <w:marTop w:val="0"/>
      <w:marBottom w:val="0"/>
      <w:divBdr>
        <w:top w:val="none" w:sz="0" w:space="0" w:color="auto"/>
        <w:left w:val="none" w:sz="0" w:space="0" w:color="auto"/>
        <w:bottom w:val="none" w:sz="0" w:space="0" w:color="auto"/>
        <w:right w:val="none" w:sz="0" w:space="0" w:color="auto"/>
      </w:divBdr>
    </w:div>
    <w:div w:id="2108962469">
      <w:bodyDiv w:val="1"/>
      <w:marLeft w:val="0"/>
      <w:marRight w:val="0"/>
      <w:marTop w:val="0"/>
      <w:marBottom w:val="0"/>
      <w:divBdr>
        <w:top w:val="none" w:sz="0" w:space="0" w:color="auto"/>
        <w:left w:val="none" w:sz="0" w:space="0" w:color="auto"/>
        <w:bottom w:val="none" w:sz="0" w:space="0" w:color="auto"/>
        <w:right w:val="none" w:sz="0" w:space="0" w:color="auto"/>
      </w:divBdr>
    </w:div>
    <w:div w:id="21151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advand@creal.cat" TargetMode="External"/><Relationship Id="rId13" Type="http://schemas.openxmlformats.org/officeDocument/2006/relationships/hyperlink" Target="http://www.eea.europa.eu/data-and-maps/data/urban-atla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phenotype.eu" TargetMode="External"/><Relationship Id="rId17" Type="http://schemas.openxmlformats.org/officeDocument/2006/relationships/hyperlink" Target="http://earthobservatory.nasa.gov/Features/MeasuringVegetation/" TargetMode="External"/><Relationship Id="rId2" Type="http://schemas.openxmlformats.org/officeDocument/2006/relationships/numbering" Target="numbering.xml"/><Relationship Id="rId16" Type="http://schemas.openxmlformats.org/officeDocument/2006/relationships/hyperlink" Target="http://www.ons.gov.uk/ons/dcp171778_288463.pd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government/uploads/system/uploads/attachment_data/file/6320/1870718.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nvironment/urban/pdf/local_sustainability_en.pdf" TargetMode="External"/><Relationship Id="rId22" Type="http://schemas.openxmlformats.org/officeDocument/2006/relationships/footer" Target="foot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33343-71FC-417B-8F58-6DE1AEBC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20675</Words>
  <Characters>117849</Characters>
  <Application>Microsoft Office Word</Application>
  <DocSecurity>0</DocSecurity>
  <Lines>982</Lines>
  <Paragraphs>276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pdadvand</dc:creator>
  <cp:lastModifiedBy>MCGAW Kim</cp:lastModifiedBy>
  <cp:revision>2</cp:revision>
  <cp:lastPrinted>2014-03-10T13:33:00Z</cp:lastPrinted>
  <dcterms:created xsi:type="dcterms:W3CDTF">2017-02-02T10:01:00Z</dcterms:created>
  <dcterms:modified xsi:type="dcterms:W3CDTF">2017-02-02T10:01:00Z</dcterms:modified>
</cp:coreProperties>
</file>