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8258C" w14:textId="7A7B531A" w:rsidR="0065500B" w:rsidRPr="00E96F08" w:rsidRDefault="003B2ACA" w:rsidP="003B2ACA">
      <w:pPr>
        <w:spacing w:line="480" w:lineRule="auto"/>
        <w:outlineLvl w:val="0"/>
        <w:rPr>
          <w:rFonts w:ascii="Times New Roman" w:hAnsi="Times New Roman" w:cs="Times New Roman"/>
          <w:b/>
          <w:sz w:val="24"/>
          <w:szCs w:val="24"/>
        </w:rPr>
      </w:pPr>
      <w:bookmarkStart w:id="0" w:name="_GoBack"/>
      <w:r w:rsidRPr="00E96F08">
        <w:rPr>
          <w:rFonts w:ascii="Times New Roman" w:hAnsi="Times New Roman" w:cs="Times New Roman"/>
          <w:b/>
          <w:sz w:val="24"/>
          <w:szCs w:val="24"/>
        </w:rPr>
        <w:t>The Father, the S</w:t>
      </w:r>
      <w:r w:rsidR="00C36B18" w:rsidRPr="00E96F08">
        <w:rPr>
          <w:rFonts w:ascii="Times New Roman" w:hAnsi="Times New Roman" w:cs="Times New Roman"/>
          <w:b/>
          <w:sz w:val="24"/>
          <w:szCs w:val="24"/>
        </w:rPr>
        <w:t xml:space="preserve">on and </w:t>
      </w:r>
      <w:r w:rsidRPr="00E96F08">
        <w:rPr>
          <w:rFonts w:ascii="Times New Roman" w:hAnsi="Times New Roman" w:cs="Times New Roman"/>
          <w:b/>
          <w:sz w:val="24"/>
          <w:szCs w:val="24"/>
        </w:rPr>
        <w:t>the Holy G</w:t>
      </w:r>
      <w:r w:rsidR="00C36B18" w:rsidRPr="00E96F08">
        <w:rPr>
          <w:rFonts w:ascii="Times New Roman" w:hAnsi="Times New Roman" w:cs="Times New Roman"/>
          <w:b/>
          <w:sz w:val="24"/>
          <w:szCs w:val="24"/>
        </w:rPr>
        <w:t>host</w:t>
      </w:r>
      <w:bookmarkEnd w:id="0"/>
      <w:r w:rsidR="007A0A65" w:rsidRPr="00E96F08">
        <w:rPr>
          <w:rFonts w:ascii="Times New Roman" w:hAnsi="Times New Roman" w:cs="Times New Roman"/>
          <w:b/>
          <w:sz w:val="24"/>
          <w:szCs w:val="24"/>
        </w:rPr>
        <w:t xml:space="preserve">: </w:t>
      </w:r>
      <w:r w:rsidR="00C36B18" w:rsidRPr="00E96F08">
        <w:rPr>
          <w:rFonts w:ascii="Times New Roman" w:hAnsi="Times New Roman" w:cs="Times New Roman"/>
          <w:b/>
          <w:sz w:val="24"/>
          <w:szCs w:val="24"/>
        </w:rPr>
        <w:t>a</w:t>
      </w:r>
      <w:r w:rsidR="00C467A6">
        <w:rPr>
          <w:rFonts w:ascii="Times New Roman" w:hAnsi="Times New Roman" w:cs="Times New Roman"/>
          <w:b/>
          <w:sz w:val="24"/>
          <w:szCs w:val="24"/>
        </w:rPr>
        <w:t xml:space="preserve"> Grounded Theory a</w:t>
      </w:r>
      <w:r w:rsidR="008E5FFA">
        <w:rPr>
          <w:rFonts w:ascii="Times New Roman" w:hAnsi="Times New Roman" w:cs="Times New Roman"/>
          <w:b/>
          <w:sz w:val="24"/>
          <w:szCs w:val="24"/>
        </w:rPr>
        <w:t xml:space="preserve">pproach to the </w:t>
      </w:r>
      <w:r w:rsidR="00C467A6">
        <w:rPr>
          <w:rFonts w:ascii="Times New Roman" w:hAnsi="Times New Roman" w:cs="Times New Roman"/>
          <w:b/>
          <w:sz w:val="24"/>
          <w:szCs w:val="24"/>
        </w:rPr>
        <w:t>c</w:t>
      </w:r>
      <w:r w:rsidR="00470FC4" w:rsidRPr="00E96F08">
        <w:rPr>
          <w:rFonts w:ascii="Times New Roman" w:hAnsi="Times New Roman" w:cs="Times New Roman"/>
          <w:b/>
          <w:sz w:val="24"/>
          <w:szCs w:val="24"/>
        </w:rPr>
        <w:t xml:space="preserve">omparative </w:t>
      </w:r>
      <w:r w:rsidR="00C467A6">
        <w:rPr>
          <w:rFonts w:ascii="Times New Roman" w:hAnsi="Times New Roman" w:cs="Times New Roman"/>
          <w:b/>
          <w:sz w:val="24"/>
          <w:szCs w:val="24"/>
        </w:rPr>
        <w:t>s</w:t>
      </w:r>
      <w:r w:rsidR="00470FC4" w:rsidRPr="00E96F08">
        <w:rPr>
          <w:rFonts w:ascii="Times New Roman" w:hAnsi="Times New Roman" w:cs="Times New Roman"/>
          <w:b/>
          <w:sz w:val="24"/>
          <w:szCs w:val="24"/>
        </w:rPr>
        <w:t xml:space="preserve">tudy of </w:t>
      </w:r>
      <w:r w:rsidR="00C467A6">
        <w:rPr>
          <w:rFonts w:ascii="Times New Roman" w:hAnsi="Times New Roman" w:cs="Times New Roman"/>
          <w:b/>
          <w:sz w:val="24"/>
          <w:szCs w:val="24"/>
        </w:rPr>
        <w:t>d</w:t>
      </w:r>
      <w:r w:rsidR="00470FC4" w:rsidRPr="00E96F08">
        <w:rPr>
          <w:rFonts w:ascii="Times New Roman" w:hAnsi="Times New Roman" w:cs="Times New Roman"/>
          <w:b/>
          <w:sz w:val="24"/>
          <w:szCs w:val="24"/>
        </w:rPr>
        <w:t>ec</w:t>
      </w:r>
      <w:r w:rsidR="0065500B" w:rsidRPr="00E96F08">
        <w:rPr>
          <w:rFonts w:ascii="Times New Roman" w:hAnsi="Times New Roman" w:cs="Times New Roman"/>
          <w:b/>
          <w:sz w:val="24"/>
          <w:szCs w:val="24"/>
        </w:rPr>
        <w:t>ision-</w:t>
      </w:r>
      <w:r w:rsidR="00C467A6">
        <w:rPr>
          <w:rFonts w:ascii="Times New Roman" w:hAnsi="Times New Roman" w:cs="Times New Roman"/>
          <w:b/>
          <w:sz w:val="24"/>
          <w:szCs w:val="24"/>
        </w:rPr>
        <w:t>m</w:t>
      </w:r>
      <w:r w:rsidR="0065500B" w:rsidRPr="00E96F08">
        <w:rPr>
          <w:rFonts w:ascii="Times New Roman" w:hAnsi="Times New Roman" w:cs="Times New Roman"/>
          <w:b/>
          <w:sz w:val="24"/>
          <w:szCs w:val="24"/>
        </w:rPr>
        <w:t>aking in the NAC and PSC</w:t>
      </w:r>
    </w:p>
    <w:p w14:paraId="2B3E9796" w14:textId="60B68F48" w:rsidR="00062379" w:rsidRPr="00E96F08" w:rsidRDefault="00585850" w:rsidP="00CC204E">
      <w:pPr>
        <w:pStyle w:val="Abstract"/>
      </w:pPr>
      <w:r w:rsidRPr="00E96F08">
        <w:t xml:space="preserve">ABSTRACT: </w:t>
      </w:r>
      <w:r w:rsidR="0086756F" w:rsidRPr="0086756F">
        <w:t>Studies of the relationship between the EU and NATO often focus on the</w:t>
      </w:r>
      <w:r w:rsidR="0086756F">
        <w:t xml:space="preserve"> limitations of cooperation, be it</w:t>
      </w:r>
      <w:r w:rsidR="0086756F" w:rsidRPr="0086756F">
        <w:t xml:space="preserve"> at </w:t>
      </w:r>
      <w:r w:rsidR="0086756F">
        <w:t xml:space="preserve">the </w:t>
      </w:r>
      <w:r w:rsidR="0086756F" w:rsidRPr="0086756F">
        <w:t>political or operational level</w:t>
      </w:r>
      <w:r w:rsidR="0086756F">
        <w:t>s</w:t>
      </w:r>
      <w:r w:rsidR="0086756F" w:rsidRPr="0086756F">
        <w:t xml:space="preserve">. However, little is known about the functioning </w:t>
      </w:r>
      <w:r w:rsidR="0086756F">
        <w:t xml:space="preserve">of the political </w:t>
      </w:r>
      <w:r w:rsidR="0086756F" w:rsidRPr="0086756F">
        <w:t xml:space="preserve">institutional linkages between the EU and NATO. This article </w:t>
      </w:r>
      <w:r w:rsidR="00453F5A">
        <w:t xml:space="preserve">therefore </w:t>
      </w:r>
      <w:r w:rsidR="0086756F" w:rsidRPr="0086756F">
        <w:t xml:space="preserve">studies the main decision-making bodies of the two organisations at the political, ambassadorial level, namely the Political Security Committee (PSC) of the EU and the North Atlantic Council (NAC) in NATO, as well as their joint meetings. The article employs an inductive Grounded Theory approach, drawing on open-ended interviews with PSC and NAC ambassadors, which reveal direct insights from the objects of analysis. The findings emphasise the impact of both structural and more agency-related categories on decision-making in these three fora. The article thus addresses both the </w:t>
      </w:r>
      <w:r w:rsidR="00BF6CCF">
        <w:t>paucity</w:t>
      </w:r>
      <w:r w:rsidR="0086756F" w:rsidRPr="0086756F">
        <w:t xml:space="preserve"> </w:t>
      </w:r>
      <w:r w:rsidR="00BF6CCF">
        <w:t xml:space="preserve">of study on these bodies more broadly and the complete lacuna on </w:t>
      </w:r>
      <w:r w:rsidR="0086756F" w:rsidRPr="0086756F">
        <w:t xml:space="preserve">joint </w:t>
      </w:r>
      <w:r w:rsidR="00BF6CCF">
        <w:t>PSC-NAC</w:t>
      </w:r>
      <w:r w:rsidR="0086756F" w:rsidRPr="0086756F">
        <w:t xml:space="preserve"> meetings</w:t>
      </w:r>
      <w:r w:rsidR="00BF6CCF">
        <w:t xml:space="preserve"> specifically</w:t>
      </w:r>
      <w:r w:rsidR="00E259C6">
        <w:t>, warranting the inductive approach this article endorses.</w:t>
      </w:r>
    </w:p>
    <w:p w14:paraId="3F50D028" w14:textId="2615495D" w:rsidR="00D62277" w:rsidRPr="00E96F08" w:rsidRDefault="00062379" w:rsidP="00CC204E">
      <w:pPr>
        <w:spacing w:line="480" w:lineRule="auto"/>
        <w:ind w:left="567" w:right="566"/>
        <w:rPr>
          <w:rFonts w:ascii="Times New Roman" w:hAnsi="Times New Roman" w:cs="Times New Roman"/>
          <w:sz w:val="24"/>
          <w:szCs w:val="24"/>
        </w:rPr>
      </w:pPr>
      <w:r w:rsidRPr="00E96F08">
        <w:rPr>
          <w:rFonts w:ascii="Times New Roman" w:hAnsi="Times New Roman" w:cs="Times New Roman"/>
          <w:b/>
          <w:sz w:val="24"/>
          <w:szCs w:val="24"/>
        </w:rPr>
        <w:t>Keywords:</w:t>
      </w:r>
      <w:r w:rsidRPr="00E96F08">
        <w:rPr>
          <w:rFonts w:ascii="Times New Roman" w:hAnsi="Times New Roman" w:cs="Times New Roman"/>
          <w:sz w:val="24"/>
          <w:szCs w:val="24"/>
        </w:rPr>
        <w:t xml:space="preserve"> European Unio</w:t>
      </w:r>
      <w:r w:rsidR="00F94F10" w:rsidRPr="00E96F08">
        <w:rPr>
          <w:rFonts w:ascii="Times New Roman" w:hAnsi="Times New Roman" w:cs="Times New Roman"/>
          <w:sz w:val="24"/>
          <w:szCs w:val="24"/>
        </w:rPr>
        <w:t>n; North Atlantic Treaty Organisation; decision-making;</w:t>
      </w:r>
      <w:r w:rsidRPr="00E96F08">
        <w:rPr>
          <w:rFonts w:ascii="Times New Roman" w:hAnsi="Times New Roman" w:cs="Times New Roman"/>
          <w:sz w:val="24"/>
          <w:szCs w:val="24"/>
        </w:rPr>
        <w:t xml:space="preserve"> </w:t>
      </w:r>
      <w:r w:rsidR="00236727" w:rsidRPr="00E96F08">
        <w:rPr>
          <w:rFonts w:ascii="Times New Roman" w:hAnsi="Times New Roman" w:cs="Times New Roman"/>
          <w:sz w:val="24"/>
          <w:szCs w:val="24"/>
        </w:rPr>
        <w:t>i</w:t>
      </w:r>
      <w:r w:rsidRPr="00E96F08">
        <w:rPr>
          <w:rFonts w:ascii="Times New Roman" w:hAnsi="Times New Roman" w:cs="Times New Roman"/>
          <w:sz w:val="24"/>
          <w:szCs w:val="24"/>
        </w:rPr>
        <w:t>nternational security organisations</w:t>
      </w:r>
      <w:r w:rsidR="00F94F10" w:rsidRPr="00E96F08">
        <w:rPr>
          <w:rFonts w:ascii="Times New Roman" w:hAnsi="Times New Roman" w:cs="Times New Roman"/>
          <w:sz w:val="24"/>
          <w:szCs w:val="24"/>
        </w:rPr>
        <w:t>;</w:t>
      </w:r>
      <w:r w:rsidR="00236727" w:rsidRPr="00E96F08">
        <w:rPr>
          <w:rFonts w:ascii="Times New Roman" w:hAnsi="Times New Roman" w:cs="Times New Roman"/>
          <w:sz w:val="24"/>
          <w:szCs w:val="24"/>
        </w:rPr>
        <w:t xml:space="preserve"> grounded theory</w:t>
      </w:r>
      <w:r w:rsidR="00F94F10" w:rsidRPr="00E96F08">
        <w:rPr>
          <w:rFonts w:ascii="Times New Roman" w:hAnsi="Times New Roman" w:cs="Times New Roman"/>
          <w:sz w:val="24"/>
          <w:szCs w:val="24"/>
        </w:rPr>
        <w:t>;</w:t>
      </w:r>
    </w:p>
    <w:p w14:paraId="59A801ED" w14:textId="41FAF574" w:rsidR="0008635E" w:rsidRPr="00E96F08" w:rsidRDefault="000F4325" w:rsidP="00CC204E">
      <w:pPr>
        <w:pStyle w:val="Heading1"/>
        <w:keepLines w:val="0"/>
        <w:spacing w:before="360" w:after="60" w:line="360" w:lineRule="auto"/>
        <w:ind w:right="567"/>
        <w:contextualSpacing/>
        <w:rPr>
          <w:rFonts w:ascii="Times New Roman" w:eastAsia="Times New Roman" w:hAnsi="Times New Roman" w:cs="Times New Roman"/>
          <w:color w:val="auto"/>
          <w:kern w:val="32"/>
          <w:sz w:val="24"/>
          <w:lang w:eastAsia="en-GB"/>
        </w:rPr>
      </w:pPr>
      <w:r w:rsidRPr="00E96F08">
        <w:rPr>
          <w:rFonts w:ascii="Times New Roman" w:eastAsia="Times New Roman" w:hAnsi="Times New Roman" w:cs="Times New Roman"/>
          <w:color w:val="auto"/>
          <w:kern w:val="32"/>
          <w:sz w:val="24"/>
          <w:lang w:eastAsia="en-GB"/>
        </w:rPr>
        <w:t>Introduction</w:t>
      </w:r>
    </w:p>
    <w:p w14:paraId="09164B83" w14:textId="2EC3AE44" w:rsidR="002E388C" w:rsidRPr="00AB73D7" w:rsidRDefault="00922CD5" w:rsidP="00F02ECD">
      <w:pPr>
        <w:spacing w:line="480" w:lineRule="auto"/>
        <w:rPr>
          <w:rFonts w:ascii="Times New Roman,Times New Roman" w:eastAsia="Times New Roman,Times New Roman" w:hAnsi="Times New Roman,Times New Roman" w:cs="Times New Roman,Times New Roman"/>
          <w:sz w:val="24"/>
          <w:szCs w:val="24"/>
        </w:rPr>
      </w:pPr>
      <w:r w:rsidRPr="00AB73D7">
        <w:rPr>
          <w:rFonts w:ascii="Times New Roman,Times New Roman" w:eastAsia="Times New Roman,Times New Roman" w:hAnsi="Times New Roman,Times New Roman" w:cs="Times New Roman,Times New Roman"/>
          <w:sz w:val="24"/>
          <w:szCs w:val="24"/>
        </w:rPr>
        <w:t xml:space="preserve">Much has been </w:t>
      </w:r>
      <w:r w:rsidR="00F95B95" w:rsidRPr="00AB73D7">
        <w:rPr>
          <w:rFonts w:ascii="Times New Roman,Times New Roman" w:eastAsia="Times New Roman,Times New Roman" w:hAnsi="Times New Roman,Times New Roman" w:cs="Times New Roman,Times New Roman"/>
          <w:sz w:val="24"/>
          <w:szCs w:val="24"/>
        </w:rPr>
        <w:t>written</w:t>
      </w:r>
      <w:r w:rsidRPr="00AB73D7">
        <w:rPr>
          <w:rFonts w:ascii="Times New Roman,Times New Roman" w:eastAsia="Times New Roman,Times New Roman" w:hAnsi="Times New Roman,Times New Roman" w:cs="Times New Roman,Times New Roman"/>
          <w:sz w:val="24"/>
          <w:szCs w:val="24"/>
        </w:rPr>
        <w:t xml:space="preserve"> about the political and strategic </w:t>
      </w:r>
      <w:r w:rsidR="00C66C8A" w:rsidRPr="00AB73D7">
        <w:rPr>
          <w:rFonts w:ascii="Times New Roman,Times New Roman" w:eastAsia="Times New Roman,Times New Roman" w:hAnsi="Times New Roman,Times New Roman" w:cs="Times New Roman,Times New Roman"/>
          <w:sz w:val="24"/>
          <w:szCs w:val="24"/>
        </w:rPr>
        <w:t>blockages limiting the</w:t>
      </w:r>
      <w:r w:rsidRPr="00AB73D7">
        <w:rPr>
          <w:rFonts w:ascii="Times New Roman,Times New Roman" w:eastAsia="Times New Roman,Times New Roman" w:hAnsi="Times New Roman,Times New Roman" w:cs="Times New Roman,Times New Roman"/>
          <w:sz w:val="24"/>
          <w:szCs w:val="24"/>
        </w:rPr>
        <w:t xml:space="preserve"> EU and NATO</w:t>
      </w:r>
      <w:r w:rsidR="00C66C8A" w:rsidRPr="00AB73D7">
        <w:rPr>
          <w:rFonts w:ascii="Times New Roman,Times New Roman" w:eastAsia="Times New Roman,Times New Roman" w:hAnsi="Times New Roman,Times New Roman" w:cs="Times New Roman,Times New Roman"/>
          <w:sz w:val="24"/>
          <w:szCs w:val="24"/>
        </w:rPr>
        <w:t xml:space="preserve"> cooperation</w:t>
      </w:r>
      <w:r w:rsidR="00652097" w:rsidRPr="00AB73D7">
        <w:rPr>
          <w:rFonts w:ascii="Times New Roman,Times New Roman" w:eastAsia="Times New Roman,Times New Roman" w:hAnsi="Times New Roman,Times New Roman" w:cs="Times New Roman,Times New Roman"/>
          <w:sz w:val="24"/>
          <w:szCs w:val="24"/>
        </w:rPr>
        <w:t xml:space="preserve"> more generally</w:t>
      </w:r>
      <w:r w:rsidRPr="00AB73D7">
        <w:rPr>
          <w:rFonts w:ascii="Times New Roman,Times New Roman" w:eastAsia="Times New Roman,Times New Roman" w:hAnsi="Times New Roman,Times New Roman" w:cs="Times New Roman,Times New Roman"/>
          <w:sz w:val="24"/>
          <w:szCs w:val="24"/>
        </w:rPr>
        <w:t xml:space="preserve">. </w:t>
      </w:r>
      <w:r w:rsidR="005F24D1" w:rsidRPr="00AB73D7">
        <w:rPr>
          <w:rFonts w:ascii="Times New Roman,Times New Roman" w:eastAsia="Times New Roman,Times New Roman" w:hAnsi="Times New Roman,Times New Roman" w:cs="Times New Roman,Times New Roman"/>
          <w:sz w:val="24"/>
          <w:szCs w:val="24"/>
        </w:rPr>
        <w:t>However, t</w:t>
      </w:r>
      <w:r w:rsidRPr="00AB73D7">
        <w:rPr>
          <w:rFonts w:ascii="Times New Roman,Times New Roman" w:eastAsia="Times New Roman,Times New Roman" w:hAnsi="Times New Roman,Times New Roman" w:cs="Times New Roman,Times New Roman"/>
          <w:sz w:val="24"/>
          <w:szCs w:val="24"/>
        </w:rPr>
        <w:t>he two organisations are interwov</w:t>
      </w:r>
      <w:r w:rsidR="005B63D7" w:rsidRPr="00AB73D7">
        <w:rPr>
          <w:rFonts w:ascii="Times New Roman,Times New Roman" w:eastAsia="Times New Roman,Times New Roman" w:hAnsi="Times New Roman,Times New Roman" w:cs="Times New Roman,Times New Roman"/>
          <w:sz w:val="24"/>
          <w:szCs w:val="24"/>
        </w:rPr>
        <w:t>en politically and historically</w:t>
      </w:r>
      <w:r w:rsidR="00D91DA7" w:rsidRPr="00AB73D7">
        <w:rPr>
          <w:rFonts w:ascii="Times New Roman,Times New Roman" w:eastAsia="Times New Roman,Times New Roman" w:hAnsi="Times New Roman,Times New Roman" w:cs="Times New Roman,Times New Roman"/>
          <w:sz w:val="24"/>
          <w:szCs w:val="24"/>
        </w:rPr>
        <w:t>,</w:t>
      </w:r>
      <w:r w:rsidRPr="00AB73D7">
        <w:rPr>
          <w:rFonts w:ascii="Times New Roman,Times New Roman" w:eastAsia="Times New Roman,Times New Roman" w:hAnsi="Times New Roman,Times New Roman" w:cs="Times New Roman,Times New Roman"/>
          <w:sz w:val="24"/>
          <w:szCs w:val="24"/>
        </w:rPr>
        <w:t xml:space="preserve"> </w:t>
      </w:r>
      <w:r w:rsidR="00BB39BF" w:rsidRPr="00AB73D7">
        <w:rPr>
          <w:rFonts w:ascii="Times New Roman,Times New Roman" w:eastAsia="Times New Roman,Times New Roman" w:hAnsi="Times New Roman,Times New Roman" w:cs="Times New Roman,Times New Roman"/>
          <w:sz w:val="24"/>
          <w:szCs w:val="24"/>
        </w:rPr>
        <w:t>not least through the</w:t>
      </w:r>
      <w:r w:rsidRPr="00AB73D7">
        <w:rPr>
          <w:rFonts w:ascii="Times New Roman,Times New Roman" w:eastAsia="Times New Roman,Times New Roman" w:hAnsi="Times New Roman,Times New Roman" w:cs="Times New Roman,Times New Roman"/>
          <w:sz w:val="24"/>
          <w:szCs w:val="24"/>
        </w:rPr>
        <w:t xml:space="preserve"> extent </w:t>
      </w:r>
      <w:r w:rsidR="005B63D7" w:rsidRPr="00AB73D7">
        <w:rPr>
          <w:rFonts w:ascii="Times New Roman,Times New Roman" w:eastAsia="Times New Roman,Times New Roman" w:hAnsi="Times New Roman,Times New Roman" w:cs="Times New Roman,Times New Roman"/>
          <w:sz w:val="24"/>
          <w:szCs w:val="24"/>
        </w:rPr>
        <w:t xml:space="preserve">to which </w:t>
      </w:r>
      <w:r w:rsidRPr="00AB73D7">
        <w:rPr>
          <w:rFonts w:ascii="Times New Roman,Times New Roman" w:eastAsia="Times New Roman,Times New Roman" w:hAnsi="Times New Roman,Times New Roman" w:cs="Times New Roman,Times New Roman"/>
          <w:sz w:val="24"/>
          <w:szCs w:val="24"/>
        </w:rPr>
        <w:t>membership</w:t>
      </w:r>
      <w:r w:rsidR="003425E4" w:rsidRPr="00AB73D7">
        <w:rPr>
          <w:rFonts w:ascii="Times New Roman,Times New Roman" w:eastAsia="Times New Roman,Times New Roman" w:hAnsi="Times New Roman,Times New Roman" w:cs="Times New Roman,Times New Roman"/>
          <w:sz w:val="24"/>
          <w:szCs w:val="24"/>
        </w:rPr>
        <w:t>s</w:t>
      </w:r>
      <w:r w:rsidRPr="00AB73D7">
        <w:rPr>
          <w:rFonts w:ascii="Times New Roman,Times New Roman" w:eastAsia="Times New Roman,Times New Roman" w:hAnsi="Times New Roman,Times New Roman" w:cs="Times New Roman,Times New Roman"/>
          <w:sz w:val="24"/>
          <w:szCs w:val="24"/>
        </w:rPr>
        <w:t xml:space="preserve"> overlap.</w:t>
      </w:r>
      <w:r w:rsidR="002E388C" w:rsidRPr="00AB73D7">
        <w:rPr>
          <w:rStyle w:val="EndnoteReference"/>
          <w:rFonts w:ascii="Times New Roman,Times New Roman" w:eastAsia="Times New Roman,Times New Roman" w:hAnsi="Times New Roman,Times New Roman" w:cs="Times New Roman,Times New Roman"/>
          <w:sz w:val="24"/>
          <w:szCs w:val="24"/>
        </w:rPr>
        <w:endnoteReference w:id="2"/>
      </w:r>
      <w:r w:rsidR="002E388C" w:rsidRPr="00AB73D7">
        <w:rPr>
          <w:rFonts w:ascii="Times New Roman,Times New Roman" w:eastAsia="Times New Roman,Times New Roman" w:hAnsi="Times New Roman,Times New Roman" w:cs="Times New Roman,Times New Roman"/>
          <w:sz w:val="24"/>
          <w:szCs w:val="24"/>
        </w:rPr>
        <w:t xml:space="preserve"> </w:t>
      </w:r>
      <w:r w:rsidR="00DE7A47" w:rsidRPr="00AB73D7">
        <w:rPr>
          <w:rFonts w:ascii="Times New Roman,Times New Roman" w:eastAsia="Times New Roman,Times New Roman" w:hAnsi="Times New Roman,Times New Roman" w:cs="Times New Roman,Times New Roman"/>
          <w:sz w:val="24"/>
          <w:szCs w:val="24"/>
        </w:rPr>
        <w:t>Therefore, it is somewhat surprising that</w:t>
      </w:r>
      <w:r w:rsidR="00A83D8D" w:rsidRPr="00AB73D7">
        <w:rPr>
          <w:rFonts w:ascii="Times New Roman,Times New Roman" w:eastAsia="Times New Roman,Times New Roman" w:hAnsi="Times New Roman,Times New Roman" w:cs="Times New Roman,Times New Roman"/>
          <w:sz w:val="24"/>
          <w:szCs w:val="24"/>
        </w:rPr>
        <w:t xml:space="preserve"> </w:t>
      </w:r>
      <w:r w:rsidR="00AB2430">
        <w:rPr>
          <w:rFonts w:ascii="Times New Roman,Times New Roman" w:eastAsia="Times New Roman,Times New Roman" w:hAnsi="Times New Roman,Times New Roman" w:cs="Times New Roman,Times New Roman"/>
          <w:sz w:val="24"/>
          <w:szCs w:val="24"/>
        </w:rPr>
        <w:t>the</w:t>
      </w:r>
      <w:r w:rsidR="00AB2430" w:rsidRPr="00AB73D7">
        <w:rPr>
          <w:rFonts w:ascii="Times New Roman,Times New Roman" w:eastAsia="Times New Roman,Times New Roman" w:hAnsi="Times New Roman,Times New Roman" w:cs="Times New Roman,Times New Roman"/>
          <w:sz w:val="24"/>
          <w:szCs w:val="24"/>
        </w:rPr>
        <w:t xml:space="preserve"> </w:t>
      </w:r>
      <w:r w:rsidR="00A83D8D" w:rsidRPr="00AB73D7">
        <w:rPr>
          <w:rFonts w:ascii="Times New Roman,Times New Roman" w:eastAsia="Times New Roman,Times New Roman" w:hAnsi="Times New Roman,Times New Roman" w:cs="Times New Roman,Times New Roman"/>
          <w:sz w:val="24"/>
          <w:szCs w:val="24"/>
        </w:rPr>
        <w:t xml:space="preserve">institutional linkages </w:t>
      </w:r>
      <w:r w:rsidR="00542F50" w:rsidRPr="00AB73D7">
        <w:rPr>
          <w:rFonts w:ascii="Times New Roman,Times New Roman" w:eastAsia="Times New Roman,Times New Roman" w:hAnsi="Times New Roman,Times New Roman" w:cs="Times New Roman,Times New Roman"/>
          <w:sz w:val="24"/>
          <w:szCs w:val="24"/>
        </w:rPr>
        <w:t xml:space="preserve">between the two organisations </w:t>
      </w:r>
      <w:r w:rsidR="00A83D8D" w:rsidRPr="00AB73D7">
        <w:rPr>
          <w:rFonts w:ascii="Times New Roman,Times New Roman" w:eastAsia="Times New Roman,Times New Roman" w:hAnsi="Times New Roman,Times New Roman" w:cs="Times New Roman,Times New Roman"/>
          <w:sz w:val="24"/>
          <w:szCs w:val="24"/>
        </w:rPr>
        <w:t>at the political and strategic level</w:t>
      </w:r>
      <w:r w:rsidR="00DE7A47" w:rsidRPr="00AB73D7">
        <w:rPr>
          <w:rFonts w:ascii="Times New Roman,Times New Roman" w:eastAsia="Times New Roman,Times New Roman" w:hAnsi="Times New Roman,Times New Roman" w:cs="Times New Roman,Times New Roman"/>
          <w:sz w:val="24"/>
          <w:szCs w:val="24"/>
        </w:rPr>
        <w:t xml:space="preserve"> are under </w:t>
      </w:r>
      <w:r w:rsidR="00D57D5C" w:rsidRPr="00AB73D7">
        <w:rPr>
          <w:rFonts w:ascii="Times New Roman,Times New Roman" w:eastAsia="Times New Roman,Times New Roman" w:hAnsi="Times New Roman,Times New Roman" w:cs="Times New Roman,Times New Roman"/>
          <w:sz w:val="24"/>
          <w:szCs w:val="24"/>
        </w:rPr>
        <w:t>researched.</w:t>
      </w:r>
      <w:r w:rsidR="0031763A" w:rsidRPr="00AB73D7">
        <w:rPr>
          <w:rFonts w:ascii="Times New Roman,Times New Roman" w:eastAsia="Times New Roman,Times New Roman" w:hAnsi="Times New Roman,Times New Roman" w:cs="Times New Roman,Times New Roman"/>
          <w:sz w:val="24"/>
          <w:szCs w:val="24"/>
        </w:rPr>
        <w:t xml:space="preserve"> </w:t>
      </w:r>
      <w:r w:rsidR="00436E0C" w:rsidRPr="00AB73D7">
        <w:rPr>
          <w:rFonts w:ascii="Times New Roman,Times New Roman" w:eastAsia="Times New Roman,Times New Roman" w:hAnsi="Times New Roman,Times New Roman" w:cs="Times New Roman,Times New Roman"/>
          <w:sz w:val="24"/>
          <w:szCs w:val="24"/>
        </w:rPr>
        <w:t>Joint</w:t>
      </w:r>
      <w:r w:rsidR="00EE265E" w:rsidRPr="00AB73D7">
        <w:rPr>
          <w:rFonts w:ascii="Times New Roman,Times New Roman" w:eastAsia="Times New Roman,Times New Roman" w:hAnsi="Times New Roman,Times New Roman" w:cs="Times New Roman,Times New Roman"/>
          <w:sz w:val="24"/>
          <w:szCs w:val="24"/>
        </w:rPr>
        <w:t xml:space="preserve"> </w:t>
      </w:r>
      <w:r w:rsidR="00436E0C" w:rsidRPr="00AB73D7">
        <w:rPr>
          <w:rFonts w:ascii="Times New Roman,Times New Roman" w:eastAsia="Times New Roman,Times New Roman" w:hAnsi="Times New Roman,Times New Roman" w:cs="Times New Roman,Times New Roman"/>
          <w:sz w:val="24"/>
          <w:szCs w:val="24"/>
        </w:rPr>
        <w:t>consultations</w:t>
      </w:r>
      <w:r w:rsidR="00EE265E" w:rsidRPr="00AB73D7">
        <w:rPr>
          <w:rFonts w:ascii="Times New Roman,Times New Roman" w:eastAsia="Times New Roman,Times New Roman" w:hAnsi="Times New Roman,Times New Roman" w:cs="Times New Roman,Times New Roman"/>
          <w:sz w:val="24"/>
          <w:szCs w:val="24"/>
        </w:rPr>
        <w:t xml:space="preserve"> </w:t>
      </w:r>
      <w:r w:rsidR="00436E0C" w:rsidRPr="00AB73D7">
        <w:rPr>
          <w:rFonts w:ascii="Times New Roman,Times New Roman" w:eastAsia="Times New Roman,Times New Roman" w:hAnsi="Times New Roman,Times New Roman" w:cs="Times New Roman,Times New Roman"/>
          <w:sz w:val="24"/>
          <w:szCs w:val="24"/>
        </w:rPr>
        <w:t xml:space="preserve">between </w:t>
      </w:r>
      <w:r w:rsidR="00EE265E" w:rsidRPr="00AB73D7">
        <w:rPr>
          <w:rFonts w:ascii="Times New Roman,Times New Roman" w:eastAsia="Times New Roman,Times New Roman" w:hAnsi="Times New Roman,Times New Roman" w:cs="Times New Roman,Times New Roman"/>
          <w:sz w:val="24"/>
          <w:szCs w:val="24"/>
        </w:rPr>
        <w:t xml:space="preserve">the EU and NATO </w:t>
      </w:r>
      <w:r w:rsidR="005541B3" w:rsidRPr="00AB73D7">
        <w:rPr>
          <w:rFonts w:ascii="Times New Roman,Times New Roman" w:eastAsia="Times New Roman,Times New Roman" w:hAnsi="Times New Roman,Times New Roman" w:cs="Times New Roman,Times New Roman"/>
          <w:sz w:val="24"/>
          <w:szCs w:val="24"/>
        </w:rPr>
        <w:t xml:space="preserve">at </w:t>
      </w:r>
      <w:r w:rsidR="00436E0C" w:rsidRPr="00AB73D7">
        <w:rPr>
          <w:rFonts w:ascii="Times New Roman,Times New Roman" w:eastAsia="Times New Roman,Times New Roman" w:hAnsi="Times New Roman,Times New Roman" w:cs="Times New Roman,Times New Roman"/>
          <w:sz w:val="24"/>
          <w:szCs w:val="24"/>
        </w:rPr>
        <w:t xml:space="preserve">this </w:t>
      </w:r>
      <w:r w:rsidR="00BF1D07" w:rsidRPr="00AB73D7">
        <w:rPr>
          <w:rFonts w:ascii="Times New Roman,Times New Roman" w:eastAsia="Times New Roman,Times New Roman" w:hAnsi="Times New Roman,Times New Roman" w:cs="Times New Roman,Times New Roman"/>
          <w:sz w:val="24"/>
          <w:szCs w:val="24"/>
        </w:rPr>
        <w:t>level</w:t>
      </w:r>
      <w:r w:rsidR="005541B3" w:rsidRPr="00AB73D7">
        <w:rPr>
          <w:rFonts w:ascii="Times New Roman,Times New Roman" w:eastAsia="Times New Roman,Times New Roman" w:hAnsi="Times New Roman,Times New Roman" w:cs="Times New Roman,Times New Roman"/>
          <w:sz w:val="24"/>
          <w:szCs w:val="24"/>
        </w:rPr>
        <w:t xml:space="preserve"> </w:t>
      </w:r>
      <w:r w:rsidR="00436E0C" w:rsidRPr="00AB73D7">
        <w:rPr>
          <w:rFonts w:ascii="Times New Roman,Times New Roman" w:eastAsia="Times New Roman,Times New Roman" w:hAnsi="Times New Roman,Times New Roman" w:cs="Times New Roman,Times New Roman"/>
          <w:sz w:val="24"/>
          <w:szCs w:val="24"/>
        </w:rPr>
        <w:t>are</w:t>
      </w:r>
      <w:r w:rsidR="005541B3" w:rsidRPr="00AB73D7">
        <w:rPr>
          <w:rFonts w:ascii="Times New Roman,Times New Roman" w:eastAsia="Times New Roman,Times New Roman" w:hAnsi="Times New Roman,Times New Roman" w:cs="Times New Roman,Times New Roman"/>
          <w:sz w:val="24"/>
          <w:szCs w:val="24"/>
        </w:rPr>
        <w:t xml:space="preserve"> </w:t>
      </w:r>
      <w:r w:rsidR="00BF1D07" w:rsidRPr="00AB73D7">
        <w:rPr>
          <w:rFonts w:ascii="Times New Roman,Times New Roman" w:eastAsia="Times New Roman,Times New Roman" w:hAnsi="Times New Roman,Times New Roman" w:cs="Times New Roman,Times New Roman"/>
          <w:sz w:val="24"/>
          <w:szCs w:val="24"/>
        </w:rPr>
        <w:t>particularly</w:t>
      </w:r>
      <w:r w:rsidR="005541B3" w:rsidRPr="00AB73D7">
        <w:rPr>
          <w:rFonts w:ascii="Times New Roman,Times New Roman" w:eastAsia="Times New Roman,Times New Roman" w:hAnsi="Times New Roman,Times New Roman" w:cs="Times New Roman,Times New Roman"/>
          <w:sz w:val="24"/>
          <w:szCs w:val="24"/>
        </w:rPr>
        <w:t xml:space="preserve"> </w:t>
      </w:r>
      <w:r w:rsidR="00D5538A" w:rsidRPr="00AB73D7">
        <w:rPr>
          <w:rFonts w:ascii="Times New Roman,Times New Roman" w:eastAsia="Times New Roman,Times New Roman" w:hAnsi="Times New Roman,Times New Roman" w:cs="Times New Roman,Times New Roman"/>
          <w:sz w:val="24"/>
          <w:szCs w:val="24"/>
        </w:rPr>
        <w:t>neglected</w:t>
      </w:r>
      <w:r w:rsidR="00436E0C" w:rsidRPr="00AB73D7">
        <w:rPr>
          <w:rFonts w:ascii="Times New Roman,Times New Roman" w:eastAsia="Times New Roman,Times New Roman" w:hAnsi="Times New Roman,Times New Roman" w:cs="Times New Roman,Times New Roman"/>
          <w:sz w:val="24"/>
          <w:szCs w:val="24"/>
        </w:rPr>
        <w:t xml:space="preserve"> in the literature</w:t>
      </w:r>
      <w:r w:rsidR="00453F5A" w:rsidRPr="00AB73D7">
        <w:rPr>
          <w:rFonts w:ascii="Times New Roman,Times New Roman" w:eastAsia="Times New Roman,Times New Roman" w:hAnsi="Times New Roman,Times New Roman" w:cs="Times New Roman,Times New Roman"/>
          <w:sz w:val="24"/>
          <w:szCs w:val="24"/>
        </w:rPr>
        <w:t>, which is why</w:t>
      </w:r>
      <w:r w:rsidR="005541B3" w:rsidRPr="00AB73D7">
        <w:rPr>
          <w:rFonts w:ascii="Times New Roman,Times New Roman" w:eastAsia="Times New Roman,Times New Roman" w:hAnsi="Times New Roman,Times New Roman" w:cs="Times New Roman,Times New Roman"/>
          <w:sz w:val="24"/>
          <w:szCs w:val="24"/>
        </w:rPr>
        <w:t xml:space="preserve"> </w:t>
      </w:r>
      <w:r w:rsidR="00453F5A" w:rsidRPr="00AB73D7">
        <w:rPr>
          <w:rFonts w:ascii="Times New Roman,Times New Roman" w:eastAsia="Times New Roman,Times New Roman" w:hAnsi="Times New Roman,Times New Roman" w:cs="Times New Roman,Times New Roman"/>
          <w:sz w:val="24"/>
          <w:szCs w:val="24"/>
        </w:rPr>
        <w:t>a</w:t>
      </w:r>
      <w:r w:rsidR="00405F11" w:rsidRPr="00AB73D7">
        <w:rPr>
          <w:rFonts w:ascii="Times New Roman,Times New Roman" w:eastAsia="Times New Roman,Times New Roman" w:hAnsi="Times New Roman,Times New Roman" w:cs="Times New Roman,Times New Roman"/>
          <w:sz w:val="24"/>
          <w:szCs w:val="24"/>
        </w:rPr>
        <w:t xml:space="preserve"> closer </w:t>
      </w:r>
      <w:r w:rsidR="00436E0C" w:rsidRPr="00AB73D7">
        <w:rPr>
          <w:rFonts w:ascii="Times New Roman,Times New Roman" w:eastAsia="Times New Roman,Times New Roman" w:hAnsi="Times New Roman,Times New Roman" w:cs="Times New Roman,Times New Roman"/>
          <w:sz w:val="24"/>
          <w:szCs w:val="24"/>
        </w:rPr>
        <w:t xml:space="preserve">investigation </w:t>
      </w:r>
      <w:r w:rsidR="00405F11" w:rsidRPr="00AB73D7">
        <w:rPr>
          <w:rFonts w:ascii="Times New Roman,Times New Roman" w:eastAsia="Times New Roman,Times New Roman" w:hAnsi="Times New Roman,Times New Roman" w:cs="Times New Roman,Times New Roman"/>
          <w:sz w:val="24"/>
          <w:szCs w:val="24"/>
        </w:rPr>
        <w:t xml:space="preserve">into </w:t>
      </w:r>
      <w:r w:rsidR="00834145" w:rsidRPr="00AB73D7">
        <w:rPr>
          <w:rFonts w:ascii="Times New Roman,Times New Roman" w:eastAsia="Times New Roman,Times New Roman" w:hAnsi="Times New Roman,Times New Roman" w:cs="Times New Roman,Times New Roman"/>
          <w:sz w:val="24"/>
          <w:szCs w:val="24"/>
        </w:rPr>
        <w:t xml:space="preserve">the </w:t>
      </w:r>
      <w:r w:rsidR="00405F11" w:rsidRPr="00AB73D7">
        <w:rPr>
          <w:rFonts w:ascii="Times New Roman,Times New Roman" w:eastAsia="Times New Roman,Times New Roman" w:hAnsi="Times New Roman,Times New Roman" w:cs="Times New Roman,Times New Roman"/>
          <w:sz w:val="24"/>
          <w:szCs w:val="24"/>
        </w:rPr>
        <w:t xml:space="preserve">key </w:t>
      </w:r>
      <w:r w:rsidR="006D4BD9" w:rsidRPr="00AB73D7">
        <w:rPr>
          <w:rFonts w:ascii="Times New Roman,Times New Roman" w:eastAsia="Times New Roman,Times New Roman" w:hAnsi="Times New Roman,Times New Roman" w:cs="Times New Roman,Times New Roman"/>
          <w:sz w:val="24"/>
          <w:szCs w:val="24"/>
        </w:rPr>
        <w:t xml:space="preserve">bodies facilitating any </w:t>
      </w:r>
      <w:r w:rsidR="00834145" w:rsidRPr="00AB73D7">
        <w:rPr>
          <w:rFonts w:ascii="Times New Roman,Times New Roman" w:eastAsia="Times New Roman,Times New Roman" w:hAnsi="Times New Roman,Times New Roman" w:cs="Times New Roman,Times New Roman"/>
          <w:sz w:val="24"/>
          <w:szCs w:val="24"/>
        </w:rPr>
        <w:t>political institutional linkages</w:t>
      </w:r>
      <w:r w:rsidR="002E388C" w:rsidRPr="00AB73D7">
        <w:rPr>
          <w:rFonts w:ascii="Times New Roman,Times New Roman" w:eastAsia="Times New Roman,Times New Roman" w:hAnsi="Times New Roman,Times New Roman" w:cs="Times New Roman,Times New Roman"/>
          <w:sz w:val="24"/>
          <w:szCs w:val="24"/>
        </w:rPr>
        <w:t xml:space="preserve"> </w:t>
      </w:r>
      <w:r w:rsidR="00C03953" w:rsidRPr="00AB73D7">
        <w:rPr>
          <w:rFonts w:ascii="Times New Roman,Times New Roman" w:eastAsia="Times New Roman,Times New Roman" w:hAnsi="Times New Roman,Times New Roman" w:cs="Times New Roman,Times New Roman"/>
          <w:sz w:val="24"/>
          <w:szCs w:val="24"/>
        </w:rPr>
        <w:t>is j</w:t>
      </w:r>
      <w:r w:rsidR="002E388C" w:rsidRPr="00AB73D7">
        <w:rPr>
          <w:rFonts w:ascii="Times New Roman,Times New Roman" w:eastAsia="Times New Roman,Times New Roman" w:hAnsi="Times New Roman,Times New Roman" w:cs="Times New Roman,Times New Roman"/>
          <w:sz w:val="24"/>
          <w:szCs w:val="24"/>
        </w:rPr>
        <w:t>ustifie</w:t>
      </w:r>
      <w:r w:rsidR="00C03953" w:rsidRPr="00AB73D7">
        <w:rPr>
          <w:rFonts w:ascii="Times New Roman,Times New Roman" w:eastAsia="Times New Roman,Times New Roman" w:hAnsi="Times New Roman,Times New Roman" w:cs="Times New Roman,Times New Roman"/>
          <w:sz w:val="24"/>
          <w:szCs w:val="24"/>
        </w:rPr>
        <w:t>d</w:t>
      </w:r>
      <w:r w:rsidR="002E388C" w:rsidRPr="00AB73D7">
        <w:rPr>
          <w:rFonts w:ascii="Times New Roman,Times New Roman" w:eastAsia="Times New Roman,Times New Roman" w:hAnsi="Times New Roman,Times New Roman" w:cs="Times New Roman,Times New Roman"/>
          <w:sz w:val="24"/>
          <w:szCs w:val="24"/>
        </w:rPr>
        <w:t>.</w:t>
      </w:r>
      <w:r w:rsidR="001661C1">
        <w:rPr>
          <w:rFonts w:ascii="Times New Roman,Times New Roman" w:eastAsia="Times New Roman,Times New Roman" w:hAnsi="Times New Roman,Times New Roman" w:cs="Times New Roman,Times New Roman"/>
          <w:sz w:val="24"/>
          <w:szCs w:val="24"/>
        </w:rPr>
        <w:t xml:space="preserve"> I</w:t>
      </w:r>
      <w:r w:rsidR="00873B3C">
        <w:rPr>
          <w:rFonts w:ascii="Times New Roman,Times New Roman" w:eastAsia="Times New Roman,Times New Roman" w:hAnsi="Times New Roman,Times New Roman" w:cs="Times New Roman,Times New Roman"/>
          <w:sz w:val="24"/>
          <w:szCs w:val="24"/>
        </w:rPr>
        <w:t xml:space="preserve">nstitutional linkages between </w:t>
      </w:r>
      <w:r w:rsidR="008F6321">
        <w:rPr>
          <w:rFonts w:ascii="Times New Roman,Times New Roman" w:eastAsia="Times New Roman,Times New Roman" w:hAnsi="Times New Roman,Times New Roman" w:cs="Times New Roman,Times New Roman"/>
          <w:sz w:val="24"/>
          <w:szCs w:val="24"/>
        </w:rPr>
        <w:t xml:space="preserve">the EU and NATO </w:t>
      </w:r>
      <w:r w:rsidR="001661C1">
        <w:rPr>
          <w:rFonts w:ascii="Times New Roman,Times New Roman" w:eastAsia="Times New Roman,Times New Roman" w:hAnsi="Times New Roman,Times New Roman" w:cs="Times New Roman,Times New Roman"/>
          <w:sz w:val="24"/>
          <w:szCs w:val="24"/>
        </w:rPr>
        <w:t xml:space="preserve">currently </w:t>
      </w:r>
      <w:r w:rsidR="00873B3C">
        <w:rPr>
          <w:rFonts w:ascii="Times New Roman,Times New Roman" w:eastAsia="Times New Roman,Times New Roman" w:hAnsi="Times New Roman,Times New Roman" w:cs="Times New Roman,Times New Roman"/>
          <w:sz w:val="24"/>
          <w:szCs w:val="24"/>
        </w:rPr>
        <w:t>exist</w:t>
      </w:r>
      <w:r w:rsidR="008F6321">
        <w:rPr>
          <w:rFonts w:ascii="Times New Roman,Times New Roman" w:eastAsia="Times New Roman,Times New Roman" w:hAnsi="Times New Roman,Times New Roman" w:cs="Times New Roman,Times New Roman"/>
          <w:sz w:val="24"/>
          <w:szCs w:val="24"/>
        </w:rPr>
        <w:t xml:space="preserve"> at the level of the Political and Security Committee (PSC) </w:t>
      </w:r>
      <w:r w:rsidR="00873B3C">
        <w:rPr>
          <w:rFonts w:ascii="Times New Roman,Times New Roman" w:eastAsia="Times New Roman,Times New Roman" w:hAnsi="Times New Roman,Times New Roman" w:cs="Times New Roman,Times New Roman"/>
          <w:sz w:val="24"/>
          <w:szCs w:val="24"/>
        </w:rPr>
        <w:t xml:space="preserve">of the EU </w:t>
      </w:r>
      <w:r w:rsidR="008F6321">
        <w:rPr>
          <w:rFonts w:ascii="Times New Roman,Times New Roman" w:eastAsia="Times New Roman,Times New Roman" w:hAnsi="Times New Roman,Times New Roman" w:cs="Times New Roman,Times New Roman"/>
          <w:sz w:val="24"/>
          <w:szCs w:val="24"/>
        </w:rPr>
        <w:t>and the North Atlantic Council (NAC)</w:t>
      </w:r>
      <w:r w:rsidR="00873B3C">
        <w:rPr>
          <w:rFonts w:ascii="Times New Roman,Times New Roman" w:eastAsia="Times New Roman,Times New Roman" w:hAnsi="Times New Roman,Times New Roman" w:cs="Times New Roman,Times New Roman"/>
          <w:sz w:val="24"/>
          <w:szCs w:val="24"/>
        </w:rPr>
        <w:t xml:space="preserve"> of NATO in the form of joint meetings. </w:t>
      </w:r>
    </w:p>
    <w:p w14:paraId="0042F48E" w14:textId="56F94D9F" w:rsidR="002E388C" w:rsidRPr="00E96F08" w:rsidRDefault="002E388C" w:rsidP="00F95B95">
      <w:pPr>
        <w:pStyle w:val="Newparagraph"/>
        <w:rPr>
          <w:rFonts w:eastAsia="Times New Roman,ＭＳ ゴシック"/>
        </w:rPr>
      </w:pPr>
      <w:r w:rsidRPr="00E96F08">
        <w:rPr>
          <w:rFonts w:eastAsia="Times New Roman,ＭＳ ゴシック"/>
        </w:rPr>
        <w:lastRenderedPageBreak/>
        <w:t>As principal decision-making bodies within NATO and the EU’s Common Foreign and Security Policy (CFSP) respectively, one would expect that the NAC and the PSC also play a central role in the shaping and direction of the relationship between the two organisations.</w:t>
      </w:r>
      <w:r w:rsidR="00D71BE4">
        <w:rPr>
          <w:rStyle w:val="EndnoteReference"/>
          <w:rFonts w:eastAsia="Times New Roman,ＭＳ ゴシック"/>
        </w:rPr>
        <w:endnoteReference w:id="3"/>
      </w:r>
      <w:r w:rsidRPr="00E96F08">
        <w:rPr>
          <w:rFonts w:eastAsia="Times New Roman,ＭＳ ゴシック"/>
        </w:rPr>
        <w:t xml:space="preserve"> Despite their obvious centrality within each organisation and for the relationship between them, no scholarship has thus far engaged in the combined study of the NAC and the PSC, or attempted to look more closely at their similarities and differences.</w:t>
      </w:r>
      <w:r w:rsidRPr="00E96F08">
        <w:rPr>
          <w:rStyle w:val="EndnoteReference"/>
          <w:rFonts w:eastAsia="Times New Roman,ＭＳ ゴシック"/>
        </w:rPr>
        <w:endnoteReference w:id="4"/>
      </w:r>
      <w:r w:rsidRPr="00E96F08">
        <w:rPr>
          <w:rFonts w:eastAsia="Times New Roman,ＭＳ ゴシック"/>
        </w:rPr>
        <w:t xml:space="preserve"> </w:t>
      </w:r>
      <w:r w:rsidR="00C648E2" w:rsidRPr="00E96F08">
        <w:rPr>
          <w:rFonts w:eastAsia="Times New Roman,ＭＳ ゴシック"/>
        </w:rPr>
        <w:t>This makes for a gap in the literature that this article seeks to fill</w:t>
      </w:r>
      <w:r w:rsidR="00C648E2">
        <w:rPr>
          <w:rFonts w:eastAsia="Times New Roman,ＭＳ ゴシック"/>
        </w:rPr>
        <w:t xml:space="preserve">. </w:t>
      </w:r>
      <w:r w:rsidR="00C648E2" w:rsidRPr="00E96F08">
        <w:rPr>
          <w:rFonts w:eastAsia="Times New Roman,ＭＳ ゴシック"/>
        </w:rPr>
        <w:t>Arguably, understanding how decisions are made in each forum can shed light on the organisational conditions of cooperation and help contextualise the political deadlock that has characterised the relationship between the EU and NATO over the last decades</w:t>
      </w:r>
      <w:r w:rsidR="00056E0A">
        <w:rPr>
          <w:rFonts w:eastAsia="Times New Roman,ＭＳ ゴシック"/>
        </w:rPr>
        <w:t>, in particular the puzzling nature of the joint PSC-NAC meetings</w:t>
      </w:r>
      <w:r w:rsidR="00C648E2" w:rsidRPr="00E96F08">
        <w:rPr>
          <w:rFonts w:eastAsia="Times New Roman,ＭＳ ゴシック"/>
        </w:rPr>
        <w:t xml:space="preserve">. </w:t>
      </w:r>
      <w:r w:rsidR="00C648E2">
        <w:rPr>
          <w:rFonts w:eastAsia="Times New Roman,ＭＳ ゴシック"/>
        </w:rPr>
        <w:t xml:space="preserve">This is </w:t>
      </w:r>
      <w:r w:rsidR="005C0693">
        <w:rPr>
          <w:rFonts w:eastAsia="Times New Roman,ＭＳ ゴシック"/>
        </w:rPr>
        <w:t>especially</w:t>
      </w:r>
      <w:r w:rsidR="00C648E2">
        <w:rPr>
          <w:rFonts w:eastAsia="Times New Roman,ＭＳ ゴシック"/>
        </w:rPr>
        <w:t xml:space="preserve"> salient at a time when the Strategic Partnership between NATO and the EU is under </w:t>
      </w:r>
      <w:r w:rsidR="005C0693">
        <w:rPr>
          <w:rFonts w:eastAsia="Times New Roman,ＭＳ ゴシック"/>
        </w:rPr>
        <w:t>renewed</w:t>
      </w:r>
      <w:r w:rsidR="00C648E2">
        <w:rPr>
          <w:rFonts w:eastAsia="Times New Roman,ＭＳ ゴシック"/>
        </w:rPr>
        <w:t xml:space="preserve"> pressure </w:t>
      </w:r>
      <w:r w:rsidR="003553F7">
        <w:rPr>
          <w:rFonts w:eastAsia="Times New Roman,ＭＳ ゴシック"/>
        </w:rPr>
        <w:t xml:space="preserve">to offer a more workable and responsive modus </w:t>
      </w:r>
      <w:r w:rsidR="00AA40AB">
        <w:rPr>
          <w:rFonts w:eastAsia="Times New Roman,ＭＳ ゴシック"/>
        </w:rPr>
        <w:t>operandi.</w:t>
      </w:r>
      <w:r w:rsidRPr="00E96F08">
        <w:rPr>
          <w:rFonts w:eastAsia="Times New Roman,ＭＳ ゴシック"/>
        </w:rPr>
        <w:t xml:space="preserve"> </w:t>
      </w:r>
    </w:p>
    <w:p w14:paraId="2530F9E3" w14:textId="51C422B5" w:rsidR="002E388C" w:rsidRPr="00E96F08" w:rsidRDefault="002E388C" w:rsidP="00F95B95">
      <w:pPr>
        <w:pStyle w:val="Newparagraph"/>
        <w:rPr>
          <w:rFonts w:eastAsia="Times New Roman,ＭＳ ゴシック"/>
        </w:rPr>
      </w:pPr>
      <w:r w:rsidRPr="00E96F08">
        <w:rPr>
          <w:rFonts w:eastAsia="Times New Roman,ＭＳ ゴシック"/>
        </w:rPr>
        <w:t>The NAC and the PSC share a number of features that make a comparison both analytically viable and relevant. In terms of rules of procedure, both the NAC and the PSC are set up as intergovernmental bodies that operate according to the principle of consensus</w:t>
      </w:r>
      <w:r w:rsidRPr="00E96F08">
        <w:t>.</w:t>
      </w:r>
      <w:r w:rsidRPr="00E96F08">
        <w:rPr>
          <w:vertAlign w:val="superscript"/>
        </w:rPr>
        <w:endnoteReference w:id="5"/>
      </w:r>
      <w:r w:rsidRPr="00E96F08">
        <w:rPr>
          <w:rFonts w:eastAsia="Times New Roman,ＭＳ ゴシック"/>
        </w:rPr>
        <w:t xml:space="preserve"> They both deal with the issue areas of security and defence and</w:t>
      </w:r>
      <w:r w:rsidR="00C67559">
        <w:rPr>
          <w:rFonts w:eastAsia="Times New Roman,ＭＳ ゴシック"/>
        </w:rPr>
        <w:t xml:space="preserve"> de facto</w:t>
      </w:r>
      <w:r w:rsidRPr="00E96F08">
        <w:rPr>
          <w:rFonts w:eastAsia="Times New Roman,ＭＳ ゴシック"/>
        </w:rPr>
        <w:t xml:space="preserve"> take on a key role in shaping the policies of their respective organisations. To some, therefore, the two bodies constitute each other’s counterparts in two organisations that differ in nature and functioning but converge in the way they approach and govern matters of security and defence, which is, intergovernmentally</w:t>
      </w:r>
      <w:r w:rsidR="00AB2430">
        <w:rPr>
          <w:rFonts w:eastAsia="Times New Roman,ＭＳ ゴシック"/>
        </w:rPr>
        <w:t xml:space="preserve">, </w:t>
      </w:r>
      <w:r w:rsidR="00AB2430" w:rsidRPr="00AB2430">
        <w:rPr>
          <w:rFonts w:eastAsia="Times New Roman,ＭＳ ゴシック"/>
        </w:rPr>
        <w:t>with each member state retaining a veto (or constructive abstention) and consensual decision-making in place.</w:t>
      </w:r>
      <w:r w:rsidRPr="00E96F08">
        <w:rPr>
          <w:rFonts w:eastAsia="Times New Roman,ＭＳ ゴシック"/>
        </w:rPr>
        <w:t>. Most importantly, however, any formal meetings between the EU and NATO are held at the level of the NAC and the PSC, making the relationship between these two particular bodies one of the focal points of the oft-cited political deadlock between the two organisations.</w:t>
      </w:r>
    </w:p>
    <w:p w14:paraId="430AC0E8" w14:textId="2F374FBA" w:rsidR="002E388C" w:rsidRPr="00E96F08" w:rsidRDefault="002E388C" w:rsidP="00F95B95">
      <w:pPr>
        <w:pStyle w:val="Newparagraph"/>
        <w:rPr>
          <w:rFonts w:eastAsia="Times New Roman,ＭＳ ゴシック"/>
        </w:rPr>
      </w:pPr>
      <w:r w:rsidRPr="00E96F08">
        <w:rPr>
          <w:rFonts w:eastAsia="Times New Roman,ＭＳ ゴシック"/>
        </w:rPr>
        <w:lastRenderedPageBreak/>
        <w:t>Given the dearth of literature on this inter-organisational relationship, work that develops and adopts particular conceptualisations or theoretical explanations for it has also been relatively limited. Anecdotal evidence from the personal environment of the EU’s first High Representative (at the time, double-hatted as Secretary General of the Council of the EU), Javier Solana, has suggested that the PSC was originally modelled on its more dated NATO counterpart, which may indeed explain some of the parallels between them: Solana had formerly served as Secretary General of NATO, so</w:t>
      </w:r>
      <w:r w:rsidR="000B73BF">
        <w:rPr>
          <w:rFonts w:eastAsia="Times New Roman,ＭＳ ゴシック"/>
        </w:rPr>
        <w:t xml:space="preserve"> </w:t>
      </w:r>
      <w:r w:rsidRPr="00E96F08">
        <w:rPr>
          <w:rFonts w:eastAsia="Times New Roman,ＭＳ ゴシック"/>
        </w:rPr>
        <w:t xml:space="preserve">when ESDP/CSDP structures had to be set up within a short time frame, there </w:t>
      </w:r>
      <w:r w:rsidR="00AB2430">
        <w:rPr>
          <w:rFonts w:eastAsia="Times New Roman,ＭＳ ゴシック"/>
        </w:rPr>
        <w:t>has</w:t>
      </w:r>
      <w:r w:rsidR="00AB2430" w:rsidRPr="00E96F08">
        <w:rPr>
          <w:rFonts w:eastAsia="Times New Roman,ＭＳ ゴシック"/>
        </w:rPr>
        <w:t xml:space="preserve"> </w:t>
      </w:r>
      <w:r w:rsidRPr="00E96F08">
        <w:rPr>
          <w:rFonts w:eastAsia="Times New Roman,ＭＳ ゴシック"/>
        </w:rPr>
        <w:t xml:space="preserve">likely been plenty of incentive for him to draw on the modus operandi and organisational culture he had worked in previously. Therefore, together, the NAC and the PSC, including the advisory bodies around them, indeed produce a seemingly neat case of institutional isomorphism (‘copying’) or mimesis (imitation of an established model) (Reynolds 2010; Juncos 2007) where the design of one, the PSC, was clearly informed by previous experiences with a similar structure, the NAC. </w:t>
      </w:r>
    </w:p>
    <w:p w14:paraId="3B217B75" w14:textId="103F2CEF" w:rsidR="002E388C" w:rsidRPr="00E96F08" w:rsidRDefault="002E388C" w:rsidP="00F95B95">
      <w:pPr>
        <w:pStyle w:val="Newparagraph"/>
        <w:rPr>
          <w:rFonts w:eastAsia="Times New Roman,ＭＳ ゴシック"/>
        </w:rPr>
      </w:pPr>
      <w:r w:rsidRPr="00E96F08">
        <w:rPr>
          <w:rFonts w:eastAsia="Times New Roman,ＭＳ ゴシック"/>
        </w:rPr>
        <w:t>Some advanced a historical institutionalist approach to capture the dynamic between the PSC and the NAC, placing more emphasis on the structural factors but essentially also pointing at the way in which the institutional design of one had influenced the other (</w:t>
      </w:r>
      <w:r w:rsidR="00AB2430">
        <w:rPr>
          <w:rFonts w:eastAsia="Times New Roman,ＭＳ ゴシック"/>
        </w:rPr>
        <w:t xml:space="preserve">e.g. </w:t>
      </w:r>
      <w:r w:rsidRPr="00E96F08">
        <w:rPr>
          <w:rFonts w:eastAsia="Times New Roman,ＭＳ ゴシック"/>
        </w:rPr>
        <w:t xml:space="preserve">Reynolds </w:t>
      </w:r>
      <w:r w:rsidR="007515DE" w:rsidRPr="00E96F08">
        <w:rPr>
          <w:rFonts w:eastAsia="Times New Roman,ＭＳ ゴシック"/>
        </w:rPr>
        <w:t>2010</w:t>
      </w:r>
      <w:r w:rsidRPr="00E96F08">
        <w:rPr>
          <w:rFonts w:eastAsia="Times New Roman,ＭＳ ゴシック"/>
        </w:rPr>
        <w:t xml:space="preserve">). Others have highlighted the role of epistemic communities in shaping the institutional environment of each the NAC and the PSC and the two in comparison with each other (e.g. Cross 2011). A broader body of literature has dealt with the NAC and/or PSC from a socialisation perspective, focusing on social interactions as a constituting factor of particular forms of security governance (Juncos and Reynolds 2007, Juncos and Pomorska 2011). One of the broader findings of this work is that the NAC and PSC, while similar in setup and structure, have developed different political logics. </w:t>
      </w:r>
    </w:p>
    <w:p w14:paraId="3888E3BD" w14:textId="6EC2F179" w:rsidR="002E388C" w:rsidRPr="00E96F08" w:rsidRDefault="002E388C" w:rsidP="00F95B95">
      <w:pPr>
        <w:pStyle w:val="Newparagraph"/>
        <w:rPr>
          <w:rFonts w:eastAsia="Times New Roman,ＭＳ ゴシック"/>
        </w:rPr>
      </w:pPr>
      <w:r w:rsidRPr="00E96F08">
        <w:rPr>
          <w:rFonts w:eastAsia="Times New Roman,ＭＳ ゴシック"/>
        </w:rPr>
        <w:lastRenderedPageBreak/>
        <w:t xml:space="preserve">Howorth (2012) noted that the PSC had developed some form of supranational strategic culture that would transcend the intergovernmental dynamics coming from the member states – what he called </w:t>
      </w:r>
      <w:r w:rsidR="00AB2430">
        <w:rPr>
          <w:rFonts w:eastAsia="Times New Roman,ＭＳ ゴシック"/>
        </w:rPr>
        <w:t>“</w:t>
      </w:r>
      <w:r w:rsidRPr="00E96F08">
        <w:rPr>
          <w:rFonts w:eastAsia="Times New Roman,ＭＳ ゴシック"/>
        </w:rPr>
        <w:t>supranational intergovernmentalism</w:t>
      </w:r>
      <w:r w:rsidR="00AB2430">
        <w:rPr>
          <w:rFonts w:eastAsia="Times New Roman,ＭＳ ゴシック"/>
        </w:rPr>
        <w:t>”</w:t>
      </w:r>
      <w:r w:rsidRPr="00E96F08">
        <w:rPr>
          <w:rFonts w:eastAsia="Times New Roman,ＭＳ ゴシック"/>
        </w:rPr>
        <w:t xml:space="preserve">. Puetter (2014) advanced a similar argument and proposed that the PSC was an example of </w:t>
      </w:r>
      <w:r w:rsidR="00AB2430">
        <w:rPr>
          <w:rFonts w:eastAsia="Times New Roman,ＭＳ ゴシック"/>
        </w:rPr>
        <w:t>“</w:t>
      </w:r>
      <w:r w:rsidRPr="00E96F08">
        <w:rPr>
          <w:rFonts w:eastAsia="Times New Roman,ＭＳ ゴシック"/>
        </w:rPr>
        <w:t>deliberative intergovernmentalism</w:t>
      </w:r>
      <w:r w:rsidR="00AB2430">
        <w:rPr>
          <w:rFonts w:eastAsia="Times New Roman,ＭＳ ゴシック"/>
        </w:rPr>
        <w:t>”</w:t>
      </w:r>
      <w:r w:rsidRPr="00E96F08">
        <w:rPr>
          <w:rFonts w:eastAsia="Times New Roman,ＭＳ ゴシック"/>
        </w:rPr>
        <w:t xml:space="preserve"> because of its particular way of decision-making. Bickerton (2011) also stated that the intergovernmentalism in the PSC was of a “peculiar type” given that its function was “not simply to maintain national vetoes” but to act as a “consensus-generating machine”. This would effectively make the PSC differ from the NAC, where the latter is (relatively understudied but) predominantly still perceived as intergovernmentalist in the traditional sense; arguably, it is consensus-oriented but at the same time also a venue for hard inter-state bargaining. </w:t>
      </w:r>
    </w:p>
    <w:p w14:paraId="3D567806" w14:textId="44E0BB6F" w:rsidR="002E388C" w:rsidRPr="00E96F08" w:rsidRDefault="002E388C" w:rsidP="00F95B95">
      <w:pPr>
        <w:pStyle w:val="Newparagraph"/>
        <w:rPr>
          <w:rFonts w:eastAsia="Times New Roman,ＭＳ ゴシック"/>
        </w:rPr>
      </w:pPr>
      <w:r w:rsidRPr="00E96F08">
        <w:rPr>
          <w:rFonts w:eastAsia="Times New Roman,ＭＳ ゴシック"/>
        </w:rPr>
        <w:t>This article speaks to these theoretical propositions and findings while at the same time departing from the deductive approach that tends to dominate this literature (and much of the literature on security institutions in general), i.e. an approach that rationalises empirical observations based on specific theoretical premises. We adopt a somewhat unorthodox methodology in that we derive generalisable findings from empirical observations instead of applying a particular testable theoretical approach to make sense of data. We propose a framework based on Grounded Theory (GT) with the aim to develop the research agenda on the EU-NATO relationship further, and to investigate some of the mainstream claims about the NAC and the PSC more specifically. Thus, we advance an inductive approach to analyse the two bodies, each for themselves and in their relationship with each other. We expect this to reveal idiosyncrasies that can bear fruit for further theorisation and analysis and</w:t>
      </w:r>
      <w:r w:rsidR="00D318D4">
        <w:rPr>
          <w:rFonts w:eastAsia="Times New Roman,ＭＳ ゴシック"/>
        </w:rPr>
        <w:t>,</w:t>
      </w:r>
      <w:r w:rsidRPr="00E96F08">
        <w:rPr>
          <w:rFonts w:eastAsia="Times New Roman,ＭＳ ゴシック"/>
        </w:rPr>
        <w:t xml:space="preserve"> as such, inform the development of a research agenda </w:t>
      </w:r>
      <w:r w:rsidR="00D318D4" w:rsidRPr="00E96F08">
        <w:rPr>
          <w:rFonts w:eastAsia="Times New Roman,ＭＳ ゴシック"/>
        </w:rPr>
        <w:t>concerning</w:t>
      </w:r>
      <w:r w:rsidRPr="00E96F08">
        <w:rPr>
          <w:rFonts w:eastAsia="Times New Roman,ＭＳ ゴシック"/>
        </w:rPr>
        <w:t xml:space="preserve"> the comparative study of the NAC and the PSC. The article complements the </w:t>
      </w:r>
      <w:r w:rsidRPr="00E96F08">
        <w:rPr>
          <w:rFonts w:eastAsia="Times New Roman,ＭＳ ゴシック"/>
        </w:rPr>
        <w:lastRenderedPageBreak/>
        <w:t xml:space="preserve">contributions of Koops </w:t>
      </w:r>
      <w:r w:rsidR="00FA4CD6">
        <w:rPr>
          <w:rFonts w:eastAsia="Times New Roman,ＭＳ ゴシック"/>
        </w:rPr>
        <w:t xml:space="preserve">(2017) </w:t>
      </w:r>
      <w:r w:rsidRPr="00E96F08">
        <w:rPr>
          <w:rFonts w:eastAsia="Times New Roman,ＭＳ ゴシック"/>
        </w:rPr>
        <w:t>and Græger</w:t>
      </w:r>
      <w:r w:rsidR="00FA4CD6">
        <w:rPr>
          <w:rFonts w:eastAsia="Times New Roman,ＭＳ ゴシック"/>
        </w:rPr>
        <w:t xml:space="preserve"> (2017)</w:t>
      </w:r>
      <w:r w:rsidRPr="00E96F08">
        <w:rPr>
          <w:rFonts w:eastAsia="Times New Roman,ＭＳ ゴシック"/>
        </w:rPr>
        <w:t xml:space="preserve"> in this special issue in the way it extends the theoretical discussion through dense empiricism. </w:t>
      </w:r>
    </w:p>
    <w:p w14:paraId="42CEFC0C" w14:textId="4512E08F" w:rsidR="002E388C" w:rsidRPr="00E96F08" w:rsidRDefault="002E388C" w:rsidP="00CC204E">
      <w:pPr>
        <w:pStyle w:val="Newparagraph"/>
        <w:rPr>
          <w:rFonts w:eastAsia="Times New Roman,ＭＳ ゴシック"/>
        </w:rPr>
      </w:pPr>
      <w:r w:rsidRPr="00E96F08">
        <w:rPr>
          <w:rFonts w:eastAsia="Times New Roman,ＭＳ ゴシック"/>
        </w:rPr>
        <w:t xml:space="preserve">The following section addresses the question of the comparability of the NAC and the PSC, and outlines GT as a methodological framework that can be meaningfully applied to the study of the NAC and the PSC. We proceed with a discussion of the material gathered in two rounds of interviews, from which – in line with </w:t>
      </w:r>
      <w:r w:rsidR="00FC49C6">
        <w:rPr>
          <w:rFonts w:eastAsia="Times New Roman,ＭＳ ゴシック"/>
        </w:rPr>
        <w:t>the</w:t>
      </w:r>
      <w:r w:rsidRPr="00E96F08">
        <w:rPr>
          <w:rFonts w:eastAsia="Times New Roman,ＭＳ ゴシック"/>
        </w:rPr>
        <w:t xml:space="preserve"> GT approach</w:t>
      </w:r>
      <w:r w:rsidR="00FC49C6">
        <w:rPr>
          <w:rFonts w:eastAsia="Times New Roman,ＭＳ ゴシック"/>
        </w:rPr>
        <w:t xml:space="preserve"> further outlined below</w:t>
      </w:r>
      <w:r w:rsidRPr="00E96F08">
        <w:rPr>
          <w:rFonts w:eastAsia="Times New Roman,ＭＳ ゴシック"/>
        </w:rPr>
        <w:t xml:space="preserve"> – three main </w:t>
      </w:r>
      <w:r w:rsidR="00CD5568" w:rsidRPr="00E96F08">
        <w:rPr>
          <w:rFonts w:eastAsia="Times New Roman,ＭＳ ゴシック"/>
        </w:rPr>
        <w:t>“</w:t>
      </w:r>
      <w:r w:rsidRPr="00E96F08">
        <w:rPr>
          <w:rFonts w:eastAsia="Times New Roman,ＭＳ ゴシック"/>
        </w:rPr>
        <w:t>conceptual categories</w:t>
      </w:r>
      <w:r w:rsidR="00CD5568" w:rsidRPr="00E96F08">
        <w:rPr>
          <w:rFonts w:eastAsia="Times New Roman,ＭＳ ゴシック"/>
        </w:rPr>
        <w:t>”</w:t>
      </w:r>
      <w:r w:rsidRPr="00E96F08">
        <w:rPr>
          <w:rFonts w:eastAsia="Times New Roman,ＭＳ ゴシック"/>
        </w:rPr>
        <w:t xml:space="preserve"> emerged: (1) </w:t>
      </w:r>
      <w:r w:rsidR="003553F7">
        <w:rPr>
          <w:rFonts w:eastAsia="Times New Roman,ＭＳ ゴシック"/>
        </w:rPr>
        <w:t>“</w:t>
      </w:r>
      <w:r w:rsidRPr="00E96F08">
        <w:rPr>
          <w:rFonts w:eastAsia="Times New Roman,ＭＳ ゴシック"/>
          <w:i/>
        </w:rPr>
        <w:t>established procedur</w:t>
      </w:r>
      <w:r w:rsidR="00CD5568" w:rsidRPr="00E96F08">
        <w:rPr>
          <w:rFonts w:eastAsia="Times New Roman,ＭＳ ゴシック"/>
          <w:i/>
        </w:rPr>
        <w:t>es</w:t>
      </w:r>
      <w:r w:rsidR="003553F7" w:rsidRPr="003553F7">
        <w:rPr>
          <w:rFonts w:eastAsia="Times New Roman,ＭＳ ゴシック"/>
        </w:rPr>
        <w:t>”</w:t>
      </w:r>
      <w:r w:rsidRPr="00E96F08">
        <w:rPr>
          <w:rFonts w:eastAsia="Times New Roman,ＭＳ ゴシック"/>
        </w:rPr>
        <w:t xml:space="preserve">, (2) </w:t>
      </w:r>
      <w:r w:rsidR="003553F7">
        <w:rPr>
          <w:rFonts w:eastAsia="Times New Roman,ＭＳ ゴシック"/>
        </w:rPr>
        <w:t>“</w:t>
      </w:r>
      <w:r w:rsidRPr="00E96F08">
        <w:rPr>
          <w:rFonts w:eastAsia="Times New Roman,ＭＳ ゴシック"/>
          <w:i/>
        </w:rPr>
        <w:t>driving consensus</w:t>
      </w:r>
      <w:r w:rsidR="003553F7" w:rsidRPr="003553F7">
        <w:rPr>
          <w:rFonts w:eastAsia="Times New Roman,ＭＳ ゴシック"/>
        </w:rPr>
        <w:t>”</w:t>
      </w:r>
      <w:r w:rsidRPr="00E96F08">
        <w:rPr>
          <w:rFonts w:eastAsia="Times New Roman,ＭＳ ゴシック"/>
        </w:rPr>
        <w:t xml:space="preserve"> and (3) </w:t>
      </w:r>
      <w:r w:rsidR="003553F7">
        <w:rPr>
          <w:rFonts w:eastAsia="Times New Roman,ＭＳ ゴシック"/>
        </w:rPr>
        <w:t>“</w:t>
      </w:r>
      <w:r w:rsidRPr="00E96F08">
        <w:rPr>
          <w:rFonts w:eastAsia="Times New Roman,ＭＳ ゴシック"/>
          <w:i/>
        </w:rPr>
        <w:t>the rhythm of work</w:t>
      </w:r>
      <w:r w:rsidRPr="00E96F08">
        <w:rPr>
          <w:rFonts w:eastAsia="Times New Roman,ＭＳ ゴシック"/>
        </w:rPr>
        <w:t>.</w:t>
      </w:r>
      <w:r w:rsidR="003553F7">
        <w:rPr>
          <w:rFonts w:eastAsia="Times New Roman,ＭＳ ゴシック"/>
        </w:rPr>
        <w:t>”</w:t>
      </w:r>
      <w:r w:rsidR="003553F7">
        <w:rPr>
          <w:rStyle w:val="EndnoteReference"/>
          <w:rFonts w:eastAsia="Times New Roman,ＭＳ ゴシック"/>
        </w:rPr>
        <w:endnoteReference w:id="6"/>
      </w:r>
      <w:r w:rsidRPr="00E96F08">
        <w:rPr>
          <w:rFonts w:eastAsia="Times New Roman,ＭＳ ゴシック"/>
        </w:rPr>
        <w:t xml:space="preserve"> The </w:t>
      </w:r>
      <w:r w:rsidR="00F940CB">
        <w:rPr>
          <w:rFonts w:eastAsia="Times New Roman,ＭＳ ゴシック"/>
        </w:rPr>
        <w:t xml:space="preserve">conclusion of the article then </w:t>
      </w:r>
      <w:r w:rsidR="0020328F">
        <w:rPr>
          <w:rFonts w:eastAsia="Times New Roman,ＭＳ ゴシック"/>
        </w:rPr>
        <w:t xml:space="preserve">summarises the </w:t>
      </w:r>
      <w:r w:rsidR="00760BB0">
        <w:rPr>
          <w:rFonts w:eastAsia="Times New Roman,ＭＳ ゴシック"/>
        </w:rPr>
        <w:t xml:space="preserve">possible linkages </w:t>
      </w:r>
      <w:r w:rsidR="0020328F">
        <w:rPr>
          <w:rFonts w:eastAsia="Times New Roman,ＭＳ ゴシック"/>
        </w:rPr>
        <w:t>between the</w:t>
      </w:r>
      <w:r w:rsidR="00F940CB">
        <w:rPr>
          <w:rFonts w:eastAsia="Times New Roman,ＭＳ ゴシック"/>
        </w:rPr>
        <w:t>se</w:t>
      </w:r>
      <w:r w:rsidR="0020328F">
        <w:rPr>
          <w:rFonts w:eastAsia="Times New Roman,ＭＳ ゴシック"/>
        </w:rPr>
        <w:t xml:space="preserve"> categories </w:t>
      </w:r>
      <w:r w:rsidR="00F940CB">
        <w:rPr>
          <w:rFonts w:eastAsia="Times New Roman,ＭＳ ゴシック"/>
        </w:rPr>
        <w:t>and</w:t>
      </w:r>
      <w:r w:rsidR="0020328F">
        <w:rPr>
          <w:rFonts w:eastAsia="Times New Roman,ＭＳ ゴシック"/>
        </w:rPr>
        <w:t xml:space="preserve"> </w:t>
      </w:r>
      <w:r w:rsidR="0020328F">
        <w:rPr>
          <w:rFonts w:eastAsia="Times,Times New Roman"/>
        </w:rPr>
        <w:t>offer</w:t>
      </w:r>
      <w:r w:rsidR="00F940CB">
        <w:rPr>
          <w:rFonts w:eastAsia="Times,Times New Roman"/>
        </w:rPr>
        <w:t>s</w:t>
      </w:r>
      <w:r w:rsidR="0020328F">
        <w:rPr>
          <w:rFonts w:eastAsia="Times,Times New Roman"/>
        </w:rPr>
        <w:t xml:space="preserve"> </w:t>
      </w:r>
      <w:r w:rsidR="0020328F" w:rsidRPr="00E96F08">
        <w:rPr>
          <w:rFonts w:eastAsia="Times,Times New Roman"/>
        </w:rPr>
        <w:t xml:space="preserve">insights into the </w:t>
      </w:r>
      <w:r w:rsidR="0020328F">
        <w:rPr>
          <w:rFonts w:eastAsia="Times,Times New Roman"/>
        </w:rPr>
        <w:t xml:space="preserve">workings of the </w:t>
      </w:r>
      <w:r w:rsidR="0020328F" w:rsidRPr="00E96F08">
        <w:rPr>
          <w:rFonts w:eastAsia="Times,Times New Roman"/>
        </w:rPr>
        <w:t>PSC</w:t>
      </w:r>
      <w:r w:rsidR="0020328F">
        <w:rPr>
          <w:rFonts w:eastAsia="Times,Times New Roman"/>
        </w:rPr>
        <w:t>, the NAC</w:t>
      </w:r>
      <w:r w:rsidR="0020328F" w:rsidRPr="00E96F08">
        <w:rPr>
          <w:rFonts w:eastAsia="Times,Times New Roman"/>
        </w:rPr>
        <w:t xml:space="preserve"> and </w:t>
      </w:r>
      <w:r w:rsidR="0020328F">
        <w:rPr>
          <w:rFonts w:eastAsia="Times,Times New Roman"/>
        </w:rPr>
        <w:t>their joint meetings</w:t>
      </w:r>
      <w:r w:rsidR="00F940CB">
        <w:rPr>
          <w:rFonts w:eastAsia="Times,Times New Roman"/>
        </w:rPr>
        <w:t xml:space="preserve">. After a reflection on the usefulness of the GT approach, the article situates the </w:t>
      </w:r>
      <w:r w:rsidR="002C287A">
        <w:rPr>
          <w:rFonts w:eastAsia="Times,Times New Roman"/>
        </w:rPr>
        <w:t>findings</w:t>
      </w:r>
      <w:r w:rsidR="00F940CB">
        <w:rPr>
          <w:rFonts w:eastAsia="Times,Times New Roman"/>
        </w:rPr>
        <w:t xml:space="preserve"> into a broader </w:t>
      </w:r>
      <w:r w:rsidR="002C287A">
        <w:rPr>
          <w:rFonts w:eastAsia="Times,Times New Roman"/>
        </w:rPr>
        <w:t>perspective of EU-NATO cooperation.</w:t>
      </w:r>
    </w:p>
    <w:p w14:paraId="7C391935" w14:textId="6216F95C" w:rsidR="002E388C" w:rsidRPr="00E96F08" w:rsidRDefault="002E388C" w:rsidP="00CC204E">
      <w:pPr>
        <w:pStyle w:val="Heading1"/>
        <w:keepLines w:val="0"/>
        <w:spacing w:before="360" w:after="60" w:line="360" w:lineRule="auto"/>
        <w:ind w:right="567"/>
        <w:contextualSpacing/>
        <w:rPr>
          <w:rFonts w:ascii="Times New Roman" w:eastAsia="Times New Roman" w:hAnsi="Times New Roman" w:cs="Times New Roman"/>
          <w:color w:val="auto"/>
          <w:kern w:val="32"/>
          <w:sz w:val="24"/>
          <w:lang w:eastAsia="en-GB"/>
        </w:rPr>
      </w:pPr>
      <w:r w:rsidRPr="00E96F08">
        <w:rPr>
          <w:rFonts w:ascii="Times New Roman" w:eastAsia="Times New Roman" w:hAnsi="Times New Roman" w:cs="Times New Roman"/>
          <w:color w:val="auto"/>
          <w:kern w:val="32"/>
          <w:sz w:val="24"/>
          <w:lang w:eastAsia="en-GB"/>
        </w:rPr>
        <w:t>Analysing the NAC and PSC in a Grounded Theory framework</w:t>
      </w:r>
    </w:p>
    <w:p w14:paraId="0AE4CD73" w14:textId="79182D18" w:rsidR="002E388C" w:rsidRPr="00E96F08" w:rsidRDefault="002E388C" w:rsidP="00C746F4">
      <w:pPr>
        <w:spacing w:line="480" w:lineRule="auto"/>
        <w:rPr>
          <w:rFonts w:ascii="Times New Roman" w:hAnsi="Times New Roman" w:cs="Times New Roman"/>
          <w:sz w:val="24"/>
          <w:szCs w:val="24"/>
        </w:rPr>
      </w:pPr>
      <w:r w:rsidRPr="00E96F08">
        <w:rPr>
          <w:rFonts w:ascii="Times New Roman" w:hAnsi="Times New Roman" w:cs="Times New Roman"/>
          <w:sz w:val="24"/>
          <w:szCs w:val="24"/>
        </w:rPr>
        <w:t>To develop a framework for the comparison we propose, we first outline more specifically where the NAC and the PSC differ</w:t>
      </w:r>
      <w:r w:rsidR="004C5C5F">
        <w:rPr>
          <w:rFonts w:ascii="Times New Roman" w:hAnsi="Times New Roman" w:cs="Times New Roman"/>
          <w:sz w:val="24"/>
          <w:szCs w:val="24"/>
        </w:rPr>
        <w:t xml:space="preserve"> </w:t>
      </w:r>
      <w:r w:rsidR="00FC49C6">
        <w:rPr>
          <w:rFonts w:ascii="Times New Roman" w:hAnsi="Times New Roman" w:cs="Times New Roman"/>
          <w:sz w:val="24"/>
          <w:szCs w:val="24"/>
        </w:rPr>
        <w:t xml:space="preserve">, not least </w:t>
      </w:r>
      <w:r w:rsidR="004C5C5F">
        <w:rPr>
          <w:rFonts w:ascii="Times New Roman" w:hAnsi="Times New Roman" w:cs="Times New Roman"/>
          <w:sz w:val="24"/>
          <w:szCs w:val="24"/>
        </w:rPr>
        <w:t>to</w:t>
      </w:r>
      <w:r w:rsidR="004C5C5F" w:rsidRPr="004C5C5F">
        <w:rPr>
          <w:rFonts w:ascii="Times New Roman" w:hAnsi="Times New Roman" w:cs="Times New Roman"/>
          <w:sz w:val="24"/>
          <w:szCs w:val="24"/>
        </w:rPr>
        <w:t xml:space="preserve"> </w:t>
      </w:r>
      <w:r w:rsidR="005C26D7" w:rsidRPr="005C26D7">
        <w:rPr>
          <w:rFonts w:ascii="Times New Roman" w:hAnsi="Times New Roman" w:cs="Times New Roman"/>
          <w:sz w:val="24"/>
          <w:szCs w:val="24"/>
        </w:rPr>
        <w:t>not least to problematise and illustrate their comparability</w:t>
      </w:r>
      <w:r w:rsidR="004C5C5F">
        <w:rPr>
          <w:rFonts w:ascii="Times New Roman" w:hAnsi="Times New Roman" w:cs="Times New Roman"/>
          <w:sz w:val="24"/>
          <w:szCs w:val="24"/>
        </w:rPr>
        <w:t>.</w:t>
      </w:r>
      <w:r w:rsidRPr="00E96F08">
        <w:rPr>
          <w:rFonts w:ascii="Times New Roman" w:hAnsi="Times New Roman" w:cs="Times New Roman"/>
          <w:sz w:val="24"/>
          <w:szCs w:val="24"/>
        </w:rPr>
        <w:t xml:space="preserve"> One key difference lies in the institutional context and hierarchy that they each find themselves in. The NAC consists of all the permanent representations of the NATO members</w:t>
      </w:r>
      <w:r w:rsidRPr="00E96F08">
        <w:rPr>
          <w:rFonts w:ascii="Times New Roman" w:hAnsi="Times New Roman" w:cs="Times New Roman"/>
          <w:sz w:val="24"/>
          <w:szCs w:val="24"/>
          <w:vertAlign w:val="superscript"/>
        </w:rPr>
        <w:endnoteReference w:id="7"/>
      </w:r>
      <w:r w:rsidRPr="00E96F08">
        <w:rPr>
          <w:rFonts w:ascii="Times New Roman" w:hAnsi="Times New Roman" w:cs="Times New Roman"/>
          <w:sz w:val="24"/>
          <w:szCs w:val="24"/>
        </w:rPr>
        <w:t xml:space="preserve"> and can be convened at the level of heads of state, foreign ministers, defence ministers or, more regularly, at ambassadorial level of permanent representatives. No matter at what rank it meets, all decisions of the NAC have the same level of authority </w:t>
      </w:r>
      <w:r w:rsidRPr="00E96F08">
        <w:rPr>
          <w:rFonts w:ascii="Times New Roman" w:hAnsi="Times New Roman" w:cs="Times New Roman"/>
          <w:sz w:val="24"/>
          <w:szCs w:val="24"/>
        </w:rPr>
        <w:fldChar w:fldCharType="begin"/>
      </w:r>
      <w:r w:rsidRPr="00E96F08">
        <w:rPr>
          <w:rFonts w:ascii="Times New Roman" w:hAnsi="Times New Roman" w:cs="Times New Roman"/>
          <w:sz w:val="24"/>
          <w:szCs w:val="24"/>
        </w:rPr>
        <w:instrText xml:space="preserve"> ADDIN ZOTERO_ITEM CSL_CITATION {"citationID":"pb0JwUhp","properties":{"formattedCitation":"(NATO Handbook 2006, p.34)","plainCitation":"(NATO Handbook 2006, p.34)"},"citationItems":[{"id":436,"uris":["http://zotero.org/users/421806/items/T6JDMCBI"],"uri":["http://zotero.org/users/421806/items/T6JDMCBI"],"itemData":{"id":436,"type":"book","title":"NATO Handbook","publisher":"Public Diplomacy Division","number-of-pages":"405","URL":"http://www.nato.int/docu/handbook/2006/hb-en-2006.pdf","ISBN":"ISBN 92-845-0178-4","author":[{"family":"NATO Handbook","given":""}],"issued":{"year":2006},"accessed":{"year":2011,"month":10,"day":11}},"locator":"34","label":"page"}],"schema":"https://github.com/citation-style-language/schema/raw/master/csl-citation.json"} </w:instrText>
      </w:r>
      <w:r w:rsidRPr="00E96F08">
        <w:rPr>
          <w:rFonts w:ascii="Times New Roman" w:hAnsi="Times New Roman" w:cs="Times New Roman"/>
          <w:sz w:val="24"/>
          <w:szCs w:val="24"/>
        </w:rPr>
        <w:fldChar w:fldCharType="separate"/>
      </w:r>
      <w:r w:rsidRPr="00E96F08">
        <w:rPr>
          <w:rFonts w:ascii="Times New Roman" w:hAnsi="Times New Roman" w:cs="Times New Roman"/>
          <w:sz w:val="24"/>
          <w:szCs w:val="24"/>
        </w:rPr>
        <w:t>(</w:t>
      </w:r>
      <w:r w:rsidR="00D318D4">
        <w:rPr>
          <w:rFonts w:ascii="Times New Roman" w:hAnsi="Times New Roman" w:cs="Times New Roman"/>
          <w:sz w:val="24"/>
          <w:szCs w:val="24"/>
        </w:rPr>
        <w:t>Medcalf</w:t>
      </w:r>
      <w:r w:rsidRPr="00E96F08">
        <w:rPr>
          <w:rFonts w:ascii="Times New Roman" w:hAnsi="Times New Roman" w:cs="Times New Roman"/>
          <w:sz w:val="24"/>
          <w:szCs w:val="24"/>
        </w:rPr>
        <w:t xml:space="preserve"> 2006, p. 34)</w:t>
      </w:r>
      <w:r w:rsidRPr="00E96F08">
        <w:rPr>
          <w:rFonts w:ascii="Times New Roman" w:hAnsi="Times New Roman" w:cs="Times New Roman"/>
          <w:sz w:val="24"/>
          <w:szCs w:val="24"/>
        </w:rPr>
        <w:fldChar w:fldCharType="end"/>
      </w:r>
      <w:r w:rsidRPr="00E96F08">
        <w:rPr>
          <w:rFonts w:ascii="Times New Roman" w:hAnsi="Times New Roman" w:cs="Times New Roman"/>
          <w:sz w:val="24"/>
          <w:szCs w:val="24"/>
        </w:rPr>
        <w:t xml:space="preserve">. It is the only decision making body that is referred to in the North Atlantic Treaty and does therefore not have any superseding decision-making body within the organisation that it needs to take into account. </w:t>
      </w:r>
    </w:p>
    <w:p w14:paraId="014C5077" w14:textId="433F2D9D" w:rsidR="002E388C" w:rsidRPr="00E96F08" w:rsidRDefault="002E388C" w:rsidP="00CC204E">
      <w:pPr>
        <w:pStyle w:val="Newparagraph"/>
      </w:pPr>
      <w:r w:rsidRPr="00E96F08">
        <w:t xml:space="preserve">The PSC was established by the Treaty of Nice (article 25) and an EU Council Decision of 22 January 2001 </w:t>
      </w:r>
      <w:r w:rsidRPr="00E96F08">
        <w:fldChar w:fldCharType="begin"/>
      </w:r>
      <w:r w:rsidRPr="00E96F08">
        <w:instrText xml:space="preserve"> ADDIN ZOTERO_ITEM CSL_CITATION {"citationID":"M9SNrUH4","properties":{"formattedCitation":"(The Council of the European Union 2001)","plainCitation":"(The Council of the European Union 2001)"},"citationItems":[{"id":776,"uris":["http://zotero.org/users/421806/items/BS55TNGV"],"uri":["http://zotero.org/users/421806/items/BS55TNGV"],"itemData":{"id":776,"type":"article","title":"COUNCIL DECISION /2001/78/CFSP setting up the Political and Security Committee","URL":"http://www.consilium.europa.eu/uedocs/cmsUpload/l_02720010130en00010003.pdf","author":[{"family":"The Council of the European Union","given":""}],"issued":{"year":2001,"month":1,"day":22}}}],"schema":"https://github.com/citation-style-language/schema/raw/master/csl-citation.json"} </w:instrText>
      </w:r>
      <w:r w:rsidRPr="00E96F08">
        <w:fldChar w:fldCharType="separate"/>
      </w:r>
      <w:r w:rsidRPr="00E96F08">
        <w:t>(The Council of the European Union 2001)</w:t>
      </w:r>
      <w:r w:rsidRPr="00E96F08">
        <w:fldChar w:fldCharType="end"/>
      </w:r>
      <w:r w:rsidRPr="00E96F08">
        <w:t>,</w:t>
      </w:r>
      <w:r w:rsidRPr="00E96F08">
        <w:rPr>
          <w:vertAlign w:val="superscript"/>
        </w:rPr>
        <w:endnoteReference w:id="8"/>
      </w:r>
      <w:r w:rsidRPr="00E96F08">
        <w:t xml:space="preserve"> originally, as a </w:t>
      </w:r>
      <w:r w:rsidRPr="00E96F08">
        <w:lastRenderedPageBreak/>
        <w:t xml:space="preserve">decision-making body that considers all aspects of the CFSP. In practice, however, it has tended to spend ‘most of its time on CSDP matters’ </w:t>
      </w:r>
      <w:r w:rsidRPr="00E96F08">
        <w:fldChar w:fldCharType="begin"/>
      </w:r>
      <w:r w:rsidRPr="00E96F08">
        <w:instrText xml:space="preserve"> ADDIN ZOTERO_ITEM CSL_CITATION {"citationID":"GlsmHtw7","properties":{"formattedCitation":"(Howorth 2010, p.6)","plainCitation":"(Howorth 2010, p.6)"},"citationItems":[{"id":830,"uris":["http://zotero.org/users/421806/items/JF4HNGB2"],"uri":["http://zotero.org/users/421806/items/JF4HNGB2"],"itemData":{"id":830,"type":"article-journal","title":"The Political and Security Committee: a case study in ‘supranational inter-governmentalism","container-title":"Science Po","collection-title":"Cahiers Européens","page":"25","author":[{"family":"Howorth","given":"Jolyon"}],"issued":{"year":2010,"month":1}},"locator":"6","label":"page"}],"schema":"https://github.com/citation-style-language/schema/raw/master/csl-citation.json"} </w:instrText>
      </w:r>
      <w:r w:rsidRPr="00E96F08">
        <w:fldChar w:fldCharType="separate"/>
      </w:r>
      <w:r w:rsidRPr="00E96F08">
        <w:t>(Howorth 2012, p. 6)</w:t>
      </w:r>
      <w:r w:rsidRPr="00E96F08">
        <w:fldChar w:fldCharType="end"/>
      </w:r>
      <w:r w:rsidRPr="00E96F08">
        <w:t>. It is made up of ambassadors that represent the member states of the EU.</w:t>
      </w:r>
      <w:r w:rsidRPr="00E96F08">
        <w:rPr>
          <w:vertAlign w:val="superscript"/>
        </w:rPr>
        <w:endnoteReference w:id="9"/>
      </w:r>
      <w:r w:rsidRPr="00E96F08">
        <w:t xml:space="preserve"> The Permanent Representatives of the EU Member States, usually more senior ambassadors, sit in the COREPER, which, along with the Foreign Affairs Council (FAC) and the European Council, formally outranks the PSC. Since the Lisbon Treaty in 2009, the PSC has been chaired by an official from the European External Action Service (EEAS)</w:t>
      </w:r>
      <w:r w:rsidR="00760BB0">
        <w:t>, giving the supranational institutions influence with regard to agenda-setting</w:t>
      </w:r>
      <w:r w:rsidRPr="00E96F08">
        <w:t>.</w:t>
      </w:r>
      <w:r w:rsidRPr="00E96F08">
        <w:rPr>
          <w:rStyle w:val="EndnoteReference"/>
        </w:rPr>
        <w:endnoteReference w:id="10"/>
      </w:r>
      <w:r w:rsidRPr="00E96F08">
        <w:t xml:space="preserve"> </w:t>
      </w:r>
    </w:p>
    <w:p w14:paraId="09C001C8" w14:textId="3C44036C" w:rsidR="002E388C" w:rsidRPr="00E96F08" w:rsidRDefault="002E388C" w:rsidP="00C24280">
      <w:pPr>
        <w:pStyle w:val="Newparagraph"/>
      </w:pPr>
      <w:r w:rsidRPr="00E96F08">
        <w:t xml:space="preserve">This difference in authority between the NAC and the PSC could be construed as a reason not to view them as each other’s counterparts. Arguably, however, as will be demonstrated further below, the PSC is still more comparable to the NAC than the COREPER, not least in terms of its remit, and its particular focus on security and defence. It has developed a reputation as the “linchpin” (Duke, 2005) and “working horse” of the CSDP </w:t>
      </w:r>
      <w:r w:rsidRPr="00E96F08">
        <w:fldChar w:fldCharType="begin"/>
      </w:r>
      <w:r w:rsidRPr="00E96F08">
        <w:instrText xml:space="preserve"> ADDIN ZOTERO_ITEM CSL_CITATION {"citationID":"nPh2xzm6","properties":{"formattedCitation":"(Duke and Meyer quoted in Howorth 2007, p.68)","plainCitation":"(Duke and Meyer quoted in Howorth 2007, p.68)"},"citationItems":[{"id":99,"uris":["http://zotero.org/users/421806/items/E9TAT5G8"],"uri":["http://zotero.org/users/421806/items/E9TAT5G8"],"itemData":{"id":99,"type":"book","title":"Security and Defence Policy in the European Union","publisher":"Palgrave MacMillan","publisher-place":"New York","event-place":"New York","author":[{"family":"Howorth","given":"Jolyon"}],"issued":{"year":2007}},"locator":"68","label":"page","prefix":"Duke and Meyer quoted in"}],"schema":"https://github.com/citation-style-language/schema/raw/master/csl-citation.json"} </w:instrText>
      </w:r>
      <w:r w:rsidRPr="00E96F08">
        <w:fldChar w:fldCharType="separate"/>
      </w:r>
      <w:r w:rsidRPr="00E96F08">
        <w:t>(Meyer 2006, p. 116)</w:t>
      </w:r>
      <w:r w:rsidRPr="00E96F08">
        <w:fldChar w:fldCharType="end"/>
      </w:r>
      <w:r w:rsidRPr="00E96F08">
        <w:t xml:space="preserve"> “that really runs foreign policy” (interview cited in Puetter 2014, p. 196), effectively making it the institutional equivalent of NAC within the EU. That said, the strongest argument in favour of a comparison is that formal meetings between the EU and NATO involve exactly these two bodies.</w:t>
      </w:r>
    </w:p>
    <w:p w14:paraId="27F23FFD" w14:textId="26BE18E0" w:rsidR="002E388C" w:rsidRPr="00E96F08" w:rsidRDefault="00F74DEE" w:rsidP="00CC204E">
      <w:pPr>
        <w:pStyle w:val="Newparagraph"/>
        <w:rPr>
          <w:rFonts w:eastAsia="Times New Roman,ＭＳ ゴシック"/>
        </w:rPr>
      </w:pPr>
      <w:r>
        <w:rPr>
          <w:rFonts w:eastAsia="Times New Roman,ＭＳ ゴシック"/>
        </w:rPr>
        <w:t>A</w:t>
      </w:r>
      <w:r w:rsidR="002E388C" w:rsidRPr="00E96F08">
        <w:rPr>
          <w:rFonts w:eastAsia="Times New Roman,ＭＳ ゴシック"/>
        </w:rPr>
        <w:t xml:space="preserve">s Koops </w:t>
      </w:r>
      <w:r w:rsidR="005C26D7">
        <w:rPr>
          <w:rFonts w:eastAsia="Times New Roman,ＭＳ ゴシック"/>
        </w:rPr>
        <w:t xml:space="preserve">(2017) </w:t>
      </w:r>
      <w:r w:rsidR="002E388C" w:rsidRPr="00E96F08">
        <w:rPr>
          <w:rFonts w:eastAsia="Times New Roman,ＭＳ ゴシック"/>
        </w:rPr>
        <w:t>illustrates in his contribution to this special issue, researchers of international security organisations have been able to draw on a variety of theoretical approaches</w:t>
      </w:r>
      <w:r w:rsidR="00587AF4">
        <w:rPr>
          <w:rFonts w:eastAsia="Times New Roman,ＭＳ ゴシック"/>
        </w:rPr>
        <w:t xml:space="preserve"> including most notably, the dominant foundationalist theories, Realism and Liberalism, and more recently, post-foundationalist theories like Sociological Institutionalism and Social Constructivism more generally</w:t>
      </w:r>
      <w:r w:rsidR="002E388C" w:rsidRPr="00E96F08">
        <w:rPr>
          <w:rFonts w:eastAsia="Times New Roman,ＭＳ ゴシック"/>
        </w:rPr>
        <w:t xml:space="preserve">. Each approach prioritises certain concepts over others and thereby almost naturally excludes some aspects of a problem to enable focus on another. The resulting parsimony and analytical focus are of course key currencies in social science; they are “seen as a measurement of the maturity of </w:t>
      </w:r>
      <w:r w:rsidR="002E388C" w:rsidRPr="00E96F08">
        <w:rPr>
          <w:rFonts w:eastAsia="Times New Roman,ＭＳ ゴシック"/>
        </w:rPr>
        <w:lastRenderedPageBreak/>
        <w:t xml:space="preserve">a research area or the ‘normalisation’ of otherwise dispersed research efforts” (Lynggaard, Löfgren and Manners 2015, p. 8). </w:t>
      </w:r>
    </w:p>
    <w:p w14:paraId="32AF4A0F" w14:textId="77777777" w:rsidR="002E388C" w:rsidRPr="00E96F08" w:rsidRDefault="002E388C" w:rsidP="00CC204E">
      <w:pPr>
        <w:pStyle w:val="Newparagraph"/>
        <w:rPr>
          <w:rFonts w:eastAsia="Times New Roman,ＭＳ ゴシック"/>
        </w:rPr>
      </w:pPr>
      <w:r w:rsidRPr="00E96F08">
        <w:rPr>
          <w:rFonts w:eastAsia="Times New Roman,ＭＳ ゴシック"/>
        </w:rPr>
        <w:t xml:space="preserve">For some time now, deductive reasoning has been the gold standard in mainstream scholarly work. However, in line with the epistemological literature on theorisation and inductive causal discovery (see Blagden 2016 for a recent overview), we point to an obvious limitation of the deductive research process: as the interested scholar is given a range of options to make ex ante choices about their analytical focus and line of reasoning they are free to model their approach around convenience (access to data/the organisation in question, capacity to undertake field work, time frame, personal preference) and fit to the perceived issue or puzzle (confirmation bias). As a result, this theory-driven kind of scholarly work is potentially self-referential and truth-preserving, and therefore, biased towards the explanation it sought to prove. </w:t>
      </w:r>
    </w:p>
    <w:p w14:paraId="25537025" w14:textId="68408DCA" w:rsidR="002E388C" w:rsidRPr="00E96F08" w:rsidRDefault="002E388C" w:rsidP="00CC204E">
      <w:pPr>
        <w:pStyle w:val="Newparagraph"/>
        <w:rPr>
          <w:rFonts w:eastAsia="Times New Roman,ＭＳ ゴシック"/>
        </w:rPr>
      </w:pPr>
      <w:r w:rsidRPr="00E96F08">
        <w:rPr>
          <w:rFonts w:eastAsia="Times New Roman,ＭＳ ゴシック"/>
        </w:rPr>
        <w:t>This kind of dynamic can be relatively limiting when a research area is not yet readily developed (see also Aggestam 2004). What is more, the nature of studying security organisations also conditions the research design: the confidentiality of primary data and the general volatility of the international security environment</w:t>
      </w:r>
      <w:r w:rsidR="008A09F3">
        <w:rPr>
          <w:rFonts w:eastAsia="Times New Roman,ＭＳ ゴシック"/>
        </w:rPr>
        <w:t xml:space="preserve"> (for discussions on the latter</w:t>
      </w:r>
      <w:r w:rsidR="00783225">
        <w:rPr>
          <w:rFonts w:eastAsia="Times New Roman,ＭＳ ゴシック"/>
        </w:rPr>
        <w:t xml:space="preserve"> in this special issue</w:t>
      </w:r>
      <w:r w:rsidR="008A09F3">
        <w:rPr>
          <w:rFonts w:eastAsia="Times New Roman,ＭＳ ゴシック"/>
        </w:rPr>
        <w:t>, please see Duke &amp; Gebhard</w:t>
      </w:r>
      <w:r w:rsidR="00783225">
        <w:rPr>
          <w:rFonts w:eastAsia="Times New Roman,ＭＳ ゴシック"/>
        </w:rPr>
        <w:t xml:space="preserve"> 2017</w:t>
      </w:r>
      <w:r w:rsidR="008A09F3">
        <w:rPr>
          <w:rFonts w:eastAsia="Times New Roman,ＭＳ ゴシック"/>
        </w:rPr>
        <w:t>)</w:t>
      </w:r>
      <w:r w:rsidRPr="00E96F08">
        <w:rPr>
          <w:rFonts w:eastAsia="Times New Roman,ＭＳ ゴシック"/>
        </w:rPr>
        <w:t xml:space="preserve"> make a foundationalist ontology and positivist epistemology, which rely on ex ante assumptions and </w:t>
      </w:r>
      <w:r w:rsidR="008E2B49">
        <w:rPr>
          <w:rFonts w:eastAsia="Times New Roman,ＭＳ ゴシック"/>
        </w:rPr>
        <w:t>“</w:t>
      </w:r>
      <w:r w:rsidRPr="00E96F08">
        <w:rPr>
          <w:rFonts w:eastAsia="Times New Roman,ＭＳ ゴシック"/>
        </w:rPr>
        <w:t>facts</w:t>
      </w:r>
      <w:r w:rsidR="008E2B49">
        <w:rPr>
          <w:rFonts w:eastAsia="Times New Roman,ＭＳ ゴシック"/>
        </w:rPr>
        <w:t>”</w:t>
      </w:r>
      <w:r w:rsidRPr="00E96F08">
        <w:rPr>
          <w:rFonts w:eastAsia="Times New Roman,ＭＳ ゴシック"/>
        </w:rPr>
        <w:t xml:space="preserve"> (in Social Constructivism, as naturalised by social agents; Pouliot 2010, p. 58), difficult to follow and realise.</w:t>
      </w:r>
    </w:p>
    <w:p w14:paraId="16EDF1C3" w14:textId="77777777" w:rsidR="002E388C" w:rsidRPr="00E96F08" w:rsidRDefault="002E388C" w:rsidP="00CC204E">
      <w:pPr>
        <w:pStyle w:val="Newparagraph"/>
        <w:rPr>
          <w:rFonts w:eastAsia="Times New Roman,ＭＳ ゴシック"/>
        </w:rPr>
      </w:pPr>
      <w:r w:rsidRPr="00E96F08">
        <w:rPr>
          <w:rFonts w:eastAsia="Times New Roman,ＭＳ ゴシック"/>
        </w:rPr>
        <w:t xml:space="preserve">That all being said, we are not proposing a general dismissal of deductive research or of the general ambition in the field to produce cumulative knowledge that way. Our overall message is a more pragmatic one: as research on the NAC-PSC relationship is still in its infancy, and studies on the NAC in particular are few and far between, a direct, inductive and case-oriented approach can yield more comprehensive insights for this </w:t>
      </w:r>
      <w:r w:rsidRPr="00E96F08">
        <w:rPr>
          <w:rFonts w:eastAsia="Times New Roman,ＭＳ ゴシック"/>
        </w:rPr>
        <w:lastRenderedPageBreak/>
        <w:t xml:space="preserve">burgeoning research agenda than an overly studious deductive approach that invites somewhat of a feedback loop between theoretical premises and empirical evidence. </w:t>
      </w:r>
    </w:p>
    <w:p w14:paraId="23BAF5AA" w14:textId="77777777" w:rsidR="002E388C" w:rsidRPr="00E96F08" w:rsidRDefault="002E388C" w:rsidP="00CC204E">
      <w:pPr>
        <w:pStyle w:val="Newparagraph"/>
        <w:rPr>
          <w:rFonts w:eastAsia="Times New Roman,ＭＳ ゴシック"/>
        </w:rPr>
      </w:pPr>
      <w:r w:rsidRPr="00E96F08">
        <w:rPr>
          <w:rFonts w:eastAsia="Times New Roman,ＭＳ ゴシック"/>
        </w:rPr>
        <w:t>Apart from our case-specific interest, we would like to reinforce Blagden’s (2016, p. 195) proposition “that it is only once we accept that induction is an intrinsic and unavoidable component of IR theory building that we can truly seek answers to the most important questions of international politics” and that “IR scholars should strive to use the two in tandem as they set about developing new theory.”</w:t>
      </w:r>
      <w:r w:rsidRPr="00E96F08">
        <w:rPr>
          <w:rStyle w:val="EndnoteReference"/>
          <w:rFonts w:eastAsia="Times New Roman,ＭＳ ゴシック"/>
        </w:rPr>
        <w:endnoteReference w:id="11"/>
      </w:r>
    </w:p>
    <w:p w14:paraId="29DEE7DB" w14:textId="1B6FB67D" w:rsidR="002E388C" w:rsidRPr="00E96F08" w:rsidRDefault="002E388C" w:rsidP="00CC204E">
      <w:pPr>
        <w:pStyle w:val="Newparagraph"/>
        <w:rPr>
          <w:rFonts w:eastAsia="Times New Roman,ＭＳ ゴシック"/>
        </w:rPr>
      </w:pPr>
      <w:r w:rsidRPr="00E96F08">
        <w:rPr>
          <w:rFonts w:eastAsia="Times New Roman,ＭＳ ゴシック"/>
        </w:rPr>
        <w:t xml:space="preserve">We employ GT to provide a framework for our analysis, in part to counter common criticisms of inductive reasoning as lacking focus (data is relevant to start with) and being biased towards the researcher’s existing knowledge (Stadler 2004). Although a ‘theory’ in terms, GT is a methodology that specifically aims to render an inductive approach more scientific and methodical (Glaser and Strauss 1967); it has as such found wide application across the social sciences including in the study of intergovernmental organisations (see e.g. Howell 2000, Panetta 2013, Peters 2015; Richards and Farrokhnia 2016). It provides an analytical road map for generating explanatory theories that are quite literally ‘grounded’ in empirical data </w:t>
      </w:r>
      <w:r w:rsidR="00993817">
        <w:rPr>
          <w:rFonts w:eastAsia="Times New Roman,ＭＳ ゴシック"/>
        </w:rPr>
        <w:t>about</w:t>
      </w:r>
      <w:r w:rsidRPr="00E96F08">
        <w:rPr>
          <w:rFonts w:eastAsia="Times New Roman,ＭＳ ゴシック"/>
        </w:rPr>
        <w:t xml:space="preserve"> social processes</w:t>
      </w:r>
      <w:r w:rsidR="00F74DEE">
        <w:rPr>
          <w:rFonts w:eastAsia="Times New Roman,ＭＳ ゴシック"/>
        </w:rPr>
        <w:t>,</w:t>
      </w:r>
      <w:r w:rsidRPr="00E96F08">
        <w:rPr>
          <w:rFonts w:eastAsia="Times New Roman,ＭＳ ゴシック"/>
        </w:rPr>
        <w:t xml:space="preserve"> </w:t>
      </w:r>
      <w:r w:rsidR="00F74DEE">
        <w:rPr>
          <w:rFonts w:eastAsia="Times New Roman,ＭＳ ゴシック"/>
        </w:rPr>
        <w:t xml:space="preserve">gathered </w:t>
      </w:r>
      <w:r w:rsidRPr="00E96F08">
        <w:rPr>
          <w:rFonts w:eastAsia="Times New Roman,ＭＳ ゴシック"/>
        </w:rPr>
        <w:t>in most cases, through interviews, participant observation or ethnographies.</w:t>
      </w:r>
      <w:r w:rsidRPr="00E96F08">
        <w:rPr>
          <w:rStyle w:val="EndnoteReference"/>
          <w:rFonts w:eastAsia="Times New Roman,ＭＳ ゴシック"/>
        </w:rPr>
        <w:endnoteReference w:id="12"/>
      </w:r>
      <w:r w:rsidRPr="00E96F08">
        <w:rPr>
          <w:rFonts w:eastAsia="Times New Roman,ＭＳ ゴシック"/>
        </w:rPr>
        <w:t xml:space="preserve"> </w:t>
      </w:r>
    </w:p>
    <w:p w14:paraId="15D4DA50" w14:textId="64971DDA" w:rsidR="002E388C" w:rsidRPr="00E96F08" w:rsidRDefault="002E388C" w:rsidP="00CC204E">
      <w:pPr>
        <w:pStyle w:val="Newparagraph"/>
        <w:rPr>
          <w:lang w:eastAsia="en-US"/>
        </w:rPr>
      </w:pPr>
      <w:r w:rsidRPr="00E96F08">
        <w:rPr>
          <w:rFonts w:eastAsia="Times New Roman,ＭＳ ゴシック"/>
        </w:rPr>
        <w:t xml:space="preserve">The process of data collection is seen to </w:t>
      </w:r>
      <w:r w:rsidR="00F74DEE">
        <w:rPr>
          <w:rFonts w:eastAsia="Times New Roman,ＭＳ ゴシック"/>
        </w:rPr>
        <w:t>bring about repeated arguments and ideas that</w:t>
      </w:r>
      <w:r w:rsidR="00F74DEE" w:rsidRPr="00F74DEE">
        <w:rPr>
          <w:rFonts w:eastAsia="Times New Roman,ＭＳ ゴシック"/>
        </w:rPr>
        <w:t xml:space="preserve"> are tagged with codes, which </w:t>
      </w:r>
      <w:r w:rsidR="00F74DEE">
        <w:rPr>
          <w:rFonts w:eastAsia="Times New Roman,ＭＳ ゴシック"/>
        </w:rPr>
        <w:t xml:space="preserve">are grouped into </w:t>
      </w:r>
      <w:r w:rsidR="00AA40AB">
        <w:rPr>
          <w:rFonts w:eastAsia="Times New Roman,ＭＳ ゴシック"/>
        </w:rPr>
        <w:t>concepts,</w:t>
      </w:r>
      <w:r w:rsidR="00F74DEE">
        <w:rPr>
          <w:rFonts w:eastAsia="Times New Roman,ＭＳ ゴシック"/>
        </w:rPr>
        <w:t xml:space="preserve"> and then into categories</w:t>
      </w:r>
      <w:r w:rsidR="00F951C3">
        <w:rPr>
          <w:rFonts w:eastAsia="Times New Roman,ＭＳ ゴシック"/>
        </w:rPr>
        <w:t xml:space="preserve"> and sub-categories</w:t>
      </w:r>
      <w:r w:rsidR="00F74DEE">
        <w:rPr>
          <w:rFonts w:eastAsia="Times New Roman,ＭＳ ゴシック"/>
        </w:rPr>
        <w:t>, a</w:t>
      </w:r>
      <w:r w:rsidR="00F74DEE" w:rsidRPr="00F74DEE">
        <w:rPr>
          <w:rFonts w:eastAsia="Times New Roman,ＭＳ ゴシック"/>
        </w:rPr>
        <w:t xml:space="preserve">s more data </w:t>
      </w:r>
      <w:r w:rsidR="00F74DEE">
        <w:rPr>
          <w:rFonts w:eastAsia="Times New Roman,ＭＳ ゴシック"/>
        </w:rPr>
        <w:t>is collected</w:t>
      </w:r>
      <w:r w:rsidR="00F74DEE" w:rsidRPr="00F74DEE">
        <w:rPr>
          <w:rFonts w:eastAsia="Times New Roman,ＭＳ ゴシック"/>
        </w:rPr>
        <w:t xml:space="preserve"> and reviewed</w:t>
      </w:r>
      <w:r w:rsidR="00F74DEE">
        <w:rPr>
          <w:rFonts w:eastAsia="Times New Roman,ＭＳ ゴシック"/>
        </w:rPr>
        <w:t>. These categories</w:t>
      </w:r>
      <w:r w:rsidR="00F951C3">
        <w:rPr>
          <w:rFonts w:eastAsia="Times New Roman,ＭＳ ゴシック"/>
        </w:rPr>
        <w:t xml:space="preserve"> and sub-categories</w:t>
      </w:r>
      <w:r w:rsidRPr="00E96F08">
        <w:rPr>
          <w:rFonts w:eastAsia="Times New Roman,ＭＳ ゴシック"/>
        </w:rPr>
        <w:t xml:space="preserve"> then serve as point</w:t>
      </w:r>
      <w:r w:rsidR="00F951C3">
        <w:rPr>
          <w:rFonts w:eastAsia="Times New Roman,ＭＳ ゴシック"/>
        </w:rPr>
        <w:t>s</w:t>
      </w:r>
      <w:r w:rsidRPr="00E96F08">
        <w:rPr>
          <w:rFonts w:eastAsia="Times New Roman,ＭＳ ゴシック"/>
        </w:rPr>
        <w:t xml:space="preserve"> of reference for further empirical exploration, and ultimately, preliminary inference of generalised conclusions. GT prescribes a “constant comparative analysis” of the data and simultaneous and continuous collection and analysis of data. Data collection (or in GT terms, theoretical sampling) is “</w:t>
      </w:r>
      <w:r w:rsidRPr="00E96F08">
        <w:rPr>
          <w:rFonts w:eastAsia="Times New Roman,ＭＳ ゴシック"/>
          <w:i/>
        </w:rPr>
        <w:t>controlled</w:t>
      </w:r>
      <w:r w:rsidRPr="00E96F08">
        <w:rPr>
          <w:rFonts w:eastAsia="Times New Roman,ＭＳ ゴシック"/>
        </w:rPr>
        <w:t xml:space="preserve"> by the emerging theory” (Glaser and Strauss, p. 45, original emphasis),</w:t>
      </w:r>
      <w:r w:rsidRPr="00E96F08">
        <w:rPr>
          <w:lang w:eastAsia="en-US"/>
        </w:rPr>
        <w:t xml:space="preserve"> which then guides </w:t>
      </w:r>
      <w:r w:rsidRPr="00E96F08">
        <w:rPr>
          <w:lang w:eastAsia="en-US"/>
        </w:rPr>
        <w:lastRenderedPageBreak/>
        <w:t>towards further refinement through “research questions suggested by previous answers” (p. 47).</w:t>
      </w:r>
      <w:r w:rsidRPr="00E96F08">
        <w:rPr>
          <w:rStyle w:val="EndnoteReference"/>
          <w:lang w:eastAsia="en-US"/>
        </w:rPr>
        <w:endnoteReference w:id="13"/>
      </w:r>
      <w:r w:rsidRPr="00E96F08">
        <w:rPr>
          <w:lang w:eastAsia="en-US"/>
        </w:rPr>
        <w:t xml:space="preserve"> In short, the main methodological proposition is to identify different levels of regularities and patterns in the data, and generate codes, </w:t>
      </w:r>
      <w:r w:rsidR="00F74DEE">
        <w:rPr>
          <w:lang w:eastAsia="en-US"/>
        </w:rPr>
        <w:t>concepts</w:t>
      </w:r>
      <w:r w:rsidR="00F74DEE" w:rsidRPr="00E96F08">
        <w:rPr>
          <w:lang w:eastAsia="en-US"/>
        </w:rPr>
        <w:t xml:space="preserve"> </w:t>
      </w:r>
      <w:r w:rsidRPr="00E96F08">
        <w:rPr>
          <w:lang w:eastAsia="en-US"/>
        </w:rPr>
        <w:t xml:space="preserve">and </w:t>
      </w:r>
      <w:r w:rsidR="00F74DEE">
        <w:rPr>
          <w:lang w:eastAsia="en-US"/>
        </w:rPr>
        <w:t>categories</w:t>
      </w:r>
      <w:r w:rsidR="00F74DEE" w:rsidRPr="00E96F08">
        <w:rPr>
          <w:lang w:eastAsia="en-US"/>
        </w:rPr>
        <w:t xml:space="preserve"> </w:t>
      </w:r>
      <w:r w:rsidRPr="00E96F08">
        <w:rPr>
          <w:lang w:eastAsia="en-US"/>
        </w:rPr>
        <w:t>on that basis.</w:t>
      </w:r>
      <w:r w:rsidRPr="00E96F08">
        <w:rPr>
          <w:rStyle w:val="EndnoteReference"/>
          <w:lang w:eastAsia="en-US"/>
        </w:rPr>
        <w:endnoteReference w:id="14"/>
      </w:r>
      <w:r w:rsidRPr="00E96F08">
        <w:rPr>
          <w:lang w:eastAsia="en-US"/>
        </w:rPr>
        <w:t xml:space="preserve"> It encourages constant reflexivity and transparency of the theory generation process in the form of memos, which also formed part of the research documentation for this article. The output can come in the form of “well-codified set of propositions or in a running theoretical discussion, using conceptual categories and their properties” (p. 31), the latter being the ambition in this study.</w:t>
      </w:r>
    </w:p>
    <w:p w14:paraId="3AD6A15F" w14:textId="77777777" w:rsidR="002E388C" w:rsidRPr="00E96F08" w:rsidRDefault="002E388C" w:rsidP="00D37ADF">
      <w:pPr>
        <w:pStyle w:val="Newparagraph"/>
        <w:rPr>
          <w:rFonts w:eastAsia="Times New Roman,ＭＳ ゴシック"/>
        </w:rPr>
      </w:pPr>
      <w:r w:rsidRPr="00E96F08">
        <w:rPr>
          <w:rFonts w:eastAsia="Times New Roman,ＭＳ ゴシック"/>
        </w:rPr>
        <w:t>In accordance with GT, data was collected in more than one round of interviews, with each round informing the next one in terms of empirical focus and scope.</w:t>
      </w:r>
      <w:r w:rsidRPr="00E96F08">
        <w:rPr>
          <w:rStyle w:val="EndnoteReference"/>
          <w:rFonts w:eastAsia="Times New Roman,ＭＳ ゴシック"/>
        </w:rPr>
        <w:endnoteReference w:id="15"/>
      </w:r>
      <w:r w:rsidRPr="00E96F08">
        <w:rPr>
          <w:rFonts w:eastAsia="Times New Roman,ＭＳ ゴシック"/>
        </w:rPr>
        <w:t xml:space="preserve"> Our interlocutors were all ambassador-level representatives (or deputies) of each the NAC and the PSC.</w:t>
      </w:r>
      <w:r w:rsidRPr="00E96F08">
        <w:rPr>
          <w:rStyle w:val="EndnoteReference"/>
          <w:rFonts w:eastAsia="Times New Roman,ＭＳ ゴシック"/>
        </w:rPr>
        <w:endnoteReference w:id="16"/>
      </w:r>
      <w:r w:rsidRPr="00E96F08">
        <w:rPr>
          <w:rFonts w:eastAsia="Times New Roman,ＭＳ ゴシック"/>
        </w:rPr>
        <w:t xml:space="preserve"> The first round of interviews started with general open-ended questions about decision-making within each organisation and how, in the view of each interlocutor, this would compare to the other organisation. Questions relating to the inter-organisational relationship were included as appropriate in the context of each interview (or as raised by the interviewees themselves). </w:t>
      </w:r>
    </w:p>
    <w:p w14:paraId="4E4FF1E0" w14:textId="56F98F61" w:rsidR="002E388C" w:rsidRPr="00E96F08" w:rsidRDefault="002E388C" w:rsidP="00D37ADF">
      <w:pPr>
        <w:pStyle w:val="Newparagraph"/>
        <w:rPr>
          <w:rFonts w:eastAsia="Times New Roman,ＭＳ ゴシック"/>
        </w:rPr>
      </w:pPr>
      <w:r w:rsidRPr="00E96F08">
        <w:rPr>
          <w:rFonts w:eastAsia="Times New Roman,ＭＳ ゴシック"/>
        </w:rPr>
        <w:t>This is to note that all points of comparison and coding in this study were inspired by the practitioners themselves; rather than merely serving as objects of study, they were active contributors to the research process. Their positions, perceptions and preferences influenced the course of our data collection without any ex ante analytical shaping or hypothesising from our part. Through careful coding of the transcripts and direct guidance from the interlocutors, the data laid bare three key themes that interlocutors repeatedly homed in on, both in reflection of their own organisation and in their counterpart. These constitute the key ‘conceptual categories’ developed at this analytical instance: (1) “</w:t>
      </w:r>
      <w:r w:rsidRPr="006E1875">
        <w:rPr>
          <w:rFonts w:eastAsia="Times New Roman,ＭＳ ゴシック"/>
          <w:i/>
        </w:rPr>
        <w:t>established procedures</w:t>
      </w:r>
      <w:r w:rsidRPr="00E96F08">
        <w:rPr>
          <w:rFonts w:eastAsia="Times New Roman,ＭＳ ゴシック"/>
        </w:rPr>
        <w:t>”, (2) “</w:t>
      </w:r>
      <w:r w:rsidRPr="006E1875">
        <w:rPr>
          <w:rFonts w:eastAsia="Times New Roman,ＭＳ ゴシック"/>
          <w:i/>
        </w:rPr>
        <w:t>driving consensus</w:t>
      </w:r>
      <w:r w:rsidRPr="00E96F08">
        <w:rPr>
          <w:rFonts w:eastAsia="Times New Roman,ＭＳ ゴシック"/>
        </w:rPr>
        <w:t>” and (3) “</w:t>
      </w:r>
      <w:r w:rsidRPr="006E1875">
        <w:rPr>
          <w:rFonts w:eastAsia="Times New Roman,ＭＳ ゴシック"/>
          <w:i/>
        </w:rPr>
        <w:t>the rhythm of work</w:t>
      </w:r>
      <w:r w:rsidRPr="00E96F08">
        <w:rPr>
          <w:rFonts w:eastAsia="Times New Roman,ＭＳ ゴシック"/>
        </w:rPr>
        <w:t>”.</w:t>
      </w:r>
      <w:r w:rsidRPr="00E96F08">
        <w:rPr>
          <w:rStyle w:val="EndnoteReference"/>
          <w:rFonts w:eastAsia="Times New Roman,ＭＳ ゴシック"/>
        </w:rPr>
        <w:endnoteReference w:id="17"/>
      </w:r>
      <w:r w:rsidRPr="00E96F08">
        <w:rPr>
          <w:rFonts w:eastAsia="Times New Roman,ＭＳ ゴシック"/>
        </w:rPr>
        <w:t xml:space="preserve"> The </w:t>
      </w:r>
      <w:r w:rsidRPr="00E96F08">
        <w:rPr>
          <w:rFonts w:eastAsia="Times New Roman,ＭＳ ゴシック"/>
        </w:rPr>
        <w:lastRenderedPageBreak/>
        <w:t>following analytical sections present our data in a running theoretical discussion according to these categories. We present these as preliminary findings that invite further refinement. More empirical exploration will be necessary to reach – in GT terms – theoretical ‘saturation’ (Bowen 2008).</w:t>
      </w:r>
    </w:p>
    <w:p w14:paraId="5C78BDEC" w14:textId="25EED675" w:rsidR="002E388C" w:rsidRPr="00E96F08" w:rsidRDefault="002E388C" w:rsidP="00CC204E">
      <w:pPr>
        <w:pStyle w:val="Heading1"/>
        <w:keepLines w:val="0"/>
        <w:spacing w:before="360" w:after="60" w:line="360" w:lineRule="auto"/>
        <w:ind w:right="567"/>
        <w:contextualSpacing/>
        <w:rPr>
          <w:rFonts w:ascii="Times New Roman" w:eastAsia="Times New Roman" w:hAnsi="Times New Roman" w:cs="Times New Roman"/>
          <w:color w:val="auto"/>
          <w:kern w:val="32"/>
          <w:sz w:val="24"/>
          <w:lang w:eastAsia="en-GB"/>
        </w:rPr>
      </w:pPr>
      <w:r w:rsidRPr="00E96F08">
        <w:rPr>
          <w:rFonts w:ascii="Times New Roman" w:eastAsia="Times New Roman" w:hAnsi="Times New Roman" w:cs="Times New Roman"/>
          <w:color w:val="auto"/>
          <w:kern w:val="32"/>
          <w:sz w:val="24"/>
          <w:lang w:eastAsia="en-GB"/>
        </w:rPr>
        <w:t>Synopsis of empirical findings</w:t>
      </w:r>
    </w:p>
    <w:p w14:paraId="79D93150" w14:textId="2FC7B5A2" w:rsidR="002E388C" w:rsidRPr="006055AF" w:rsidRDefault="002E388C" w:rsidP="00C746F4">
      <w:pPr>
        <w:spacing w:line="480" w:lineRule="auto"/>
        <w:outlineLvl w:val="0"/>
        <w:rPr>
          <w:rFonts w:ascii="Times New Roman" w:eastAsia="Times New Roman,ＭＳ ゴシック" w:hAnsi="Times New Roman" w:cs="Times New Roman"/>
          <w:b/>
          <w:sz w:val="24"/>
          <w:szCs w:val="24"/>
        </w:rPr>
      </w:pPr>
      <w:r w:rsidRPr="006055AF">
        <w:rPr>
          <w:rFonts w:ascii="Times New Roman" w:eastAsia="Times New Roman,ＭＳ ゴシック" w:hAnsi="Times New Roman" w:cs="Times New Roman"/>
          <w:b/>
          <w:sz w:val="24"/>
          <w:szCs w:val="24"/>
        </w:rPr>
        <w:t>“</w:t>
      </w:r>
      <w:r w:rsidRPr="006055AF">
        <w:rPr>
          <w:rFonts w:ascii="Times New Roman" w:eastAsia="Times New Roman,ＭＳ ゴシック" w:hAnsi="Times New Roman" w:cs="Times New Roman"/>
          <w:b/>
          <w:i/>
          <w:sz w:val="24"/>
          <w:szCs w:val="24"/>
        </w:rPr>
        <w:t>Established procedures</w:t>
      </w:r>
      <w:r w:rsidR="006055AF" w:rsidRPr="006055AF">
        <w:rPr>
          <w:rFonts w:ascii="Times New Roman" w:eastAsia="Times New Roman,ＭＳ ゴシック" w:hAnsi="Times New Roman" w:cs="Times New Roman"/>
          <w:b/>
          <w:i/>
          <w:sz w:val="24"/>
          <w:szCs w:val="24"/>
        </w:rPr>
        <w:t>”</w:t>
      </w:r>
      <w:r w:rsidRPr="006055AF">
        <w:rPr>
          <w:rStyle w:val="EndnoteReference"/>
          <w:rFonts w:ascii="Times New Roman" w:eastAsia="Times New Roman,ＭＳ ゴシック" w:hAnsi="Times New Roman" w:cs="Times New Roman"/>
          <w:b/>
          <w:sz w:val="24"/>
          <w:szCs w:val="24"/>
        </w:rPr>
        <w:endnoteReference w:id="18"/>
      </w:r>
    </w:p>
    <w:p w14:paraId="7F1F805F" w14:textId="38388B61" w:rsidR="002E388C" w:rsidRPr="00E96F08" w:rsidRDefault="002E388C" w:rsidP="00C746F4">
      <w:pPr>
        <w:spacing w:line="480" w:lineRule="auto"/>
        <w:rPr>
          <w:rFonts w:ascii="Times New Roman" w:eastAsiaTheme="majorEastAsia" w:hAnsi="Times New Roman" w:cs="Times New Roman"/>
          <w:sz w:val="24"/>
          <w:szCs w:val="24"/>
        </w:rPr>
      </w:pPr>
      <w:r w:rsidRPr="00E96F08">
        <w:rPr>
          <w:rFonts w:ascii="Times New Roman" w:eastAsiaTheme="majorEastAsia" w:hAnsi="Times New Roman" w:cs="Times New Roman"/>
          <w:sz w:val="24"/>
          <w:szCs w:val="24"/>
        </w:rPr>
        <w:t xml:space="preserve">One cluster of themes raised by our interlocutors included iterations about the </w:t>
      </w:r>
      <w:r w:rsidRPr="00E96F08">
        <w:rPr>
          <w:rFonts w:ascii="Times New Roman" w:eastAsiaTheme="majorEastAsia" w:hAnsi="Times New Roman" w:cs="Times New Roman"/>
          <w:i/>
          <w:sz w:val="24"/>
          <w:szCs w:val="24"/>
        </w:rPr>
        <w:t>frequency of meetings</w:t>
      </w:r>
      <w:r w:rsidRPr="00E96F08">
        <w:rPr>
          <w:rFonts w:ascii="Times New Roman" w:eastAsiaTheme="majorEastAsia" w:hAnsi="Times New Roman" w:cs="Times New Roman"/>
          <w:sz w:val="24"/>
          <w:szCs w:val="24"/>
        </w:rPr>
        <w:t xml:space="preserve">, </w:t>
      </w:r>
      <w:r w:rsidRPr="00E96F08">
        <w:rPr>
          <w:rFonts w:ascii="Times New Roman" w:eastAsiaTheme="majorEastAsia" w:hAnsi="Times New Roman" w:cs="Times New Roman"/>
          <w:i/>
          <w:sz w:val="24"/>
          <w:szCs w:val="24"/>
        </w:rPr>
        <w:t>the preparation of the agenda</w:t>
      </w:r>
      <w:r w:rsidRPr="00E96F08">
        <w:rPr>
          <w:rFonts w:ascii="Times New Roman" w:eastAsiaTheme="majorEastAsia" w:hAnsi="Times New Roman" w:cs="Times New Roman"/>
          <w:sz w:val="24"/>
          <w:szCs w:val="24"/>
        </w:rPr>
        <w:t xml:space="preserve"> and the </w:t>
      </w:r>
      <w:r w:rsidRPr="00E96F08">
        <w:rPr>
          <w:rFonts w:ascii="Times New Roman" w:eastAsiaTheme="majorEastAsia" w:hAnsi="Times New Roman" w:cs="Times New Roman"/>
          <w:i/>
          <w:sz w:val="24"/>
          <w:szCs w:val="24"/>
        </w:rPr>
        <w:t>consensus rule</w:t>
      </w:r>
      <w:r w:rsidRPr="00E96F08">
        <w:rPr>
          <w:rFonts w:ascii="Times New Roman" w:eastAsiaTheme="majorEastAsia" w:hAnsi="Times New Roman" w:cs="Times New Roman"/>
          <w:sz w:val="24"/>
          <w:szCs w:val="24"/>
        </w:rPr>
        <w:t>. We categorised this cluster as ‘established procedures’ and took the emerging sub-categories as a point of reference for a comparison between the NAC and the PSC, before turning to a detailed account of the joint NAC-PSC meetings along similar lines.</w:t>
      </w:r>
    </w:p>
    <w:p w14:paraId="419DA8D2" w14:textId="7F756F0D" w:rsidR="002E388C" w:rsidRPr="00E96F08" w:rsidRDefault="002E388C" w:rsidP="00C746F4">
      <w:pPr>
        <w:pStyle w:val="Heading3"/>
        <w:rPr>
          <w:rFonts w:cs="Times New Roman"/>
        </w:rPr>
      </w:pPr>
      <w:r w:rsidRPr="00E96F08">
        <w:rPr>
          <w:rFonts w:cs="Times New Roman"/>
        </w:rPr>
        <w:t>The PSC and the NAC in comparison</w:t>
      </w:r>
    </w:p>
    <w:p w14:paraId="07C9BC52" w14:textId="14890A65" w:rsidR="002E388C" w:rsidRPr="00E96F08" w:rsidRDefault="002E388C" w:rsidP="00C746F4">
      <w:pPr>
        <w:spacing w:line="480" w:lineRule="auto"/>
        <w:rPr>
          <w:rFonts w:ascii="Times New Roman" w:eastAsia="Times New Roman,ＭＳ ゴシック" w:hAnsi="Times New Roman" w:cs="Times New Roman"/>
          <w:sz w:val="24"/>
          <w:szCs w:val="24"/>
        </w:rPr>
      </w:pPr>
      <w:r w:rsidRPr="00E96F08">
        <w:rPr>
          <w:rFonts w:ascii="Times New Roman" w:hAnsi="Times New Roman" w:cs="Times New Roman"/>
          <w:sz w:val="24"/>
          <w:szCs w:val="24"/>
        </w:rPr>
        <w:t xml:space="preserve">One sub-category that emerged from the data was the </w:t>
      </w:r>
      <w:r w:rsidRPr="00E96F08">
        <w:rPr>
          <w:rFonts w:ascii="Times New Roman" w:hAnsi="Times New Roman" w:cs="Times New Roman"/>
          <w:i/>
          <w:sz w:val="24"/>
          <w:szCs w:val="24"/>
        </w:rPr>
        <w:t>frequency of meetings</w:t>
      </w:r>
      <w:r w:rsidR="00F951C3">
        <w:rPr>
          <w:rFonts w:ascii="Times New Roman" w:hAnsi="Times New Roman" w:cs="Times New Roman"/>
          <w:sz w:val="24"/>
          <w:szCs w:val="24"/>
        </w:rPr>
        <w:t xml:space="preserve"> and the way it indicates comparative levels of activity</w:t>
      </w:r>
      <w:r w:rsidRPr="00E96F08">
        <w:rPr>
          <w:rFonts w:ascii="Times New Roman" w:hAnsi="Times New Roman" w:cs="Times New Roman"/>
          <w:sz w:val="24"/>
          <w:szCs w:val="24"/>
        </w:rPr>
        <w:t xml:space="preserve">. The NAC meets most often at the ambassador level, usually at least once a week. However, as the ambassadors and their delegations are situated within the NATO HQ in Brussels, the body can meet more often and at short notice, for informal meetings (Interview 3, 2012). The NAC also convenes at the ministerial level on average four times a year, and at the level of heads of state when urgency requires; however, more often than not, this only happens when a major summit takes place. </w:t>
      </w:r>
      <w:r w:rsidRPr="00E96F08">
        <w:rPr>
          <w:rFonts w:ascii="Times New Roman" w:eastAsia="Times New Roman,ＭＳ ゴシック" w:hAnsi="Times New Roman" w:cs="Times New Roman"/>
          <w:sz w:val="24"/>
          <w:szCs w:val="24"/>
        </w:rPr>
        <w:t xml:space="preserve">Formal Council days are Wednesdays, with Thursdays normally reserved for meetings with NATO Partners. </w:t>
      </w:r>
    </w:p>
    <w:p w14:paraId="0060ED77" w14:textId="1262DF51" w:rsidR="002E388C" w:rsidRPr="00E96F08" w:rsidRDefault="002E388C" w:rsidP="00C746F4">
      <w:pPr>
        <w:spacing w:line="480" w:lineRule="auto"/>
        <w:ind w:firstLine="360"/>
        <w:rPr>
          <w:rFonts w:ascii="Times New Roman" w:hAnsi="Times New Roman" w:cs="Times New Roman"/>
          <w:sz w:val="24"/>
          <w:szCs w:val="24"/>
        </w:rPr>
      </w:pPr>
      <w:r w:rsidRPr="00E96F08">
        <w:rPr>
          <w:rFonts w:ascii="Times New Roman" w:hAnsi="Times New Roman" w:cs="Times New Roman"/>
          <w:sz w:val="24"/>
          <w:szCs w:val="24"/>
        </w:rPr>
        <w:t>The PSC is a body that meets regularly if not “all the time” (Interview 2, 2012). The PSC meets increasingly more often than the NAC having at least two formal meetings per week,</w:t>
      </w:r>
      <w:r w:rsidRPr="00E96F08">
        <w:rPr>
          <w:rStyle w:val="EndnoteReference"/>
          <w:rFonts w:ascii="Times New Roman" w:hAnsi="Times New Roman" w:cs="Times New Roman"/>
          <w:sz w:val="24"/>
          <w:szCs w:val="24"/>
        </w:rPr>
        <w:endnoteReference w:id="19"/>
      </w:r>
      <w:r w:rsidRPr="00E96F08">
        <w:rPr>
          <w:rFonts w:ascii="Times New Roman" w:hAnsi="Times New Roman" w:cs="Times New Roman"/>
          <w:sz w:val="24"/>
          <w:szCs w:val="24"/>
        </w:rPr>
        <w:t xml:space="preserve"> usually on Tuesdays and Thursdays. In the week before a Foreign Affairs Council, </w:t>
      </w:r>
      <w:r w:rsidRPr="00E96F08">
        <w:rPr>
          <w:rFonts w:ascii="Times New Roman" w:hAnsi="Times New Roman" w:cs="Times New Roman"/>
          <w:sz w:val="24"/>
          <w:szCs w:val="24"/>
        </w:rPr>
        <w:lastRenderedPageBreak/>
        <w:t>they may also meet formally on a Friday and even, occasionally,</w:t>
      </w:r>
      <w:r w:rsidRPr="00E96F08" w:rsidDel="003A487D">
        <w:rPr>
          <w:rFonts w:ascii="Times New Roman" w:hAnsi="Times New Roman" w:cs="Times New Roman"/>
          <w:sz w:val="24"/>
          <w:szCs w:val="24"/>
        </w:rPr>
        <w:t xml:space="preserve"> </w:t>
      </w:r>
      <w:r w:rsidRPr="00E96F08">
        <w:rPr>
          <w:rFonts w:ascii="Times New Roman" w:hAnsi="Times New Roman" w:cs="Times New Roman"/>
          <w:sz w:val="24"/>
          <w:szCs w:val="24"/>
        </w:rPr>
        <w:t>on a Sunday. These meetings tend to last all day “until 6pm”, usually including a working lunch when invited guests visit the PSC (ibid, 2012). Compared to the frequency of the ministerial meetings at both the EU and NATO that are months apart, weekly meetings at ambassadorial level somewhat blur the lines between formality and informality</w:t>
      </w:r>
      <w:r w:rsidR="00BD1CCD">
        <w:rPr>
          <w:rFonts w:ascii="Times New Roman" w:hAnsi="Times New Roman" w:cs="Times New Roman"/>
          <w:sz w:val="24"/>
          <w:szCs w:val="24"/>
        </w:rPr>
        <w:t>, which, in addition to tighter deadlines and intensified interaction, shapes the preparation of the agenda.</w:t>
      </w:r>
    </w:p>
    <w:p w14:paraId="01BAEA57" w14:textId="3F24C455" w:rsidR="002E388C" w:rsidRPr="00E96F08" w:rsidRDefault="002E388C" w:rsidP="00C746F4">
      <w:pPr>
        <w:spacing w:line="480" w:lineRule="auto"/>
        <w:ind w:firstLine="360"/>
        <w:rPr>
          <w:rFonts w:ascii="Times New Roman" w:eastAsia="Times New Roman,ＭＳ ゴシック" w:hAnsi="Times New Roman" w:cs="Times New Roman"/>
          <w:sz w:val="24"/>
          <w:szCs w:val="24"/>
        </w:rPr>
      </w:pPr>
      <w:r w:rsidRPr="00E96F08">
        <w:rPr>
          <w:rFonts w:ascii="Times New Roman" w:eastAsia="Times New Roman,ＭＳ ゴシック" w:hAnsi="Times New Roman" w:cs="Times New Roman"/>
          <w:sz w:val="24"/>
          <w:szCs w:val="24"/>
        </w:rPr>
        <w:t xml:space="preserve">Before any formal meeting at both organisations, the </w:t>
      </w:r>
      <w:r w:rsidRPr="00E96F08">
        <w:rPr>
          <w:rFonts w:ascii="Times New Roman" w:eastAsia="Times New Roman,ＭＳ ゴシック" w:hAnsi="Times New Roman" w:cs="Times New Roman"/>
          <w:i/>
          <w:sz w:val="24"/>
          <w:szCs w:val="24"/>
        </w:rPr>
        <w:t xml:space="preserve">agenda </w:t>
      </w:r>
      <w:r w:rsidRPr="00E96F08">
        <w:rPr>
          <w:rFonts w:ascii="Times New Roman" w:eastAsia="Times New Roman,ＭＳ ゴシック" w:hAnsi="Times New Roman" w:cs="Times New Roman"/>
          <w:sz w:val="24"/>
          <w:szCs w:val="24"/>
        </w:rPr>
        <w:t>is prepared in both formal and informal consultations.</w:t>
      </w:r>
      <w:r w:rsidRPr="00E96F08">
        <w:rPr>
          <w:rStyle w:val="EndnoteReference"/>
          <w:rFonts w:ascii="Times New Roman" w:eastAsia="Times New Roman,ＭＳ ゴシック" w:hAnsi="Times New Roman" w:cs="Times New Roman"/>
          <w:sz w:val="24"/>
          <w:szCs w:val="24"/>
        </w:rPr>
        <w:endnoteReference w:id="20"/>
      </w:r>
      <w:r w:rsidRPr="00E96F08">
        <w:rPr>
          <w:rFonts w:ascii="Times New Roman" w:eastAsia="Times New Roman,ＭＳ ゴシック" w:hAnsi="Times New Roman" w:cs="Times New Roman"/>
          <w:sz w:val="24"/>
          <w:szCs w:val="24"/>
        </w:rPr>
        <w:t xml:space="preserve"> In NATO, t</w:t>
      </w:r>
      <w:r w:rsidRPr="00E96F08" w:rsidDel="00AB0885">
        <w:rPr>
          <w:rFonts w:ascii="Times New Roman" w:eastAsia="Times New Roman,ＭＳ ゴシック" w:hAnsi="Times New Roman" w:cs="Times New Roman"/>
          <w:sz w:val="24"/>
          <w:szCs w:val="24"/>
        </w:rPr>
        <w:t>he Council Secretariat is the principal organiser of the</w:t>
      </w:r>
      <w:r w:rsidRPr="00E96F08">
        <w:rPr>
          <w:rFonts w:ascii="Times New Roman" w:eastAsia="Times New Roman,ＭＳ ゴシック" w:hAnsi="Times New Roman" w:cs="Times New Roman"/>
          <w:sz w:val="24"/>
          <w:szCs w:val="24"/>
        </w:rPr>
        <w:t xml:space="preserve"> NAC meetings. The agenda is a “working plan”</w:t>
      </w:r>
      <w:r w:rsidRPr="00E96F08" w:rsidDel="00AB0885">
        <w:rPr>
          <w:rFonts w:ascii="Times New Roman" w:eastAsia="Times New Roman,ＭＳ ゴシック" w:hAnsi="Times New Roman" w:cs="Times New Roman"/>
          <w:sz w:val="24"/>
          <w:szCs w:val="24"/>
        </w:rPr>
        <w:t xml:space="preserve"> that is updated weekly and driven substantially by the</w:t>
      </w:r>
      <w:r w:rsidRPr="00E96F08">
        <w:rPr>
          <w:rFonts w:ascii="Times New Roman" w:eastAsia="Times New Roman,ＭＳ ゴシック" w:hAnsi="Times New Roman" w:cs="Times New Roman"/>
          <w:sz w:val="24"/>
          <w:szCs w:val="24"/>
        </w:rPr>
        <w:t xml:space="preserve"> (at least)</w:t>
      </w:r>
      <w:r w:rsidRPr="00E96F08" w:rsidDel="00AB0885">
        <w:rPr>
          <w:rFonts w:ascii="Times New Roman" w:eastAsia="Times New Roman,ＭＳ ゴシック" w:hAnsi="Times New Roman" w:cs="Times New Roman"/>
          <w:sz w:val="24"/>
          <w:szCs w:val="24"/>
        </w:rPr>
        <w:t xml:space="preserve"> four ministerial </w:t>
      </w:r>
      <w:r w:rsidRPr="00E96F08">
        <w:rPr>
          <w:rFonts w:ascii="Times New Roman" w:eastAsia="Times New Roman,ＭＳ ゴシック" w:hAnsi="Times New Roman" w:cs="Times New Roman"/>
          <w:sz w:val="24"/>
          <w:szCs w:val="24"/>
        </w:rPr>
        <w:t xml:space="preserve">(Foreign and Defence Ministers) </w:t>
      </w:r>
      <w:r w:rsidRPr="00E96F08" w:rsidDel="00AB0885">
        <w:rPr>
          <w:rFonts w:ascii="Times New Roman" w:eastAsia="Times New Roman,ＭＳ ゴシック" w:hAnsi="Times New Roman" w:cs="Times New Roman"/>
          <w:sz w:val="24"/>
          <w:szCs w:val="24"/>
        </w:rPr>
        <w:t>meetings</w:t>
      </w:r>
      <w:r w:rsidRPr="00E96F08">
        <w:rPr>
          <w:rFonts w:ascii="Times New Roman" w:eastAsia="Times New Roman,ＭＳ ゴシック" w:hAnsi="Times New Roman" w:cs="Times New Roman"/>
          <w:sz w:val="24"/>
          <w:szCs w:val="24"/>
        </w:rPr>
        <w:t xml:space="preserve"> per year (Interview 13, 2016).</w:t>
      </w:r>
      <w:r w:rsidRPr="00E96F08" w:rsidDel="00AB0885">
        <w:rPr>
          <w:rFonts w:ascii="Times New Roman" w:eastAsia="Times New Roman,ＭＳ ゴシック" w:hAnsi="Times New Roman" w:cs="Times New Roman"/>
          <w:sz w:val="24"/>
          <w:szCs w:val="24"/>
        </w:rPr>
        <w:t xml:space="preserve"> The NAC meetings are permanently chaired by the Secretary General or the Deputy Sec/Gen. The formal NAC agenda therefore tends to be much more driven </w:t>
      </w:r>
      <w:r w:rsidRPr="00E96F08">
        <w:rPr>
          <w:rFonts w:ascii="Times New Roman" w:eastAsia="Times New Roman,ＭＳ ゴシック" w:hAnsi="Times New Roman" w:cs="Times New Roman"/>
          <w:sz w:val="24"/>
          <w:szCs w:val="24"/>
        </w:rPr>
        <w:t xml:space="preserve">by the </w:t>
      </w:r>
      <w:r w:rsidRPr="00E96F08" w:rsidDel="00AB0885">
        <w:rPr>
          <w:rFonts w:ascii="Times New Roman" w:eastAsia="Times New Roman,ＭＳ ゴシック" w:hAnsi="Times New Roman" w:cs="Times New Roman"/>
          <w:sz w:val="24"/>
          <w:szCs w:val="24"/>
        </w:rPr>
        <w:t xml:space="preserve">Sec/Gen (and various allies lobbying behind the scenes) than the agendas for informal meetings, which are more directly driven by the ambassadors. </w:t>
      </w:r>
    </w:p>
    <w:p w14:paraId="357357D8" w14:textId="7ABCCF1D" w:rsidR="002E388C" w:rsidRPr="00E96F08" w:rsidDel="00AB0885" w:rsidRDefault="002E388C" w:rsidP="00C746F4">
      <w:pPr>
        <w:spacing w:line="480" w:lineRule="auto"/>
        <w:ind w:firstLine="360"/>
        <w:rPr>
          <w:rFonts w:ascii="Times New Roman" w:eastAsia="Times New Roman,ＭＳ ゴシック" w:hAnsi="Times New Roman" w:cs="Times New Roman"/>
          <w:sz w:val="24"/>
          <w:szCs w:val="24"/>
        </w:rPr>
      </w:pPr>
      <w:r w:rsidRPr="00E96F08" w:rsidDel="00AB0885">
        <w:rPr>
          <w:rFonts w:ascii="Times New Roman" w:hAnsi="Times New Roman" w:cs="Times New Roman"/>
          <w:sz w:val="24"/>
          <w:szCs w:val="24"/>
        </w:rPr>
        <w:t xml:space="preserve">The NAC and the issues on the agenda are supported and prepared by the various committees that the Council has created over the years. </w:t>
      </w:r>
      <w:r w:rsidRPr="00E96F08" w:rsidDel="00AB0885">
        <w:rPr>
          <w:rFonts w:ascii="Times New Roman" w:eastAsia="Times New Roman,ＭＳ ゴシック" w:hAnsi="Times New Roman" w:cs="Times New Roman"/>
          <w:sz w:val="24"/>
          <w:szCs w:val="24"/>
        </w:rPr>
        <w:t xml:space="preserve">Before anything goes to ambassadors, issues are discussed at committee level. If agreement cannot be reached </w:t>
      </w:r>
      <w:r w:rsidRPr="00E96F08">
        <w:rPr>
          <w:rFonts w:ascii="Times New Roman" w:eastAsia="Times New Roman,ＭＳ ゴシック" w:hAnsi="Times New Roman" w:cs="Times New Roman"/>
          <w:sz w:val="24"/>
          <w:szCs w:val="24"/>
        </w:rPr>
        <w:t>or a higher degree of political consensus is required, it is</w:t>
      </w:r>
      <w:r w:rsidRPr="00E96F08" w:rsidDel="00AB0885">
        <w:rPr>
          <w:rFonts w:ascii="Times New Roman" w:eastAsia="Times New Roman,ＭＳ ゴシック" w:hAnsi="Times New Roman" w:cs="Times New Roman"/>
          <w:sz w:val="24"/>
          <w:szCs w:val="24"/>
        </w:rPr>
        <w:t xml:space="preserve"> then passed on to the NAC ambassadors</w:t>
      </w:r>
      <w:r w:rsidRPr="00E96F08">
        <w:rPr>
          <w:rFonts w:ascii="Times New Roman" w:eastAsia="Times New Roman,ＭＳ ゴシック" w:hAnsi="Times New Roman" w:cs="Times New Roman"/>
          <w:sz w:val="24"/>
          <w:szCs w:val="24"/>
        </w:rPr>
        <w:t xml:space="preserve"> (Interview 13, 2016)</w:t>
      </w:r>
      <w:r w:rsidRPr="00E96F08" w:rsidDel="00AB0885">
        <w:rPr>
          <w:rFonts w:ascii="Times New Roman" w:eastAsia="Times New Roman,ＭＳ ゴシック" w:hAnsi="Times New Roman" w:cs="Times New Roman"/>
          <w:sz w:val="24"/>
          <w:szCs w:val="24"/>
        </w:rPr>
        <w:t xml:space="preserve">. </w:t>
      </w:r>
    </w:p>
    <w:p w14:paraId="24FDBAE3" w14:textId="083D1289" w:rsidR="002E388C" w:rsidRPr="00E96F08" w:rsidRDefault="002E388C" w:rsidP="00C746F4">
      <w:pPr>
        <w:spacing w:line="480" w:lineRule="auto"/>
        <w:ind w:firstLine="360"/>
        <w:rPr>
          <w:rFonts w:ascii="Times New Roman" w:eastAsia="Times New Roman,ＭＳ ゴシック" w:hAnsi="Times New Roman" w:cs="Times New Roman"/>
          <w:sz w:val="24"/>
          <w:szCs w:val="24"/>
        </w:rPr>
      </w:pPr>
      <w:r w:rsidRPr="00E96F08">
        <w:rPr>
          <w:rFonts w:ascii="Times New Roman" w:eastAsia="Times New Roman,ＭＳ ゴシック" w:hAnsi="Times New Roman" w:cs="Times New Roman"/>
          <w:sz w:val="24"/>
          <w:szCs w:val="24"/>
        </w:rPr>
        <w:t xml:space="preserve">In the PSC, an indicative agenda is created and circulated by a dedicated PSC team within the EEAS, at the end of each month for the subsequent month. This calendar agenda is subject to change and is usually in a bullet point format. A more formal agenda is sent out on a Friday for the following Tuesday. This gives PSC ambassadors the time they need to assess whether a given agenda will be “challenging” or whether they will need to make an ‘intervention’ on a certain issue (Interview 17, 2016). This would then also be discussed </w:t>
      </w:r>
      <w:r w:rsidRPr="00E96F08">
        <w:rPr>
          <w:rFonts w:ascii="Times New Roman" w:eastAsia="Times New Roman,ＭＳ ゴシック" w:hAnsi="Times New Roman" w:cs="Times New Roman"/>
          <w:sz w:val="24"/>
          <w:szCs w:val="24"/>
        </w:rPr>
        <w:lastRenderedPageBreak/>
        <w:t xml:space="preserve">with the relevant teams in the capitals. The time between the Tuesday and Thursday PSC meetings is tighter, but ambassadors usually have an understanding of the Thursday agenda by the previous Monday. The Nicolaidis Group convene on the days previous to PSC meetings in order to further prepare the agenda for the PSC meetings. The capitals will also use this draft agenda to inform the speaking points for the ambassadors at these meetings. </w:t>
      </w:r>
    </w:p>
    <w:p w14:paraId="5BF640C6" w14:textId="00721454" w:rsidR="002E388C" w:rsidRPr="00E96F08" w:rsidRDefault="002E388C" w:rsidP="00C746F4">
      <w:pPr>
        <w:spacing w:line="480" w:lineRule="auto"/>
        <w:ind w:firstLine="360"/>
        <w:rPr>
          <w:rFonts w:ascii="Times New Roman" w:eastAsia="Times New Roman,ＭＳ ゴシック" w:hAnsi="Times New Roman" w:cs="Times New Roman"/>
          <w:sz w:val="24"/>
          <w:szCs w:val="24"/>
        </w:rPr>
      </w:pPr>
      <w:r w:rsidRPr="00E96F08">
        <w:rPr>
          <w:rFonts w:ascii="Times New Roman" w:eastAsia="Times New Roman,ＭＳ ゴシック" w:hAnsi="Times New Roman" w:cs="Times New Roman"/>
          <w:sz w:val="24"/>
          <w:szCs w:val="24"/>
        </w:rPr>
        <w:t xml:space="preserve">Besides the draft agenda, the EEAS also sends both the Member States and the Nicolaidis Group draft “internal” PSC conclusions (Interview 17, 2016), which contain a note on each of the formal agenda items with an indication of the EEAS’s desired outcome after discussions. According to one PSC interlocutor, the intended benefit of this process is that there will be no “surprises” and that PSC meetings run more smoothly (Interview 12, 2016). </w:t>
      </w:r>
    </w:p>
    <w:p w14:paraId="7ADD949B" w14:textId="77777777" w:rsidR="002E388C" w:rsidRPr="00E96F08" w:rsidRDefault="002E388C" w:rsidP="00E17399">
      <w:pPr>
        <w:pStyle w:val="Newparagraph"/>
      </w:pPr>
      <w:r w:rsidRPr="00E96F08">
        <w:t xml:space="preserve">The sub-categories above are preconditions for the written and unwritten rule of decision-making at the PSC and the NAC – the consensus rule. Formal decision-making follows the logic of consensus, meaning that no actual votes are taken, but decisions are instead deemed approved if there are no further interventions by any of the ambassadors. This is an “established procedure” and a firm part of the decision-making process; while any tangible or proposed changes to these formal rules of decision-making were of key interest to the researchers, discussions with NAC ambassadors suggested that any “creative thinking” on the formal decision-making procedures was somewhat “cyclical”, with ideas re-emerging very occasionally, usually, when Allies feel the acute need for more flexibility, e.g. in the case of a particular issue being blocked (Interview 7, 13: 2016). </w:t>
      </w:r>
    </w:p>
    <w:p w14:paraId="5899BDC2" w14:textId="6943A4A9" w:rsidR="002E388C" w:rsidRPr="00E96F08" w:rsidRDefault="002E388C" w:rsidP="00B57B72">
      <w:pPr>
        <w:pStyle w:val="Newparagraph"/>
      </w:pPr>
      <w:r w:rsidRPr="00E96F08">
        <w:t xml:space="preserve">However, a central argument in the interviews was that this would probably never happen with some even suggesting that any changes to the consensus rule would mean “the end of the Alliance” (Interview 13, 2016). Even proposals to eliminate consensus at some of the lower level committee stages are deemed unworkable. Eventually, the Ally in </w:t>
      </w:r>
      <w:r w:rsidRPr="00E96F08">
        <w:lastRenderedPageBreak/>
        <w:t>question normally reconsiders and reverts to the established procedures, out of an understanding that this formal process benefits the Alliance more generally (ibid).</w:t>
      </w:r>
    </w:p>
    <w:p w14:paraId="1803B2F3" w14:textId="2A339117" w:rsidR="002E388C" w:rsidRPr="00E96F08" w:rsidRDefault="002E388C" w:rsidP="00B57B72">
      <w:pPr>
        <w:pStyle w:val="Newparagraph"/>
      </w:pPr>
      <w:r w:rsidRPr="00E96F08">
        <w:rPr>
          <w:rFonts w:eastAsia="Times New Roman,ＭＳ ゴシック"/>
        </w:rPr>
        <w:t>S</w:t>
      </w:r>
      <w:r w:rsidRPr="00E96F08">
        <w:t xml:space="preserve">ince the adoption of the Lisbon treaty, a possibility exists in the PSC for qualified-majority voting (QMV) on procedural issues. However, as no case of QMV voting could be confirmed; unanimity and consensus remain the preferred rule of decision-making. The reserve of trust is still an “absolute precondition for getting anywhere in the PSC” (Interview 8, 2016). Even with permanent structured cooperation (PESCO, Article 46 TEU), a shift to QMV seems unlikely, certainly in the short term. The common position of those ambassadors questioned was that there is still “a real reluctance to go down the route of QMV in CSDP and external relations” (Interview 9, 2016).  One interlocutor suggested that in the current political climate, there is a risk that Member States that would not vote for a particular agreement in a potential QMV situation could walk away from agreed positions, as they may feel “less bound by that decision” (ibid). </w:t>
      </w:r>
    </w:p>
    <w:p w14:paraId="4FB0A7EE" w14:textId="20D5AA27" w:rsidR="002E388C" w:rsidRPr="00E96F08" w:rsidRDefault="002E388C" w:rsidP="00D37FA4">
      <w:pPr>
        <w:spacing w:line="480" w:lineRule="auto"/>
        <w:ind w:firstLine="360"/>
        <w:rPr>
          <w:rFonts w:ascii="Times New Roman" w:eastAsia="Times New Roman,ＭＳ ゴシック" w:hAnsi="Times New Roman" w:cs="Times New Roman"/>
          <w:sz w:val="24"/>
          <w:szCs w:val="24"/>
        </w:rPr>
      </w:pPr>
      <w:r w:rsidRPr="00E96F08">
        <w:rPr>
          <w:rFonts w:ascii="Times New Roman" w:eastAsia="Times New Roman,ＭＳ ゴシック" w:hAnsi="Times New Roman" w:cs="Times New Roman"/>
          <w:sz w:val="24"/>
          <w:szCs w:val="24"/>
        </w:rPr>
        <w:t xml:space="preserve">Given that the consensus rule appears to be sacrosanct, both organisations developed the formal and informal procedures described above to assure decisions can be reached in practice. Interestingly, as we will illustrate next, although the consultation procedures in PSC-NAC meetings are similar, no </w:t>
      </w:r>
      <w:r w:rsidR="00760BB0">
        <w:rPr>
          <w:rFonts w:ascii="Times New Roman" w:eastAsia="Times New Roman,ＭＳ ゴシック" w:hAnsi="Times New Roman" w:cs="Times New Roman"/>
          <w:sz w:val="24"/>
          <w:szCs w:val="24"/>
        </w:rPr>
        <w:t xml:space="preserve">formal or actionable </w:t>
      </w:r>
      <w:r w:rsidRPr="00E96F08">
        <w:rPr>
          <w:rFonts w:ascii="Times New Roman" w:eastAsia="Times New Roman,ＭＳ ゴシック" w:hAnsi="Times New Roman" w:cs="Times New Roman"/>
          <w:sz w:val="24"/>
          <w:szCs w:val="24"/>
        </w:rPr>
        <w:t xml:space="preserve">decisions are </w:t>
      </w:r>
      <w:r w:rsidR="00760BB0">
        <w:rPr>
          <w:rFonts w:ascii="Times New Roman" w:eastAsia="Times New Roman,ＭＳ ゴシック" w:hAnsi="Times New Roman" w:cs="Times New Roman"/>
          <w:sz w:val="24"/>
          <w:szCs w:val="24"/>
        </w:rPr>
        <w:t xml:space="preserve">usually </w:t>
      </w:r>
      <w:r w:rsidRPr="00E96F08">
        <w:rPr>
          <w:rFonts w:ascii="Times New Roman" w:eastAsia="Times New Roman,ＭＳ ゴシック" w:hAnsi="Times New Roman" w:cs="Times New Roman"/>
          <w:sz w:val="24"/>
          <w:szCs w:val="24"/>
        </w:rPr>
        <w:t>reached (due to the current agreed framework).</w:t>
      </w:r>
    </w:p>
    <w:p w14:paraId="4B38800D" w14:textId="2C0F76B6" w:rsidR="002E388C" w:rsidRPr="00E96F08" w:rsidRDefault="002E388C" w:rsidP="00607E3B">
      <w:pPr>
        <w:pStyle w:val="Heading3"/>
        <w:rPr>
          <w:rFonts w:cs="Times New Roman"/>
        </w:rPr>
      </w:pPr>
      <w:r w:rsidRPr="00E96F08">
        <w:rPr>
          <w:rFonts w:cs="Times New Roman"/>
        </w:rPr>
        <w:t>PSC-NAC meetings</w:t>
      </w:r>
    </w:p>
    <w:p w14:paraId="5F1EE745" w14:textId="0A92BCCE" w:rsidR="002E388C" w:rsidRPr="00E96F08" w:rsidRDefault="002E388C" w:rsidP="00C746F4">
      <w:pPr>
        <w:spacing w:line="480" w:lineRule="auto"/>
        <w:rPr>
          <w:rFonts w:ascii="Times New Roman" w:hAnsi="Times New Roman" w:cs="Times New Roman"/>
          <w:sz w:val="24"/>
          <w:szCs w:val="24"/>
        </w:rPr>
      </w:pPr>
      <w:r w:rsidRPr="00E96F08">
        <w:rPr>
          <w:rFonts w:ascii="Times New Roman" w:hAnsi="Times New Roman" w:cs="Times New Roman"/>
          <w:sz w:val="24"/>
          <w:szCs w:val="24"/>
        </w:rPr>
        <w:t xml:space="preserve">Concerning the frequency of these joint meetings, a “loose formula” exists whereby two informal meetings for every one formal </w:t>
      </w:r>
      <w:r w:rsidR="003C30F3">
        <w:rPr>
          <w:rFonts w:ascii="Times New Roman" w:hAnsi="Times New Roman" w:cs="Times New Roman"/>
          <w:sz w:val="24"/>
          <w:szCs w:val="24"/>
        </w:rPr>
        <w:t>(Berlin Pus)</w:t>
      </w:r>
      <w:r w:rsidR="00E14478">
        <w:rPr>
          <w:rStyle w:val="EndnoteReference"/>
          <w:rFonts w:ascii="Times New Roman" w:hAnsi="Times New Roman" w:cs="Times New Roman"/>
          <w:sz w:val="24"/>
          <w:szCs w:val="24"/>
        </w:rPr>
        <w:endnoteReference w:id="21"/>
      </w:r>
      <w:r w:rsidR="003C30F3">
        <w:rPr>
          <w:rFonts w:ascii="Times New Roman" w:hAnsi="Times New Roman" w:cs="Times New Roman"/>
          <w:sz w:val="24"/>
          <w:szCs w:val="24"/>
        </w:rPr>
        <w:t xml:space="preserve"> </w:t>
      </w:r>
      <w:r w:rsidRPr="00E96F08">
        <w:rPr>
          <w:rFonts w:ascii="Times New Roman" w:hAnsi="Times New Roman" w:cs="Times New Roman"/>
          <w:sz w:val="24"/>
          <w:szCs w:val="24"/>
        </w:rPr>
        <w:t>meeting is the goal. The meetings rotate between the Justus Lipsius building (</w:t>
      </w:r>
      <w:r w:rsidR="00D310AC">
        <w:rPr>
          <w:rFonts w:ascii="Times New Roman" w:hAnsi="Times New Roman" w:cs="Times New Roman"/>
          <w:sz w:val="24"/>
          <w:szCs w:val="24"/>
        </w:rPr>
        <w:t>Council of the EU</w:t>
      </w:r>
      <w:r w:rsidRPr="00E96F08">
        <w:rPr>
          <w:rFonts w:ascii="Times New Roman" w:hAnsi="Times New Roman" w:cs="Times New Roman"/>
          <w:sz w:val="24"/>
          <w:szCs w:val="24"/>
        </w:rPr>
        <w:t xml:space="preserve">) and the NATO HQ. Working groups also meet informally before these NAC-PSC meetings. Consequently, they are important as an event but the experience itself is, at least from the point of view of some of the ambassadors involved, “dull”, “highly scripted” and “uninspiring” (Interview </w:t>
      </w:r>
      <w:r w:rsidRPr="00E96F08">
        <w:rPr>
          <w:rFonts w:ascii="Times New Roman" w:hAnsi="Times New Roman" w:cs="Times New Roman"/>
          <w:sz w:val="24"/>
          <w:szCs w:val="24"/>
        </w:rPr>
        <w:lastRenderedPageBreak/>
        <w:t xml:space="preserve">7, 12, 13: 2016). Given the well-known political blockages that stymy EU-NATO writ large, it should be noted that both Turkey and Cyprus do have representatives in attendance at the informal PSC-NAC meetings. </w:t>
      </w:r>
    </w:p>
    <w:p w14:paraId="1FB9F982" w14:textId="458166DC" w:rsidR="002E388C" w:rsidRPr="00E96F08" w:rsidRDefault="002E388C" w:rsidP="00C746F4">
      <w:pPr>
        <w:spacing w:line="480" w:lineRule="auto"/>
        <w:ind w:firstLine="720"/>
        <w:rPr>
          <w:rFonts w:ascii="Times New Roman" w:hAnsi="Times New Roman" w:cs="Times New Roman"/>
          <w:sz w:val="24"/>
          <w:szCs w:val="24"/>
        </w:rPr>
      </w:pPr>
      <w:r w:rsidRPr="00E96F08">
        <w:rPr>
          <w:rFonts w:ascii="Times New Roman" w:hAnsi="Times New Roman" w:cs="Times New Roman"/>
          <w:sz w:val="24"/>
          <w:szCs w:val="24"/>
        </w:rPr>
        <w:t xml:space="preserve">Some interlocutors articulated that </w:t>
      </w:r>
      <w:r w:rsidR="008E078E">
        <w:rPr>
          <w:rFonts w:ascii="Times New Roman" w:hAnsi="Times New Roman" w:cs="Times New Roman"/>
          <w:sz w:val="24"/>
          <w:szCs w:val="24"/>
        </w:rPr>
        <w:t>all</w:t>
      </w:r>
      <w:r w:rsidRPr="00E96F08">
        <w:rPr>
          <w:rFonts w:ascii="Times New Roman" w:hAnsi="Times New Roman" w:cs="Times New Roman"/>
          <w:sz w:val="24"/>
          <w:szCs w:val="24"/>
        </w:rPr>
        <w:t xml:space="preserve"> NAC-PSC meetings are “equally dull” (Interviews 1, 7, 9, 21: 2016). The majority of member states intervene (but not always) although they tend to read from prepared scripts. The common EU and NATO member states and those with Partnership for Peace (PfP) representatives will usually have two presenters. In such cases, there would be “no contradictions” between the two speakers, just internal agreements on how to split the work for a particular meeting regarding EU-applicable aspects or NATO-oriented aspects, respectively. After a tour-de-table, the chair sums up the presentations “to make it look like there was some outcome” (Interview 9, 2016). The Berlin Plus arrangements are still used for the CSDP operation ALTHEA, but most interlocutors suggested these meetings are not very significant either (Interviews 7, 9, 12 13: 2016). </w:t>
      </w:r>
    </w:p>
    <w:p w14:paraId="7EABAA14" w14:textId="5F01BF0F" w:rsidR="002E388C" w:rsidRPr="00E96F08" w:rsidRDefault="002E388C" w:rsidP="0026762E">
      <w:pPr>
        <w:spacing w:line="480" w:lineRule="auto"/>
        <w:ind w:firstLine="720"/>
        <w:rPr>
          <w:rFonts w:ascii="Times New Roman" w:hAnsi="Times New Roman" w:cs="Times New Roman"/>
          <w:sz w:val="24"/>
          <w:szCs w:val="24"/>
        </w:rPr>
      </w:pPr>
      <w:r w:rsidRPr="00E96F08">
        <w:rPr>
          <w:rFonts w:ascii="Times New Roman" w:hAnsi="Times New Roman" w:cs="Times New Roman"/>
          <w:sz w:val="24"/>
          <w:szCs w:val="24"/>
        </w:rPr>
        <w:t>The agenda is prepared two or three months in advance, by the EEAS and the NATO Secretariat respectively, and thus, not by the member states. Most interlocutors also suggested that it was the most complicated aspect of these meetings. The discussions are topical and relevant, so can be interesting in that regard, but what is missing are formal and operational NAC-PSC agreed conclusions</w:t>
      </w:r>
      <w:r w:rsidR="00787582">
        <w:rPr>
          <w:rFonts w:ascii="Times New Roman" w:hAnsi="Times New Roman" w:cs="Times New Roman"/>
          <w:sz w:val="24"/>
          <w:szCs w:val="24"/>
        </w:rPr>
        <w:t>, decisions on ALTHEA not withstanding</w:t>
      </w:r>
      <w:r w:rsidRPr="00E96F08">
        <w:rPr>
          <w:rFonts w:ascii="Times New Roman" w:hAnsi="Times New Roman" w:cs="Times New Roman"/>
          <w:sz w:val="24"/>
          <w:szCs w:val="24"/>
        </w:rPr>
        <w:t>. “Some” member states would like to have the EU-NATO Declaration,</w:t>
      </w:r>
      <w:r w:rsidR="00646C66">
        <w:rPr>
          <w:rStyle w:val="EndnoteReference"/>
          <w:rFonts w:ascii="Times New Roman" w:hAnsi="Times New Roman" w:cs="Times New Roman"/>
          <w:sz w:val="24"/>
          <w:szCs w:val="24"/>
        </w:rPr>
        <w:endnoteReference w:id="22"/>
      </w:r>
      <w:r w:rsidRPr="00E96F08">
        <w:rPr>
          <w:rFonts w:ascii="Times New Roman" w:hAnsi="Times New Roman" w:cs="Times New Roman"/>
          <w:sz w:val="24"/>
          <w:szCs w:val="24"/>
        </w:rPr>
        <w:t xml:space="preserve"> for example, discussed at a formal meeting and then to have the NAC-PSC jointly review progress. However, our data suggested that this was not currently tenable (Interview 12, 2016). </w:t>
      </w:r>
    </w:p>
    <w:p w14:paraId="2992FA7A" w14:textId="77777777" w:rsidR="002E388C" w:rsidRPr="00E96F08" w:rsidRDefault="002E388C" w:rsidP="0026762E">
      <w:pPr>
        <w:spacing w:line="480" w:lineRule="auto"/>
        <w:ind w:firstLine="720"/>
        <w:rPr>
          <w:rFonts w:ascii="Times New Roman" w:hAnsi="Times New Roman" w:cs="Times New Roman"/>
          <w:sz w:val="24"/>
          <w:szCs w:val="24"/>
        </w:rPr>
      </w:pPr>
      <w:r w:rsidRPr="00E96F08">
        <w:rPr>
          <w:rFonts w:ascii="Times New Roman" w:hAnsi="Times New Roman" w:cs="Times New Roman"/>
          <w:sz w:val="24"/>
          <w:szCs w:val="24"/>
        </w:rPr>
        <w:t xml:space="preserve">Moreover, even if the participation problem regarding Turkey and Cyprus were to be alleviated “closer institutional and decision-making cooperation would not happen” (Interviews 9, 12, 13: 2016). There was a sentiment that “other problems” would arise and </w:t>
      </w:r>
      <w:r w:rsidRPr="00E96F08">
        <w:rPr>
          <w:rFonts w:ascii="Times New Roman" w:hAnsi="Times New Roman" w:cs="Times New Roman"/>
          <w:sz w:val="24"/>
          <w:szCs w:val="24"/>
        </w:rPr>
        <w:lastRenderedPageBreak/>
        <w:t xml:space="preserve">that the two bodies would not take decisions together as they would not be “applicable” or would need to be “executed differently” (Interview 10, 2016). Beyond the obvious political blockages, the NAC and PSC would never be likely to take joint decisions because there are no formal “rules of procedure” or the “authority” to take decisions in that format (Interview 8, 2016). </w:t>
      </w:r>
    </w:p>
    <w:p w14:paraId="6BBCB41A" w14:textId="2296DB62" w:rsidR="002E388C" w:rsidRPr="00E96F08" w:rsidRDefault="00C72F16" w:rsidP="0026762E">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one interlocutor explains, t</w:t>
      </w:r>
      <w:r w:rsidR="002E388C" w:rsidRPr="00E96F08">
        <w:rPr>
          <w:rFonts w:ascii="Times New Roman" w:hAnsi="Times New Roman" w:cs="Times New Roman"/>
          <w:sz w:val="24"/>
          <w:szCs w:val="24"/>
        </w:rPr>
        <w:t xml:space="preserve">he only real possibility would be </w:t>
      </w:r>
      <w:r w:rsidR="00760BB0">
        <w:rPr>
          <w:rFonts w:ascii="Times New Roman" w:hAnsi="Times New Roman" w:cs="Times New Roman"/>
          <w:sz w:val="24"/>
          <w:szCs w:val="24"/>
        </w:rPr>
        <w:t>“</w:t>
      </w:r>
      <w:r w:rsidR="002E388C" w:rsidRPr="00E96F08">
        <w:rPr>
          <w:rFonts w:ascii="Times New Roman" w:hAnsi="Times New Roman" w:cs="Times New Roman"/>
          <w:sz w:val="24"/>
          <w:szCs w:val="24"/>
        </w:rPr>
        <w:t>for the NAC to take a decision first</w:t>
      </w:r>
      <w:r w:rsidR="00760BB0">
        <w:rPr>
          <w:rFonts w:ascii="Times New Roman" w:hAnsi="Times New Roman" w:cs="Times New Roman"/>
          <w:sz w:val="24"/>
          <w:szCs w:val="24"/>
        </w:rPr>
        <w:t>”</w:t>
      </w:r>
      <w:r w:rsidR="002E388C" w:rsidRPr="00E96F08">
        <w:rPr>
          <w:rFonts w:ascii="Times New Roman" w:hAnsi="Times New Roman" w:cs="Times New Roman"/>
          <w:sz w:val="24"/>
          <w:szCs w:val="24"/>
        </w:rPr>
        <w:t>, and the PSC a corresponding supportive decision the next day</w:t>
      </w:r>
      <w:r w:rsidR="00760BB0">
        <w:rPr>
          <w:rFonts w:ascii="Times New Roman" w:hAnsi="Times New Roman" w:cs="Times New Roman"/>
          <w:sz w:val="24"/>
          <w:szCs w:val="24"/>
        </w:rPr>
        <w:t xml:space="preserve"> (or vice versa)</w:t>
      </w:r>
      <w:r w:rsidR="002E388C" w:rsidRPr="00E96F08">
        <w:rPr>
          <w:rFonts w:ascii="Times New Roman" w:hAnsi="Times New Roman" w:cs="Times New Roman"/>
          <w:sz w:val="24"/>
          <w:szCs w:val="24"/>
        </w:rPr>
        <w:t xml:space="preserve">. The current system of “talking to each other” through occasional informal meetings, NATO summits or EU Councils is “clumsy” (Interview 12, 2016). For example, the Bratislava Declaration (European Council 2016) notes that the EU should “start implementing the joint declaration with NATO immediately” (p. 5). While it took the EU till September to even consider implementing the “joint declaration” signed on 8 July 2016, NATO </w:t>
      </w:r>
      <w:r w:rsidR="00AE1987">
        <w:rPr>
          <w:rFonts w:ascii="Times New Roman" w:hAnsi="Times New Roman" w:cs="Times New Roman"/>
          <w:sz w:val="24"/>
          <w:szCs w:val="24"/>
        </w:rPr>
        <w:t xml:space="preserve">civilian and military staff planners </w:t>
      </w:r>
      <w:r w:rsidR="002E388C" w:rsidRPr="00E96F08">
        <w:rPr>
          <w:rFonts w:ascii="Times New Roman" w:hAnsi="Times New Roman" w:cs="Times New Roman"/>
          <w:sz w:val="24"/>
          <w:szCs w:val="24"/>
        </w:rPr>
        <w:t>already started to</w:t>
      </w:r>
      <w:r w:rsidR="00AE1987">
        <w:rPr>
          <w:rFonts w:ascii="Times New Roman" w:hAnsi="Times New Roman" w:cs="Times New Roman"/>
          <w:sz w:val="24"/>
          <w:szCs w:val="24"/>
        </w:rPr>
        <w:t xml:space="preserve"> generate ideas on how to</w:t>
      </w:r>
      <w:r w:rsidR="002E388C" w:rsidRPr="00E96F08">
        <w:rPr>
          <w:rFonts w:ascii="Times New Roman" w:hAnsi="Times New Roman" w:cs="Times New Roman"/>
          <w:sz w:val="24"/>
          <w:szCs w:val="24"/>
        </w:rPr>
        <w:t xml:space="preserve"> implement </w:t>
      </w:r>
      <w:r w:rsidR="00AE1987">
        <w:rPr>
          <w:rFonts w:ascii="Times New Roman" w:hAnsi="Times New Roman" w:cs="Times New Roman"/>
          <w:sz w:val="24"/>
          <w:szCs w:val="24"/>
        </w:rPr>
        <w:t>the declaration</w:t>
      </w:r>
      <w:r w:rsidR="00AE1987" w:rsidRPr="00E96F08">
        <w:rPr>
          <w:rFonts w:ascii="Times New Roman" w:hAnsi="Times New Roman" w:cs="Times New Roman"/>
          <w:sz w:val="24"/>
          <w:szCs w:val="24"/>
        </w:rPr>
        <w:t xml:space="preserve"> </w:t>
      </w:r>
      <w:r w:rsidR="002E388C" w:rsidRPr="00E96F08">
        <w:rPr>
          <w:rFonts w:ascii="Times New Roman" w:hAnsi="Times New Roman" w:cs="Times New Roman"/>
          <w:sz w:val="24"/>
          <w:szCs w:val="24"/>
        </w:rPr>
        <w:t>on 9 July, which indicates that the sense of immediacy differs between the two bodies (Interview 12, 2016).</w:t>
      </w:r>
    </w:p>
    <w:p w14:paraId="07C3455C" w14:textId="75DDAC82" w:rsidR="002E388C" w:rsidRPr="00E96F08" w:rsidRDefault="002E388C" w:rsidP="0026762E">
      <w:pPr>
        <w:pStyle w:val="Newparagraph"/>
      </w:pPr>
      <w:r w:rsidRPr="00E96F08">
        <w:t>As these findings have shown, while there is no formal decision-making between the NAC and the PSC (in the current agreed framework) and, therefore, no real consensus is needed, the established consultation and agenda setting procedures still</w:t>
      </w:r>
      <w:r w:rsidR="00507A7E">
        <w:t xml:space="preserve"> apply to</w:t>
      </w:r>
      <w:r w:rsidRPr="00E96F08">
        <w:t xml:space="preserve"> the common meetings, both at the institutional level (coordination between the EEAS and the NATO General Secretariat) and the member state level (coordination between the common EU and NATO/PfP members). “The objective of NAC-PSC meetings is just to have them” (Interview 9, 2016), and the consultations are not “crisis driven but process driven” (ibid). The same interlocutor went as far as to say that when it comes to NAC-PSC meetings, “anyone who tells you that they are very useful is not telling the truth” (Interview 9, 2016). They could thus essentially be looked at as an attempt to convey that there is cooperation, </w:t>
      </w:r>
      <w:r w:rsidRPr="00E96F08">
        <w:lastRenderedPageBreak/>
        <w:t xml:space="preserve">and that meetings can occur without controversy with regard to the non-common member states (in particular, Cyprus and Turkey). A smooth public record is created for this particular meeting formation, one that in practice, however, does not change anything substantive in the relationship between the two organisations. </w:t>
      </w:r>
    </w:p>
    <w:p w14:paraId="102A8FB3" w14:textId="77777777" w:rsidR="002E388C" w:rsidRPr="00E96F08" w:rsidRDefault="002E388C" w:rsidP="0026762E">
      <w:pPr>
        <w:pStyle w:val="Newparagraph"/>
      </w:pPr>
    </w:p>
    <w:p w14:paraId="260832E9" w14:textId="5EA78924" w:rsidR="002E388C" w:rsidRPr="006055AF" w:rsidRDefault="006055AF" w:rsidP="00D37FA4">
      <w:pPr>
        <w:spacing w:line="480" w:lineRule="auto"/>
        <w:outlineLvl w:val="0"/>
        <w:rPr>
          <w:rFonts w:ascii="Times New Roman" w:eastAsia="Times New Roman,ＭＳ ゴシック" w:hAnsi="Times New Roman" w:cs="Times New Roman"/>
          <w:b/>
          <w:sz w:val="24"/>
          <w:szCs w:val="24"/>
        </w:rPr>
      </w:pPr>
      <w:r w:rsidRPr="006055AF">
        <w:rPr>
          <w:rFonts w:ascii="Times New Roman" w:eastAsia="Times New Roman,ＭＳ ゴシック" w:hAnsi="Times New Roman" w:cs="Times New Roman"/>
          <w:b/>
          <w:sz w:val="24"/>
          <w:szCs w:val="24"/>
        </w:rPr>
        <w:t>“</w:t>
      </w:r>
      <w:r w:rsidR="002E388C" w:rsidRPr="006055AF">
        <w:rPr>
          <w:rFonts w:ascii="Times New Roman" w:eastAsia="Times New Roman,ＭＳ ゴシック" w:hAnsi="Times New Roman" w:cs="Times New Roman"/>
          <w:b/>
          <w:sz w:val="24"/>
          <w:szCs w:val="24"/>
        </w:rPr>
        <w:t>Driving consensus</w:t>
      </w:r>
      <w:r w:rsidRPr="006055AF">
        <w:rPr>
          <w:rFonts w:ascii="Times New Roman" w:eastAsia="Times New Roman,ＭＳ ゴシック" w:hAnsi="Times New Roman" w:cs="Times New Roman"/>
          <w:b/>
          <w:sz w:val="24"/>
          <w:szCs w:val="24"/>
        </w:rPr>
        <w:t>”</w:t>
      </w:r>
      <w:r w:rsidR="002E388C" w:rsidRPr="006055AF">
        <w:rPr>
          <w:rFonts w:ascii="Times New Roman" w:eastAsia="Times New Roman,ＭＳ ゴシック" w:hAnsi="Times New Roman" w:cs="Times New Roman"/>
          <w:b/>
          <w:sz w:val="24"/>
          <w:szCs w:val="24"/>
          <w:vertAlign w:val="superscript"/>
        </w:rPr>
        <w:endnoteReference w:id="23"/>
      </w:r>
    </w:p>
    <w:p w14:paraId="785D423B" w14:textId="30227416" w:rsidR="002E388C" w:rsidRPr="00E96F08" w:rsidRDefault="002E388C" w:rsidP="00C746F4">
      <w:pPr>
        <w:spacing w:line="480" w:lineRule="auto"/>
        <w:outlineLvl w:val="0"/>
        <w:rPr>
          <w:rFonts w:ascii="Times New Roman" w:eastAsiaTheme="majorEastAsia" w:hAnsi="Times New Roman" w:cs="Times New Roman"/>
          <w:sz w:val="24"/>
          <w:szCs w:val="24"/>
        </w:rPr>
      </w:pPr>
      <w:r w:rsidRPr="00E96F08">
        <w:rPr>
          <w:rFonts w:ascii="Times New Roman" w:eastAsia="Times New Roman,ＭＳ ゴシック" w:hAnsi="Times New Roman" w:cs="Times New Roman"/>
          <w:sz w:val="24"/>
          <w:szCs w:val="24"/>
        </w:rPr>
        <w:t xml:space="preserve">A second cluster of issues </w:t>
      </w:r>
      <w:r w:rsidRPr="00E96F08">
        <w:rPr>
          <w:rFonts w:ascii="Times New Roman" w:eastAsiaTheme="majorEastAsia" w:hAnsi="Times New Roman" w:cs="Times New Roman"/>
          <w:sz w:val="24"/>
          <w:szCs w:val="24"/>
        </w:rPr>
        <w:t>emerged from iterations about</w:t>
      </w:r>
      <w:r w:rsidR="00405429">
        <w:rPr>
          <w:rFonts w:ascii="Times New Roman" w:eastAsiaTheme="majorEastAsia" w:hAnsi="Times New Roman" w:cs="Times New Roman"/>
          <w:sz w:val="24"/>
          <w:szCs w:val="24"/>
        </w:rPr>
        <w:t xml:space="preserve"> </w:t>
      </w:r>
      <w:r w:rsidR="00405429" w:rsidRPr="00E96F08">
        <w:rPr>
          <w:rFonts w:ascii="Times New Roman" w:eastAsia="Times New Roman,ＭＳ ゴシック" w:hAnsi="Times New Roman" w:cs="Times New Roman"/>
          <w:i/>
          <w:sz w:val="24"/>
          <w:szCs w:val="24"/>
        </w:rPr>
        <w:t>organisational design</w:t>
      </w:r>
      <w:r w:rsidR="00405429">
        <w:rPr>
          <w:rFonts w:ascii="Times New Roman" w:eastAsia="Times New Roman,ＭＳ ゴシック" w:hAnsi="Times New Roman" w:cs="Times New Roman"/>
          <w:i/>
          <w:sz w:val="24"/>
          <w:szCs w:val="24"/>
        </w:rPr>
        <w:t>,</w:t>
      </w:r>
      <w:r w:rsidR="00405429" w:rsidRPr="00E96F08">
        <w:rPr>
          <w:rStyle w:val="EndnoteReference"/>
          <w:rFonts w:ascii="Times New Roman" w:eastAsia="Times New Roman,ＭＳ ゴシック" w:hAnsi="Times New Roman" w:cs="Times New Roman"/>
          <w:sz w:val="24"/>
          <w:szCs w:val="24"/>
        </w:rPr>
        <w:t xml:space="preserve"> </w:t>
      </w:r>
      <w:r w:rsidR="00405429" w:rsidRPr="00E96F08">
        <w:rPr>
          <w:rStyle w:val="EndnoteReference"/>
          <w:rFonts w:ascii="Times New Roman" w:eastAsia="Times New Roman,ＭＳ ゴシック" w:hAnsi="Times New Roman" w:cs="Times New Roman"/>
          <w:sz w:val="24"/>
          <w:szCs w:val="24"/>
        </w:rPr>
        <w:endnoteReference w:id="24"/>
      </w:r>
      <w:r w:rsidRPr="00E96F08">
        <w:rPr>
          <w:rFonts w:ascii="Times New Roman" w:eastAsia="Times New Roman,ＭＳ ゴシック" w:hAnsi="Times New Roman" w:cs="Times New Roman"/>
          <w:sz w:val="24"/>
          <w:szCs w:val="24"/>
        </w:rPr>
        <w:t xml:space="preserve"> </w:t>
      </w:r>
      <w:r w:rsidRPr="00E96F08">
        <w:rPr>
          <w:rFonts w:ascii="Times New Roman" w:eastAsia="Times New Roman,ＭＳ ゴシック" w:hAnsi="Times New Roman" w:cs="Times New Roman"/>
          <w:i/>
          <w:sz w:val="24"/>
          <w:szCs w:val="24"/>
        </w:rPr>
        <w:t>informality</w:t>
      </w:r>
      <w:r w:rsidRPr="00E96F08">
        <w:rPr>
          <w:rStyle w:val="EndnoteReference"/>
          <w:rFonts w:ascii="Times New Roman" w:eastAsia="Times New Roman,ＭＳ ゴシック" w:hAnsi="Times New Roman" w:cs="Times New Roman"/>
          <w:sz w:val="24"/>
          <w:szCs w:val="24"/>
        </w:rPr>
        <w:endnoteReference w:id="25"/>
      </w:r>
      <w:r w:rsidRPr="00E96F08">
        <w:rPr>
          <w:rFonts w:ascii="Times New Roman" w:eastAsia="Times New Roman,ＭＳ ゴシック" w:hAnsi="Times New Roman" w:cs="Times New Roman"/>
          <w:sz w:val="24"/>
          <w:szCs w:val="24"/>
        </w:rPr>
        <w:t xml:space="preserve"> </w:t>
      </w:r>
      <w:r w:rsidR="00405429">
        <w:rPr>
          <w:rFonts w:ascii="Times New Roman" w:eastAsia="Times New Roman,ＭＳ ゴシック" w:hAnsi="Times New Roman" w:cs="Times New Roman"/>
          <w:sz w:val="24"/>
          <w:szCs w:val="24"/>
        </w:rPr>
        <w:t xml:space="preserve">and </w:t>
      </w:r>
      <w:r w:rsidRPr="00E96F08">
        <w:rPr>
          <w:rFonts w:ascii="Times New Roman" w:eastAsia="Times New Roman,ＭＳ ゴシック" w:hAnsi="Times New Roman" w:cs="Times New Roman"/>
          <w:i/>
          <w:sz w:val="24"/>
          <w:szCs w:val="24"/>
        </w:rPr>
        <w:t>socialising</w:t>
      </w:r>
      <w:r w:rsidR="00405429">
        <w:rPr>
          <w:rFonts w:ascii="Times New Roman" w:eastAsia="Times New Roman,ＭＳ ゴシック" w:hAnsi="Times New Roman" w:cs="Times New Roman"/>
          <w:i/>
          <w:sz w:val="24"/>
          <w:szCs w:val="24"/>
        </w:rPr>
        <w:t>,</w:t>
      </w:r>
      <w:r w:rsidRPr="00E96F08">
        <w:rPr>
          <w:rStyle w:val="EndnoteReference"/>
          <w:rFonts w:ascii="Times New Roman" w:eastAsia="Times New Roman,ＭＳ ゴシック" w:hAnsi="Times New Roman" w:cs="Times New Roman"/>
          <w:sz w:val="24"/>
          <w:szCs w:val="24"/>
        </w:rPr>
        <w:endnoteReference w:id="26"/>
      </w:r>
      <w:r w:rsidRPr="00E96F08">
        <w:rPr>
          <w:rFonts w:ascii="Times New Roman" w:eastAsia="Times New Roman,ＭＳ ゴシック" w:hAnsi="Times New Roman" w:cs="Times New Roman"/>
          <w:sz w:val="24"/>
          <w:szCs w:val="24"/>
        </w:rPr>
        <w:t xml:space="preserve"> which we took to constitute sub-categories of a wider category of </w:t>
      </w:r>
      <w:r w:rsidRPr="00E96F08">
        <w:rPr>
          <w:rFonts w:ascii="Times New Roman" w:eastAsiaTheme="majorEastAsia" w:hAnsi="Times New Roman" w:cs="Times New Roman"/>
          <w:sz w:val="24"/>
          <w:szCs w:val="24"/>
        </w:rPr>
        <w:t>“driving consensus”. In line with the previous section on “established procedures”, the following discussion develops a comparison between the NAC and the PSC alongside these sub-categories before turning to a discussion of related perspectives on the joint NAC-PSC format.</w:t>
      </w:r>
    </w:p>
    <w:p w14:paraId="1DB9E908" w14:textId="77777777" w:rsidR="002E388C" w:rsidRPr="00E96F08" w:rsidRDefault="002E388C" w:rsidP="006E16B2">
      <w:pPr>
        <w:pStyle w:val="Heading3"/>
        <w:rPr>
          <w:rFonts w:cs="Times New Roman"/>
        </w:rPr>
      </w:pPr>
      <w:r w:rsidRPr="00E96F08">
        <w:rPr>
          <w:rFonts w:cs="Times New Roman"/>
        </w:rPr>
        <w:t>The PSC and the NAC in comparison</w:t>
      </w:r>
    </w:p>
    <w:p w14:paraId="1B7B4CC3" w14:textId="0F8C9424" w:rsidR="002E388C" w:rsidRPr="00E96F08" w:rsidRDefault="002E388C" w:rsidP="004A251C">
      <w:pPr>
        <w:pStyle w:val="Newparagraph"/>
        <w:ind w:firstLine="0"/>
      </w:pPr>
      <w:r w:rsidRPr="00E96F08">
        <w:t xml:space="preserve">While both the PSC and the NAC may differ on procedural matters, both seemingly share a similar consensus-seeking </w:t>
      </w:r>
      <w:r w:rsidRPr="00630CBD">
        <w:rPr>
          <w:i/>
        </w:rPr>
        <w:t xml:space="preserve">organisational </w:t>
      </w:r>
      <w:r w:rsidR="00405429" w:rsidRPr="00630CBD">
        <w:rPr>
          <w:i/>
        </w:rPr>
        <w:t>design</w:t>
      </w:r>
      <w:r w:rsidRPr="00E96F08">
        <w:t xml:space="preserve">. The respective ministerial meetings in both organisations are the important “driver” that forces each decision-making body to find agreement (Interview 5, 2016).  No ambassador likes to “expose themselves to be preventing a committee from getting an agreement or consensus” on important issues that may be brought before ministers (ibid).  That is an important “enforcing element”, even more so for a NATO Summit or a European Council (ibid). </w:t>
      </w:r>
    </w:p>
    <w:p w14:paraId="423F9A42" w14:textId="5691302E" w:rsidR="002E388C" w:rsidRPr="00E96F08" w:rsidRDefault="002E388C" w:rsidP="004A251C">
      <w:pPr>
        <w:pStyle w:val="Newparagraph"/>
      </w:pPr>
      <w:r w:rsidRPr="00E96F08">
        <w:t xml:space="preserve">Interviewees pointed to a </w:t>
      </w:r>
      <w:r w:rsidR="00405429">
        <w:t>logic</w:t>
      </w:r>
      <w:r w:rsidRPr="00E96F08">
        <w:t xml:space="preserve"> of “if you accept my position, I will accept yours” (Interview 1, 2012), which, on our part, spurred further investigations into procedural issues. On Tuesday mornings, NAC ambassadors “regularly” meet </w:t>
      </w:r>
      <w:r w:rsidRPr="00630CBD">
        <w:rPr>
          <w:i/>
        </w:rPr>
        <w:t>informally</w:t>
      </w:r>
      <w:r w:rsidRPr="00E96F08">
        <w:t xml:space="preserve"> in a “reduced format” with just a very small number of collaborators, normally 28 ambassadors plus one or two support personnel (Interview 3, 2012). In this format, they discuss in-depth </w:t>
      </w:r>
      <w:r w:rsidRPr="00E96F08">
        <w:lastRenderedPageBreak/>
        <w:t>some of the difficult issues in an attempt to clarify any differences that exist among the Allies before the official NAC meeting on the Wednesday.</w:t>
      </w:r>
      <w:r w:rsidRPr="00E96F08">
        <w:rPr>
          <w:vertAlign w:val="superscript"/>
        </w:rPr>
        <w:endnoteReference w:id="27"/>
      </w:r>
    </w:p>
    <w:p w14:paraId="3BA7C6C0" w14:textId="21D6C0DD" w:rsidR="002E388C" w:rsidRPr="00E96F08" w:rsidRDefault="002E388C" w:rsidP="004A251C">
      <w:pPr>
        <w:pStyle w:val="Newparagraph"/>
      </w:pPr>
      <w:r w:rsidRPr="00E96F08">
        <w:rPr>
          <w:rFonts w:eastAsia="Times New Roman,ＭＳ ゴシック"/>
        </w:rPr>
        <w:t xml:space="preserve">These informal lunches, hosted by individual ambassadors, are seemingly fundamental to the informal decision-making process. The general practice is that each ambassador will host a couple of two-hour lunches per year, either at their residence or on site at NATO HQ (Interview 13, 2016). These events are informal discussions, usually focused on a single issue, without note takers or any decision sheets. The agenda is shaped by the hosting ambassador but is quite obviously also influenced by international developments (ibid.). </w:t>
      </w:r>
    </w:p>
    <w:p w14:paraId="31F656EC" w14:textId="549D3317" w:rsidR="002E388C" w:rsidRPr="00E96F08" w:rsidRDefault="002E388C" w:rsidP="00E26E4A">
      <w:pPr>
        <w:pStyle w:val="Newparagraph"/>
        <w:rPr>
          <w:rFonts w:eastAsia="Times New Roman,ＭＳ ゴシック"/>
        </w:rPr>
      </w:pPr>
      <w:r w:rsidRPr="00E96F08">
        <w:rPr>
          <w:rFonts w:eastAsia="Times New Roman,ＭＳ ゴシック"/>
        </w:rPr>
        <w:t xml:space="preserve">The data suggested two common trains of thought on the informal consultation process within the NAC. The first can be conceptualised as “decision-driven” as it urges swift agreements whenever possible (Interview 13, 2016). However, this often neglects to fully consider that decisions, once taken, must also be implemented. The second way of looking at these consultation processes is more “process driven”; the consultation process, even when protracted, is assumed to ultimately lead to resilient consensual decisions that “stand the test of time” (ibid). </w:t>
      </w:r>
    </w:p>
    <w:p w14:paraId="638B8719" w14:textId="76B62214" w:rsidR="002E388C" w:rsidRPr="00E96F08" w:rsidRDefault="002E388C" w:rsidP="00E26E4A">
      <w:pPr>
        <w:pStyle w:val="Newparagraph"/>
        <w:rPr>
          <w:rFonts w:eastAsia="Times New Roman,ＭＳ ゴシック"/>
        </w:rPr>
      </w:pPr>
      <w:r w:rsidRPr="00E96F08">
        <w:rPr>
          <w:rFonts w:eastAsia="Times New Roman,ＭＳ ゴシック"/>
        </w:rPr>
        <w:t xml:space="preserve">PSC ambassadors believe that the committee is </w:t>
      </w:r>
      <w:r w:rsidRPr="00630CBD">
        <w:rPr>
          <w:rFonts w:eastAsia="Times New Roman,ＭＳ ゴシック"/>
        </w:rPr>
        <w:t>designed</w:t>
      </w:r>
      <w:r w:rsidRPr="00E96F08">
        <w:rPr>
          <w:rFonts w:eastAsia="Times New Roman,ＭＳ ゴシック"/>
        </w:rPr>
        <w:t xml:space="preserve"> to reach consensus. Another argument is that it </w:t>
      </w:r>
      <w:r w:rsidR="00630CBD">
        <w:rPr>
          <w:rFonts w:eastAsia="Times New Roman,ＭＳ ゴシック"/>
        </w:rPr>
        <w:t xml:space="preserve">is </w:t>
      </w:r>
      <w:r w:rsidRPr="00E96F08">
        <w:rPr>
          <w:rFonts w:eastAsia="Times New Roman,ＭＳ ゴシック"/>
        </w:rPr>
        <w:t>instinctual for the majority of colleagues to seek b</w:t>
      </w:r>
      <w:r w:rsidR="00630CBD">
        <w:rPr>
          <w:rFonts w:eastAsia="Times New Roman,ＭＳ ゴシック"/>
        </w:rPr>
        <w:t xml:space="preserve">road agreement due to frequent </w:t>
      </w:r>
      <w:r w:rsidR="00630CBD" w:rsidRPr="00630CBD">
        <w:rPr>
          <w:rFonts w:eastAsia="Times New Roman,ＭＳ ゴシック"/>
          <w:i/>
        </w:rPr>
        <w:t>socialising</w:t>
      </w:r>
      <w:r w:rsidRPr="00E96F08">
        <w:rPr>
          <w:rFonts w:eastAsia="Times New Roman,ＭＳ ゴシック"/>
        </w:rPr>
        <w:t>. Beyond that, the capitals actually expect the PSC to “sort issues out” before matters reach the ministerial level where the politics “can get difficult” (Interview 9, 2016). That said, informal negotiations will often be stopped by ambassadors if they feel the formal setting of the PSC will provide its “own dynamics” or room for the “unexpected” to help shape decision-making; for example, unexpected support from a fellow member state (Interview 8, 2016).</w:t>
      </w:r>
    </w:p>
    <w:p w14:paraId="6420142A" w14:textId="4D907FB0" w:rsidR="002E388C" w:rsidRPr="00E96F08" w:rsidRDefault="002E388C" w:rsidP="00E26E4A">
      <w:pPr>
        <w:pStyle w:val="Newparagraph"/>
        <w:rPr>
          <w:rFonts w:eastAsia="Times New Roman,ＭＳ ゴシック"/>
        </w:rPr>
      </w:pPr>
      <w:r w:rsidRPr="00E96F08">
        <w:rPr>
          <w:rFonts w:eastAsiaTheme="majorEastAsia"/>
        </w:rPr>
        <w:lastRenderedPageBreak/>
        <w:t>Interestingly however</w:t>
      </w:r>
      <w:r w:rsidRPr="00E96F08">
        <w:rPr>
          <w:rFonts w:eastAsia="Times New Roman,ＭＳ ゴシック"/>
        </w:rPr>
        <w:t>, between the first and second rounds of data collection, one topic did stand out as particularly discordant within the PSC: migration. Multiple ambassadors intimated that the issue of migration had fractured unity within the EU and for some, the room for ambassadorial manoeuvre had been reduced. Furthermore, this “new dynamic” is said to have also worked its way up to the FAC which, in turn, ties the hands of the EEAS because, on some issues, FAC ministers</w:t>
      </w:r>
      <w:r w:rsidRPr="00E96F08">
        <w:rPr>
          <w:rStyle w:val="CommentReference"/>
          <w:rFonts w:eastAsia="Times New Roman,ＭＳ ゴシック"/>
          <w:sz w:val="24"/>
          <w:szCs w:val="24"/>
          <w:lang w:eastAsia="zh-CN"/>
        </w:rPr>
        <w:t xml:space="preserve"> </w:t>
      </w:r>
      <w:r w:rsidRPr="00E96F08">
        <w:rPr>
          <w:rStyle w:val="CommentReference"/>
          <w:sz w:val="24"/>
          <w:szCs w:val="24"/>
          <w:lang w:eastAsia="zh-CN"/>
        </w:rPr>
        <w:t xml:space="preserve">have sent instructions that they </w:t>
      </w:r>
      <w:r w:rsidRPr="00E96F08">
        <w:rPr>
          <w:rFonts w:eastAsia="Times New Roman,ＭＳ ゴシック"/>
        </w:rPr>
        <w:t>prefer no ‘official’ agreement in the PSC if their interests are not met (Interview 8, 9, 12: 2016).</w:t>
      </w:r>
    </w:p>
    <w:p w14:paraId="7D2F798A" w14:textId="62182457" w:rsidR="002E388C" w:rsidRPr="00E96F08" w:rsidRDefault="002E388C" w:rsidP="00E26E4A">
      <w:pPr>
        <w:pStyle w:val="Heading3"/>
        <w:rPr>
          <w:rFonts w:cs="Times New Roman"/>
        </w:rPr>
      </w:pPr>
      <w:r w:rsidRPr="00E96F08">
        <w:rPr>
          <w:rFonts w:cs="Times New Roman"/>
        </w:rPr>
        <w:t>PSC-NAC meetings</w:t>
      </w:r>
    </w:p>
    <w:p w14:paraId="72F351A9" w14:textId="12B34209" w:rsidR="002E388C" w:rsidRPr="00E96F08" w:rsidRDefault="002E388C" w:rsidP="00C746F4">
      <w:pPr>
        <w:spacing w:line="480" w:lineRule="auto"/>
        <w:rPr>
          <w:rFonts w:ascii="Times New Roman" w:hAnsi="Times New Roman" w:cs="Times New Roman"/>
          <w:sz w:val="24"/>
          <w:szCs w:val="24"/>
        </w:rPr>
      </w:pPr>
      <w:r w:rsidRPr="00E96F08">
        <w:rPr>
          <w:rFonts w:ascii="Times New Roman" w:hAnsi="Times New Roman" w:cs="Times New Roman"/>
          <w:sz w:val="24"/>
          <w:szCs w:val="24"/>
        </w:rPr>
        <w:t>As our data above shows, both the PSC and NAC ambassadors convene frequently to consult both formally and informally. When they do, they do not just see their role in presenting and defending national positions but also, and often regardless of specific preference, in persuading others to reach an outcome. However, at the informal PSC-NAC meetings this does not arise because, under the agreed framework, no agreed actionable outcomes are permissible. As such, seeking consensus in the narrow sense is less relevant in this forum, and is reflected only in the preparation of the agenda and for scheduling future meetings.</w:t>
      </w:r>
    </w:p>
    <w:p w14:paraId="706840F4" w14:textId="4A021A85" w:rsidR="002E388C" w:rsidRPr="00E96F08" w:rsidRDefault="002E388C" w:rsidP="00866A62">
      <w:pPr>
        <w:spacing w:line="480" w:lineRule="auto"/>
        <w:ind w:firstLine="720"/>
        <w:rPr>
          <w:rFonts w:ascii="Times New Roman" w:hAnsi="Times New Roman" w:cs="Times New Roman"/>
          <w:sz w:val="24"/>
          <w:szCs w:val="24"/>
        </w:rPr>
      </w:pPr>
      <w:r w:rsidRPr="00E96F08">
        <w:rPr>
          <w:rFonts w:ascii="Times New Roman" w:hAnsi="Times New Roman" w:cs="Times New Roman"/>
          <w:sz w:val="24"/>
          <w:szCs w:val="24"/>
        </w:rPr>
        <w:t xml:space="preserve">Once the agenda has been agreed, views are exchanged but no decisions can be taken. The purpose of these joint meetings is not merely for the PSC too update the NAC on how it views a particular issue or vice versa. The joint NAC-PSC meetings are also a platform for the member states to individually announce their preferences on a given issue and express how they see the two organisations best perform towards common interests. National delegations express their position as states, not as members of either the EU or NATO (Interview 10, 2016). What points in that direction is also that many ambassadors found hearing the views of non-common member states to be the most useful outcome of </w:t>
      </w:r>
      <w:r w:rsidRPr="00E96F08">
        <w:rPr>
          <w:rFonts w:ascii="Times New Roman" w:hAnsi="Times New Roman" w:cs="Times New Roman"/>
          <w:sz w:val="24"/>
          <w:szCs w:val="24"/>
        </w:rPr>
        <w:lastRenderedPageBreak/>
        <w:t>these meetings (ibid.), although the general sense prevailed that the meetings were not as fruitful as they should be.</w:t>
      </w:r>
    </w:p>
    <w:p w14:paraId="5C7DE2B2" w14:textId="6AA6260A" w:rsidR="002E388C" w:rsidRPr="00E96F08" w:rsidRDefault="002E388C" w:rsidP="00E26E4A">
      <w:pPr>
        <w:pStyle w:val="Newparagraph"/>
        <w:rPr>
          <w:rFonts w:eastAsiaTheme="majorEastAsia"/>
        </w:rPr>
      </w:pPr>
      <w:r w:rsidRPr="00E96F08">
        <w:rPr>
          <w:rFonts w:eastAsiaTheme="majorEastAsia"/>
        </w:rPr>
        <w:t xml:space="preserve">It was also clear from the data that this forum was not the setting of choice for the “usual suspects” or others to protest their various grievances with respect to the political blockages that restrict further EU-NATO cooperation. For the most part, the ambassadors tend to be “on their best behaviour”, meaning that there are normally no “direct confrontations” (Interview 10, 2016). In short, they do not seek consensus on the key EU-NATO blockages or sensitivities in these informal NAC-PSC meetings. </w:t>
      </w:r>
    </w:p>
    <w:p w14:paraId="6E36D9CA" w14:textId="0493E36F" w:rsidR="002E388C" w:rsidRPr="00E96F08" w:rsidRDefault="002E388C" w:rsidP="00E26E4A">
      <w:pPr>
        <w:pStyle w:val="Heading2"/>
        <w:rPr>
          <w:rFonts w:cs="Times New Roman"/>
        </w:rPr>
      </w:pPr>
      <w:r w:rsidRPr="00E96F08">
        <w:rPr>
          <w:rFonts w:cs="Times New Roman"/>
        </w:rPr>
        <w:t>The role of the ambassador – “the rhythm of work”</w:t>
      </w:r>
      <w:r w:rsidRPr="00E96F08">
        <w:rPr>
          <w:rFonts w:cs="Times New Roman"/>
          <w:vertAlign w:val="superscript"/>
        </w:rPr>
        <w:endnoteReference w:id="28"/>
      </w:r>
    </w:p>
    <w:p w14:paraId="5D80BFCE" w14:textId="71DF0D5B" w:rsidR="002E388C" w:rsidRPr="00E96F08" w:rsidRDefault="002E388C" w:rsidP="00C746F4">
      <w:pPr>
        <w:spacing w:line="480" w:lineRule="auto"/>
        <w:rPr>
          <w:rFonts w:ascii="Times New Roman" w:eastAsia="Times New Roman,ＭＳ ゴシック" w:hAnsi="Times New Roman" w:cs="Times New Roman"/>
          <w:sz w:val="24"/>
          <w:szCs w:val="24"/>
        </w:rPr>
      </w:pPr>
      <w:r w:rsidRPr="00E96F08">
        <w:rPr>
          <w:rFonts w:ascii="Times New Roman" w:eastAsia="Times New Roman,ＭＳ ゴシック" w:hAnsi="Times New Roman" w:cs="Times New Roman"/>
          <w:sz w:val="24"/>
          <w:szCs w:val="24"/>
        </w:rPr>
        <w:t xml:space="preserve">Consensus-seeking is not just a property of the general behaviour within the PSC and the NAC specifically, but is of course also a property of the role of the ambassador in general. In the interviews, most of our interlocutors referred to the abovementioned processes as part of their job of ambassador, and therefore, not as anything necessarily unusual. We found this aspect of the argument to serve as a useful variable in the exploration of decision-making mechanisms in these entities, and therefore derives a specific set of sub-categories in this context: </w:t>
      </w:r>
      <w:r w:rsidRPr="00E96F08">
        <w:rPr>
          <w:rFonts w:ascii="Times New Roman" w:eastAsia="Times New Roman,ＭＳ ゴシック" w:hAnsi="Times New Roman" w:cs="Times New Roman"/>
          <w:i/>
          <w:sz w:val="24"/>
          <w:szCs w:val="24"/>
        </w:rPr>
        <w:t>professionalism</w:t>
      </w:r>
      <w:r w:rsidRPr="00E96F08">
        <w:rPr>
          <w:rStyle w:val="EndnoteReference"/>
          <w:rFonts w:ascii="Times New Roman" w:eastAsia="Times New Roman,ＭＳ ゴシック" w:hAnsi="Times New Roman" w:cs="Times New Roman"/>
          <w:sz w:val="24"/>
          <w:szCs w:val="24"/>
        </w:rPr>
        <w:endnoteReference w:id="29"/>
      </w:r>
      <w:r w:rsidRPr="00E96F08">
        <w:rPr>
          <w:rFonts w:ascii="Times New Roman" w:eastAsia="Times New Roman,ＭＳ ゴシック" w:hAnsi="Times New Roman" w:cs="Times New Roman"/>
          <w:sz w:val="24"/>
          <w:szCs w:val="24"/>
        </w:rPr>
        <w:t xml:space="preserve">, </w:t>
      </w:r>
      <w:r w:rsidRPr="00E96F08">
        <w:rPr>
          <w:rFonts w:ascii="Times New Roman" w:eastAsia="Times New Roman,ＭＳ ゴシック" w:hAnsi="Times New Roman" w:cs="Times New Roman"/>
          <w:i/>
          <w:sz w:val="24"/>
          <w:szCs w:val="24"/>
        </w:rPr>
        <w:t>expertise</w:t>
      </w:r>
      <w:r w:rsidRPr="00E96F08">
        <w:rPr>
          <w:rStyle w:val="EndnoteReference"/>
          <w:rFonts w:ascii="Times New Roman" w:eastAsia="Times New Roman,ＭＳ ゴシック" w:hAnsi="Times New Roman" w:cs="Times New Roman"/>
          <w:i/>
          <w:sz w:val="24"/>
          <w:szCs w:val="24"/>
        </w:rPr>
        <w:endnoteReference w:id="30"/>
      </w:r>
      <w:r w:rsidRPr="00E96F08">
        <w:rPr>
          <w:rFonts w:ascii="Times New Roman" w:eastAsia="Times New Roman,ＭＳ ゴシック" w:hAnsi="Times New Roman" w:cs="Times New Roman"/>
          <w:i/>
          <w:sz w:val="24"/>
          <w:szCs w:val="24"/>
        </w:rPr>
        <w:t>, freedom of manoeuvre</w:t>
      </w:r>
      <w:r w:rsidRPr="00E96F08">
        <w:rPr>
          <w:rStyle w:val="EndnoteReference"/>
          <w:rFonts w:ascii="Times New Roman" w:eastAsia="Times New Roman,ＭＳ ゴシック" w:hAnsi="Times New Roman" w:cs="Times New Roman"/>
          <w:sz w:val="24"/>
          <w:szCs w:val="24"/>
        </w:rPr>
        <w:endnoteReference w:id="31"/>
      </w:r>
      <w:r w:rsidRPr="00E96F08">
        <w:rPr>
          <w:rFonts w:ascii="Times New Roman" w:eastAsia="Times New Roman,ＭＳ ゴシック" w:hAnsi="Times New Roman" w:cs="Times New Roman"/>
          <w:sz w:val="24"/>
          <w:szCs w:val="24"/>
        </w:rPr>
        <w:t xml:space="preserve">, and </w:t>
      </w:r>
      <w:r w:rsidRPr="00E96F08">
        <w:rPr>
          <w:rFonts w:ascii="Times New Roman" w:eastAsia="Times New Roman,ＭＳ ゴシック" w:hAnsi="Times New Roman" w:cs="Times New Roman"/>
          <w:i/>
          <w:sz w:val="24"/>
          <w:szCs w:val="24"/>
        </w:rPr>
        <w:t>personality</w:t>
      </w:r>
      <w:r w:rsidRPr="00E96F08">
        <w:rPr>
          <w:rStyle w:val="EndnoteReference"/>
          <w:rFonts w:ascii="Times New Roman" w:eastAsia="Times New Roman,ＭＳ ゴシック" w:hAnsi="Times New Roman" w:cs="Times New Roman"/>
          <w:sz w:val="24"/>
          <w:szCs w:val="24"/>
        </w:rPr>
        <w:endnoteReference w:id="32"/>
      </w:r>
      <w:r w:rsidRPr="00E96F08">
        <w:rPr>
          <w:rFonts w:ascii="Times New Roman" w:eastAsia="Times New Roman,ＭＳ ゴシック" w:hAnsi="Times New Roman" w:cs="Times New Roman"/>
          <w:sz w:val="24"/>
          <w:szCs w:val="24"/>
        </w:rPr>
        <w:t>. The following sections compare the PSC and the NAC along these sub-categories and their impact on decision-making, before turning to an assessment of ‘the rhythm of work’ at the joint PSC-NAC meetings.</w:t>
      </w:r>
    </w:p>
    <w:p w14:paraId="40496876" w14:textId="34BE1DA2" w:rsidR="002E388C" w:rsidRPr="00E96F08" w:rsidRDefault="002E388C" w:rsidP="002924C2">
      <w:pPr>
        <w:pStyle w:val="Heading3"/>
        <w:rPr>
          <w:rFonts w:eastAsia="Times New Roman,ＭＳ ゴシック" w:cs="Times New Roman"/>
          <w:i w:val="0"/>
          <w:szCs w:val="24"/>
        </w:rPr>
      </w:pPr>
      <w:r w:rsidRPr="00E96F08">
        <w:rPr>
          <w:rFonts w:cs="Times New Roman"/>
        </w:rPr>
        <w:t>The PSC and the NAC in comparison</w:t>
      </w:r>
      <w:r w:rsidRPr="00E96F08" w:rsidDel="00FD3CBC">
        <w:rPr>
          <w:rFonts w:eastAsia="Times New Roman,ＭＳ ゴシック" w:cs="Times New Roman"/>
          <w:i w:val="0"/>
          <w:szCs w:val="24"/>
        </w:rPr>
        <w:t xml:space="preserve"> </w:t>
      </w:r>
    </w:p>
    <w:p w14:paraId="36DDEEAC" w14:textId="34F0984E" w:rsidR="002E388C" w:rsidRPr="00E96F08" w:rsidRDefault="002E388C" w:rsidP="00C746F4">
      <w:pPr>
        <w:spacing w:line="480" w:lineRule="auto"/>
        <w:rPr>
          <w:rFonts w:ascii="Times New Roman" w:hAnsi="Times New Roman" w:cs="Times New Roman"/>
          <w:color w:val="000000" w:themeColor="text1"/>
          <w:sz w:val="24"/>
          <w:szCs w:val="24"/>
        </w:rPr>
      </w:pPr>
      <w:r w:rsidRPr="00E96F08">
        <w:rPr>
          <w:rFonts w:ascii="Times New Roman" w:hAnsi="Times New Roman" w:cs="Times New Roman"/>
          <w:sz w:val="24"/>
          <w:szCs w:val="24"/>
        </w:rPr>
        <w:t xml:space="preserve">In both the NAC and the PSC working environment, </w:t>
      </w:r>
      <w:r w:rsidRPr="00E96F08">
        <w:rPr>
          <w:rFonts w:ascii="Times New Roman" w:hAnsi="Times New Roman" w:cs="Times New Roman"/>
          <w:i/>
          <w:sz w:val="24"/>
          <w:szCs w:val="24"/>
        </w:rPr>
        <w:t>professionalism</w:t>
      </w:r>
      <w:r w:rsidRPr="00E96F08">
        <w:rPr>
          <w:rFonts w:ascii="Times New Roman" w:hAnsi="Times New Roman" w:cs="Times New Roman"/>
          <w:sz w:val="24"/>
          <w:szCs w:val="24"/>
        </w:rPr>
        <w:t xml:space="preserve"> is demonstrably seen as a key factor in the interlocutors’ working lives.  A strong sense of friendship was also discernible with “away days” being part of the job in both, the NAC and the PSC (Interview 10, 2016).  Most described an atmosphere whereby a level of “fundamental </w:t>
      </w:r>
      <w:r w:rsidRPr="00E96F08">
        <w:rPr>
          <w:rFonts w:ascii="Times New Roman" w:hAnsi="Times New Roman" w:cs="Times New Roman"/>
          <w:sz w:val="24"/>
          <w:szCs w:val="24"/>
        </w:rPr>
        <w:lastRenderedPageBreak/>
        <w:t>respect and consideration” existed in both institutions (Interview 5, 2012). In both the PSC and the NAC, efficiency and completing functional tasks is the driving force behind consensus.  This is more often than not a basic determination to, in the PSC, get to conclusions before the COREPER ministerial at the end of the month, “so everybody will be happy”.  In the NAC, it is intended to close a dossier or a particular issue.  “Once a topic is tabled here in the NAC, it is concluded”. “Always, even if we can’t take a decision then you sense at all times the will of all to come to a conclusion.  […]  I can’t think of any dead files” (Interview 3, 2016).</w:t>
      </w:r>
    </w:p>
    <w:p w14:paraId="7351A283" w14:textId="5097C5C7" w:rsidR="002E388C" w:rsidRPr="00E96F08" w:rsidRDefault="002E388C" w:rsidP="00C746F4">
      <w:pPr>
        <w:spacing w:line="480" w:lineRule="auto"/>
        <w:ind w:firstLine="426"/>
        <w:rPr>
          <w:rFonts w:ascii="Times New Roman" w:hAnsi="Times New Roman" w:cs="Times New Roman"/>
          <w:sz w:val="24"/>
          <w:szCs w:val="24"/>
        </w:rPr>
      </w:pPr>
      <w:r w:rsidRPr="00E96F08">
        <w:rPr>
          <w:rFonts w:ascii="Times New Roman" w:hAnsi="Times New Roman" w:cs="Times New Roman"/>
          <w:color w:val="000000" w:themeColor="text1"/>
          <w:sz w:val="24"/>
          <w:szCs w:val="24"/>
        </w:rPr>
        <w:t xml:space="preserve">While there is a sense of professional collegiality and treating others with equal respect and consideration, one can infer from the data that there are important differences within their respective groups regarding the ability of specific ambassadors to guide discussions and negotiations. </w:t>
      </w:r>
      <w:r w:rsidRPr="00E96F08">
        <w:rPr>
          <w:rFonts w:ascii="Times New Roman" w:hAnsi="Times New Roman" w:cs="Times New Roman"/>
          <w:sz w:val="24"/>
          <w:szCs w:val="24"/>
        </w:rPr>
        <w:t xml:space="preserve">A sub-category that emerged from the data is the </w:t>
      </w:r>
      <w:r w:rsidRPr="00E96F08">
        <w:rPr>
          <w:rFonts w:ascii="Times New Roman" w:hAnsi="Times New Roman" w:cs="Times New Roman"/>
          <w:i/>
          <w:sz w:val="24"/>
          <w:szCs w:val="24"/>
        </w:rPr>
        <w:t>expertise</w:t>
      </w:r>
      <w:r w:rsidRPr="00E96F08">
        <w:rPr>
          <w:rFonts w:ascii="Times New Roman" w:hAnsi="Times New Roman" w:cs="Times New Roman"/>
          <w:sz w:val="24"/>
          <w:szCs w:val="24"/>
        </w:rPr>
        <w:t xml:space="preserve"> conveyed by the ambassadors in each forum. One understanding of expertise relates to the specific national interests the ambassadors appear to represent. One particular reflection from a PSC ambassador illustrates how particular national priorities appear to stir particular diplomatic representatives into certain directions, which is often expressed in particularly well-founded positions:</w:t>
      </w:r>
    </w:p>
    <w:p w14:paraId="79517741" w14:textId="77777777" w:rsidR="002E388C" w:rsidRPr="00E96F08" w:rsidRDefault="002E388C" w:rsidP="006C3F95">
      <w:pPr>
        <w:pStyle w:val="Abstract"/>
      </w:pPr>
      <w:r w:rsidRPr="00E96F08">
        <w:t>Austrians will always make the point of involving NGOs […] and people will listen, because [Austria] know[s] NGOs. […] Spain, Sweden, Finland will always bring forward the role of women in peace and security matters, and if they want something in, some may think [this is not crucial], but they will let them. They know their stuff […] they will not come up with nonsense. So expertise matters (Interview 12, 2016).</w:t>
      </w:r>
    </w:p>
    <w:p w14:paraId="1F8BE9E3" w14:textId="61BB3FDC" w:rsidR="002E388C" w:rsidRPr="00E96F08" w:rsidRDefault="002E388C" w:rsidP="00C746F4">
      <w:pPr>
        <w:spacing w:line="480" w:lineRule="auto"/>
        <w:rPr>
          <w:rFonts w:ascii="Times New Roman" w:hAnsi="Times New Roman" w:cs="Times New Roman"/>
          <w:sz w:val="24"/>
          <w:szCs w:val="24"/>
        </w:rPr>
      </w:pPr>
      <w:r w:rsidRPr="00E96F08">
        <w:rPr>
          <w:rFonts w:ascii="Times New Roman" w:hAnsi="Times New Roman" w:cs="Times New Roman"/>
          <w:sz w:val="24"/>
          <w:szCs w:val="24"/>
        </w:rPr>
        <w:t xml:space="preserve">Besides the expertise based on states’ special interests, the data also conveys that expertise matters in the sense of experience and seniority of the ambassadors themselves. In many cases there is a “common understanding” between the capital and the delegation of the issue, “the national position, and a common understanding of the red lines” (Interview 5, </w:t>
      </w:r>
      <w:r w:rsidRPr="00E96F08">
        <w:rPr>
          <w:rFonts w:ascii="Times New Roman" w:hAnsi="Times New Roman" w:cs="Times New Roman"/>
          <w:sz w:val="24"/>
          <w:szCs w:val="24"/>
        </w:rPr>
        <w:lastRenderedPageBreak/>
        <w:t xml:space="preserve">2012). If it becomes “serious”, then the ambassador […] has to go back to the capital. and this very much depends on the “personal weight and reputation of the ambassador” (Ibid). </w:t>
      </w:r>
    </w:p>
    <w:p w14:paraId="674B7FBE" w14:textId="2829DCC3" w:rsidR="002E388C" w:rsidRPr="00E96F08" w:rsidRDefault="002E388C" w:rsidP="00C746F4">
      <w:pPr>
        <w:spacing w:line="480" w:lineRule="auto"/>
        <w:ind w:firstLine="720"/>
        <w:rPr>
          <w:rFonts w:ascii="Times New Roman" w:eastAsia="Times New Roman,ＭＳ ゴシック" w:hAnsi="Times New Roman" w:cs="Times New Roman"/>
          <w:sz w:val="24"/>
          <w:szCs w:val="24"/>
        </w:rPr>
      </w:pPr>
      <w:r w:rsidRPr="00E96F08">
        <w:rPr>
          <w:rFonts w:ascii="Times New Roman" w:eastAsia="Times New Roman,ＭＳ ゴシック" w:hAnsi="Times New Roman" w:cs="Times New Roman"/>
          <w:sz w:val="24"/>
          <w:szCs w:val="24"/>
        </w:rPr>
        <w:t xml:space="preserve">There are two types of ambassadors in the EU; only the junior ambassadors in the PSC deal with political-strategic issues and pol/mil issues. The senior level ambassadors reside at the COREPER and the Council level. In the PSC, ambassadors, on balance, tend to also be more junior vis-à-vis their NAC counterpart; although this can vary between member states (Interviews 2, 3, 5, 11: 2012-2016). Discussions with ambassadors who had experience working in both bodies were especially revealing. One PSC ambassador who had extensive previous experience as a NAC ambassador was particularly candid: </w:t>
      </w:r>
    </w:p>
    <w:p w14:paraId="77CCE735" w14:textId="769F0E3F" w:rsidR="002E388C" w:rsidRPr="00E96F08" w:rsidRDefault="002E388C" w:rsidP="00C31CF3">
      <w:pPr>
        <w:pStyle w:val="Displayedquotation"/>
      </w:pPr>
      <w:r w:rsidRPr="00E96F08">
        <w:t xml:space="preserve">You cannot really compare the two, they are completely different worlds. NAC ambassadors are the bosses, they are gods. […] Decisions in NATO are made by NAC ambassadors, with the instructions from governments of course. […] In the EU, even permanent representatives are small fry. The EU institutions, the bureaucrats believe they are the bosses (Interview 10, 2016). </w:t>
      </w:r>
    </w:p>
    <w:p w14:paraId="746CB60D" w14:textId="32375337" w:rsidR="002E388C" w:rsidRPr="00E96F08" w:rsidDel="00A55145" w:rsidRDefault="002E388C" w:rsidP="00C746F4">
      <w:pPr>
        <w:spacing w:line="480" w:lineRule="auto"/>
        <w:rPr>
          <w:rFonts w:ascii="Times New Roman" w:hAnsi="Times New Roman" w:cs="Times New Roman"/>
          <w:sz w:val="24"/>
          <w:szCs w:val="24"/>
        </w:rPr>
      </w:pPr>
      <w:r w:rsidRPr="00E96F08">
        <w:rPr>
          <w:rFonts w:ascii="Times New Roman" w:eastAsia="Times New Roman,ＭＳ ゴシック" w:hAnsi="Times New Roman" w:cs="Times New Roman"/>
          <w:sz w:val="24"/>
          <w:szCs w:val="24"/>
        </w:rPr>
        <w:t>Due to this relative lack of decision-making autonomy and the particular position of the PSC within the organisational hierarchy of the EU, the role of the ambassadors there differs somewhat from that in the NAC. The PSC ambassadors do not just defend the interest of their own member state; they generally represent the intergovernmental dimension vis-à-vis the supranational institutions of the EU, meaning the Commission and the EEAS. In other words, the Member States (and the ambassadors) see the PSC as a “</w:t>
      </w:r>
      <w:r w:rsidRPr="00E96F08">
        <w:rPr>
          <w:rFonts w:ascii="Times New Roman" w:eastAsia="Times,Times New Roman" w:hAnsi="Times New Roman" w:cs="Times New Roman"/>
          <w:sz w:val="24"/>
          <w:szCs w:val="24"/>
        </w:rPr>
        <w:t>bulwark</w:t>
      </w:r>
      <w:r w:rsidRPr="00E96F08">
        <w:rPr>
          <w:rFonts w:ascii="Times New Roman" w:eastAsia="Times New Roman,ＭＳ ゴシック" w:hAnsi="Times New Roman" w:cs="Times New Roman"/>
          <w:sz w:val="24"/>
          <w:szCs w:val="24"/>
        </w:rPr>
        <w:t>” against these other EU institutions (Interview 10, 2016).</w:t>
      </w:r>
      <w:r w:rsidR="00347FD1">
        <w:rPr>
          <w:rStyle w:val="EndnoteReference"/>
          <w:rFonts w:ascii="Times New Roman" w:eastAsia="Times New Roman,ＭＳ ゴシック" w:hAnsi="Times New Roman" w:cs="Times New Roman"/>
          <w:sz w:val="24"/>
          <w:szCs w:val="24"/>
        </w:rPr>
        <w:endnoteReference w:id="33"/>
      </w:r>
    </w:p>
    <w:p w14:paraId="6EF4BE00" w14:textId="039E8B90" w:rsidR="002E388C" w:rsidRPr="00E96F08" w:rsidRDefault="002E388C" w:rsidP="001940C1">
      <w:pPr>
        <w:pStyle w:val="Newparagraph"/>
      </w:pPr>
      <w:r w:rsidRPr="00E96F08">
        <w:t xml:space="preserve">Some senior NATO ambassadors are in a significantly better position than those in the PSC, and have the authority to go back to their national governments and directly ask for “changes” in the instructions from their ministry (Interview 5, 2012). They can even go beyond their mandate because they have the authority to negotiate, and therefore, some freedom to manoeuvre. For other nations, like Turkey for example, the actual leverage they </w:t>
      </w:r>
      <w:r w:rsidRPr="00E96F08">
        <w:lastRenderedPageBreak/>
        <w:t>have in negotiations more often depends on the level of experience and relative authority of the chair (Interview 5, 2012).</w:t>
      </w:r>
    </w:p>
    <w:p w14:paraId="41ABEE90" w14:textId="118821B2" w:rsidR="00506299" w:rsidRPr="00E96F08" w:rsidRDefault="002E388C" w:rsidP="00506299">
      <w:pPr>
        <w:pStyle w:val="Newparagraph"/>
      </w:pPr>
      <w:r w:rsidRPr="00E96F08">
        <w:t xml:space="preserve">The sub-category of expertise, especially in the sense of experience is therefore closely linked to the sub-category of </w:t>
      </w:r>
      <w:r w:rsidRPr="00E96F08">
        <w:rPr>
          <w:i/>
        </w:rPr>
        <w:t>freedom of manoeuvre</w:t>
      </w:r>
      <w:r w:rsidRPr="00E96F08">
        <w:t>. In the case above, more senior and experienced ambassadors possess the necessary expertise to manoeuvre in negotiations both within the organization but also between the organization and their capital. However, expertise alone is not sufficient to determine the extent of such freedom. The freedom to manoeuvre is also determined by the member states’ administrative and diplomatic culture in the capital. For example, for the NAC French delegation, highly political issues need to be coordinated between their inter-agencies; the general staff, the Ministry of Defence, and the Élysée.</w:t>
      </w:r>
      <w:r w:rsidRPr="00E96F08">
        <w:rPr>
          <w:rStyle w:val="EndnoteReference"/>
        </w:rPr>
        <w:endnoteReference w:id="34"/>
      </w:r>
      <w:r w:rsidRPr="00E96F08">
        <w:t xml:space="preserve"> </w:t>
      </w:r>
      <w:r w:rsidR="00174B64" w:rsidRPr="00E96F08">
        <w:t xml:space="preserve"> </w:t>
      </w:r>
      <w:r w:rsidR="00B23684" w:rsidRPr="00E96F08">
        <w:t>Consequently</w:t>
      </w:r>
      <w:r w:rsidR="00BE5CBC" w:rsidRPr="00E96F08">
        <w:t xml:space="preserve">, France’s more hierarchical and presidential system can often restrict the ambassador </w:t>
      </w:r>
      <w:r w:rsidR="00174B64" w:rsidRPr="00E96F08">
        <w:t xml:space="preserve">in </w:t>
      </w:r>
      <w:r w:rsidR="00DF4334" w:rsidRPr="00E96F08">
        <w:t xml:space="preserve">either the </w:t>
      </w:r>
      <w:r w:rsidR="00174B64" w:rsidRPr="00E96F08">
        <w:t xml:space="preserve">NAC or </w:t>
      </w:r>
      <w:r w:rsidR="00DF4334" w:rsidRPr="00E96F08">
        <w:t>at c</w:t>
      </w:r>
      <w:r w:rsidR="00174B64" w:rsidRPr="00E96F08">
        <w:t>ommittee</w:t>
      </w:r>
      <w:r w:rsidR="00DF4334" w:rsidRPr="00E96F08">
        <w:t xml:space="preserve"> level</w:t>
      </w:r>
      <w:r w:rsidR="0016391D" w:rsidRPr="00E96F08">
        <w:t xml:space="preserve"> (Interview 5, 2012)</w:t>
      </w:r>
      <w:r w:rsidR="00BE5CBC" w:rsidRPr="00E96F08">
        <w:t xml:space="preserve">. </w:t>
      </w:r>
      <w:r w:rsidR="00174B64" w:rsidRPr="00E96F08">
        <w:t xml:space="preserve">The UK ambassador </w:t>
      </w:r>
      <w:r w:rsidR="00BE5CBC" w:rsidRPr="00E96F08">
        <w:t xml:space="preserve">on the other hand has more freedom to </w:t>
      </w:r>
      <w:r w:rsidR="00E513F7" w:rsidRPr="00E96F08">
        <w:t>manoeuvre</w:t>
      </w:r>
      <w:r w:rsidR="00BE5CBC" w:rsidRPr="00E96F08">
        <w:t>, to act and negotiate</w:t>
      </w:r>
      <w:r w:rsidR="00CC536C" w:rsidRPr="00E96F08">
        <w:t>, due to the UK’s</w:t>
      </w:r>
      <w:r w:rsidR="00174B64" w:rsidRPr="00E96F08">
        <w:t xml:space="preserve"> integrated approach</w:t>
      </w:r>
      <w:r w:rsidR="002512EF" w:rsidRPr="00E96F08">
        <w:t>, which brings</w:t>
      </w:r>
      <w:r w:rsidR="00174B64" w:rsidRPr="00E96F08">
        <w:t xml:space="preserve"> </w:t>
      </w:r>
      <w:r w:rsidR="002512EF" w:rsidRPr="00E96F08">
        <w:t>both</w:t>
      </w:r>
      <w:r w:rsidR="00CC536C" w:rsidRPr="00E96F08">
        <w:t xml:space="preserve"> foreign and defen</w:t>
      </w:r>
      <w:r w:rsidR="00F154F3" w:rsidRPr="00E96F08">
        <w:t>c</w:t>
      </w:r>
      <w:r w:rsidR="00CC536C" w:rsidRPr="00E96F08">
        <w:t>e m</w:t>
      </w:r>
      <w:r w:rsidR="002512EF" w:rsidRPr="00E96F08">
        <w:t>inistries into their delegation</w:t>
      </w:r>
      <w:r w:rsidR="0016391D" w:rsidRPr="00E96F08">
        <w:t xml:space="preserve"> (ibid)</w:t>
      </w:r>
      <w:r w:rsidR="00CC536C" w:rsidRPr="00E96F08">
        <w:t xml:space="preserve">. </w:t>
      </w:r>
      <w:r w:rsidR="00174B64" w:rsidRPr="00E96F08">
        <w:t>The smaller nations follow their instruction</w:t>
      </w:r>
      <w:r w:rsidR="006A19BB" w:rsidRPr="00E96F08">
        <w:t>s</w:t>
      </w:r>
      <w:r w:rsidR="00174B64" w:rsidRPr="00E96F08">
        <w:t xml:space="preserve"> </w:t>
      </w:r>
      <w:r w:rsidR="00DF4334" w:rsidRPr="00E96F08">
        <w:t xml:space="preserve">more tightly </w:t>
      </w:r>
      <w:r w:rsidR="00174B64" w:rsidRPr="00E96F08">
        <w:t xml:space="preserve">and are </w:t>
      </w:r>
      <w:r w:rsidR="00F154F3" w:rsidRPr="00E96F08">
        <w:t xml:space="preserve">often </w:t>
      </w:r>
      <w:r w:rsidR="00174B64" w:rsidRPr="00E96F08">
        <w:t xml:space="preserve">not </w:t>
      </w:r>
      <w:r w:rsidR="00DF4334" w:rsidRPr="00E96F08">
        <w:t>able to</w:t>
      </w:r>
      <w:r w:rsidR="00174B64" w:rsidRPr="00E96F08">
        <w:t xml:space="preserve"> make </w:t>
      </w:r>
      <w:r w:rsidR="00101E99" w:rsidRPr="00E96F08">
        <w:t xml:space="preserve">substantial </w:t>
      </w:r>
      <w:r w:rsidR="00174B64" w:rsidRPr="00E96F08">
        <w:t>decisions</w:t>
      </w:r>
      <w:r w:rsidR="00D55C60" w:rsidRPr="00E96F08">
        <w:t xml:space="preserve"> (Interview 5, 2012)</w:t>
      </w:r>
      <w:r w:rsidR="00174B64" w:rsidRPr="00E96F08">
        <w:t>.</w:t>
      </w:r>
    </w:p>
    <w:p w14:paraId="36149384" w14:textId="2AD1FCB8" w:rsidR="007B17E1" w:rsidRPr="00E96F08" w:rsidRDefault="00DE1DCC" w:rsidP="00506299">
      <w:pPr>
        <w:pStyle w:val="Newparagraph"/>
      </w:pPr>
      <w:r w:rsidRPr="00E96F08">
        <w:rPr>
          <w:rFonts w:eastAsiaTheme="majorEastAsia"/>
        </w:rPr>
        <w:t xml:space="preserve">Finally, the freedom of </w:t>
      </w:r>
      <w:r w:rsidR="00E513F7" w:rsidRPr="00E96F08">
        <w:t>manoeuvre</w:t>
      </w:r>
      <w:r w:rsidR="009A74E3" w:rsidRPr="00E96F08">
        <w:t xml:space="preserve"> </w:t>
      </w:r>
      <w:r w:rsidRPr="00E96F08">
        <w:rPr>
          <w:rFonts w:eastAsiaTheme="majorEastAsia"/>
        </w:rPr>
        <w:t xml:space="preserve">is tightly </w:t>
      </w:r>
      <w:r w:rsidR="002E430F" w:rsidRPr="00E96F08">
        <w:rPr>
          <w:rFonts w:eastAsiaTheme="majorEastAsia"/>
        </w:rPr>
        <w:t>connected</w:t>
      </w:r>
      <w:r w:rsidR="002512EF" w:rsidRPr="00E96F08">
        <w:rPr>
          <w:rFonts w:eastAsiaTheme="majorEastAsia"/>
        </w:rPr>
        <w:t xml:space="preserve"> to the sub-category of </w:t>
      </w:r>
      <w:r w:rsidRPr="00E96F08">
        <w:rPr>
          <w:rFonts w:eastAsiaTheme="majorEastAsia"/>
          <w:i/>
        </w:rPr>
        <w:t>personality</w:t>
      </w:r>
      <w:r w:rsidRPr="00E96F08">
        <w:rPr>
          <w:rFonts w:eastAsiaTheme="majorEastAsia"/>
        </w:rPr>
        <w:t>, which correlates</w:t>
      </w:r>
      <w:r w:rsidR="002E430F" w:rsidRPr="00E96F08">
        <w:rPr>
          <w:rFonts w:eastAsiaTheme="majorEastAsia"/>
        </w:rPr>
        <w:t xml:space="preserve"> positively</w:t>
      </w:r>
      <w:r w:rsidRPr="00E96F08">
        <w:rPr>
          <w:rFonts w:eastAsiaTheme="majorEastAsia"/>
        </w:rPr>
        <w:t xml:space="preserve"> </w:t>
      </w:r>
      <w:r w:rsidR="000E3D0C" w:rsidRPr="00E96F08">
        <w:rPr>
          <w:rFonts w:eastAsiaTheme="majorEastAsia"/>
        </w:rPr>
        <w:t xml:space="preserve">with </w:t>
      </w:r>
      <w:r w:rsidRPr="00E96F08">
        <w:rPr>
          <w:rFonts w:eastAsiaTheme="majorEastAsia"/>
        </w:rPr>
        <w:t xml:space="preserve">the </w:t>
      </w:r>
      <w:r w:rsidR="002E430F" w:rsidRPr="00E96F08">
        <w:rPr>
          <w:rFonts w:eastAsiaTheme="majorEastAsia"/>
        </w:rPr>
        <w:t>sub-categories</w:t>
      </w:r>
      <w:r w:rsidR="002512EF" w:rsidRPr="00E96F08">
        <w:rPr>
          <w:rFonts w:eastAsiaTheme="majorEastAsia"/>
        </w:rPr>
        <w:t xml:space="preserve"> of </w:t>
      </w:r>
      <w:r w:rsidR="002E430F" w:rsidRPr="00E96F08">
        <w:rPr>
          <w:rFonts w:eastAsiaTheme="majorEastAsia"/>
          <w:i/>
        </w:rPr>
        <w:t>expertise</w:t>
      </w:r>
      <w:r w:rsidR="002512EF" w:rsidRPr="00E96F08">
        <w:rPr>
          <w:rFonts w:eastAsiaTheme="majorEastAsia"/>
        </w:rPr>
        <w:t xml:space="preserve"> and </w:t>
      </w:r>
      <w:r w:rsidR="002E430F" w:rsidRPr="00E96F08">
        <w:rPr>
          <w:rFonts w:eastAsiaTheme="majorEastAsia"/>
          <w:i/>
        </w:rPr>
        <w:t xml:space="preserve">freedom of </w:t>
      </w:r>
      <w:r w:rsidR="00E513F7" w:rsidRPr="00E96F08">
        <w:rPr>
          <w:rFonts w:eastAsiaTheme="majorEastAsia"/>
          <w:i/>
        </w:rPr>
        <w:t>manoeuvre</w:t>
      </w:r>
      <w:r w:rsidR="002E430F" w:rsidRPr="00E96F08">
        <w:rPr>
          <w:rFonts w:eastAsiaTheme="majorEastAsia"/>
        </w:rPr>
        <w:t xml:space="preserve">, but can sometimes inversely correlate </w:t>
      </w:r>
      <w:r w:rsidR="002512EF" w:rsidRPr="00E96F08">
        <w:rPr>
          <w:rFonts w:eastAsiaTheme="majorEastAsia"/>
        </w:rPr>
        <w:t>with “professionalism”</w:t>
      </w:r>
      <w:r w:rsidR="002E430F" w:rsidRPr="00E96F08">
        <w:rPr>
          <w:rFonts w:eastAsiaTheme="majorEastAsia"/>
        </w:rPr>
        <w:t xml:space="preserve">. </w:t>
      </w:r>
      <w:r w:rsidR="0020533B" w:rsidRPr="00E96F08">
        <w:rPr>
          <w:rFonts w:eastAsiaTheme="majorEastAsia"/>
        </w:rPr>
        <w:t xml:space="preserve">Ambassadors’ freedom of </w:t>
      </w:r>
      <w:r w:rsidR="00E513F7" w:rsidRPr="00E96F08">
        <w:t>manoeuvre</w:t>
      </w:r>
      <w:r w:rsidR="00D55C60" w:rsidRPr="00E96F08">
        <w:t xml:space="preserve"> </w:t>
      </w:r>
      <w:r w:rsidR="0020533B" w:rsidRPr="00E96F08">
        <w:rPr>
          <w:rFonts w:eastAsiaTheme="majorEastAsia"/>
        </w:rPr>
        <w:t xml:space="preserve">requires both expertise and likeability, as one interviewee explains: </w:t>
      </w:r>
      <w:r w:rsidR="00454F0F" w:rsidRPr="00E96F08">
        <w:rPr>
          <w:rFonts w:eastAsiaTheme="majorEastAsia"/>
        </w:rPr>
        <w:t>“</w:t>
      </w:r>
      <w:r w:rsidR="002E430F" w:rsidRPr="00E96F08">
        <w:rPr>
          <w:rFonts w:eastAsiaTheme="majorEastAsia"/>
        </w:rPr>
        <w:t>Personality has a great impact. You can obviously see whose positions are promoted more successfully because those ambassadors are more l</w:t>
      </w:r>
      <w:r w:rsidR="00454F0F" w:rsidRPr="00E96F08">
        <w:rPr>
          <w:rFonts w:eastAsiaTheme="majorEastAsia"/>
        </w:rPr>
        <w:t>ikeable”</w:t>
      </w:r>
      <w:r w:rsidR="002E430F" w:rsidRPr="00E96F08">
        <w:rPr>
          <w:rFonts w:eastAsiaTheme="majorEastAsia"/>
        </w:rPr>
        <w:t xml:space="preserve"> (Interview 11</w:t>
      </w:r>
      <w:r w:rsidR="008B3867" w:rsidRPr="00E96F08">
        <w:rPr>
          <w:rFonts w:eastAsiaTheme="majorEastAsia"/>
        </w:rPr>
        <w:t>, 2016</w:t>
      </w:r>
      <w:r w:rsidR="002E430F" w:rsidRPr="00E96F08">
        <w:rPr>
          <w:rFonts w:eastAsiaTheme="majorEastAsia"/>
        </w:rPr>
        <w:t xml:space="preserve">). </w:t>
      </w:r>
    </w:p>
    <w:p w14:paraId="686FED4B" w14:textId="4AA02820" w:rsidR="002E430F" w:rsidRPr="00E96F08" w:rsidRDefault="002512EF" w:rsidP="000E3D0C">
      <w:pPr>
        <w:spacing w:line="480" w:lineRule="auto"/>
        <w:ind w:right="-1" w:firstLine="720"/>
        <w:rPr>
          <w:rFonts w:ascii="Times New Roman" w:eastAsiaTheme="majorEastAsia" w:hAnsi="Times New Roman" w:cs="Times New Roman"/>
          <w:sz w:val="24"/>
          <w:szCs w:val="24"/>
        </w:rPr>
      </w:pPr>
      <w:r w:rsidRPr="00E96F08">
        <w:rPr>
          <w:rFonts w:ascii="Times New Roman" w:eastAsiaTheme="majorEastAsia" w:hAnsi="Times New Roman" w:cs="Times New Roman"/>
          <w:sz w:val="24"/>
          <w:szCs w:val="24"/>
        </w:rPr>
        <w:t>However, a</w:t>
      </w:r>
      <w:r w:rsidR="0020533B" w:rsidRPr="00E96F08">
        <w:rPr>
          <w:rFonts w:ascii="Times New Roman" w:eastAsiaTheme="majorEastAsia" w:hAnsi="Times New Roman" w:cs="Times New Roman"/>
          <w:sz w:val="24"/>
          <w:szCs w:val="24"/>
        </w:rPr>
        <w:t xml:space="preserve"> strong combination of such properties in an ambassador</w:t>
      </w:r>
      <w:r w:rsidR="007B17E1" w:rsidRPr="00E96F08">
        <w:rPr>
          <w:rFonts w:ascii="Times New Roman" w:eastAsiaTheme="majorEastAsia" w:hAnsi="Times New Roman" w:cs="Times New Roman"/>
          <w:sz w:val="24"/>
          <w:szCs w:val="24"/>
        </w:rPr>
        <w:t xml:space="preserve"> may have adverse effects on the professional aspect of the decision-making process.</w:t>
      </w:r>
      <w:r w:rsidR="0020533B" w:rsidRPr="00E96F08">
        <w:rPr>
          <w:rFonts w:ascii="Times New Roman" w:eastAsiaTheme="majorEastAsia" w:hAnsi="Times New Roman" w:cs="Times New Roman"/>
          <w:sz w:val="24"/>
          <w:szCs w:val="24"/>
        </w:rPr>
        <w:t xml:space="preserve"> </w:t>
      </w:r>
      <w:r w:rsidR="002E430F" w:rsidRPr="00E96F08">
        <w:rPr>
          <w:rFonts w:ascii="Times New Roman" w:eastAsiaTheme="majorEastAsia" w:hAnsi="Times New Roman" w:cs="Times New Roman"/>
          <w:sz w:val="24"/>
          <w:szCs w:val="24"/>
        </w:rPr>
        <w:t>Within the PSC,</w:t>
      </w:r>
      <w:r w:rsidR="007B17E1" w:rsidRPr="00E96F08">
        <w:rPr>
          <w:rFonts w:ascii="Times New Roman" w:eastAsiaTheme="majorEastAsia" w:hAnsi="Times New Roman" w:cs="Times New Roman"/>
          <w:sz w:val="24"/>
          <w:szCs w:val="24"/>
        </w:rPr>
        <w:t xml:space="preserve"> for example,</w:t>
      </w:r>
      <w:r w:rsidR="002E430F" w:rsidRPr="00E96F08">
        <w:rPr>
          <w:rFonts w:ascii="Times New Roman" w:eastAsiaTheme="majorEastAsia" w:hAnsi="Times New Roman" w:cs="Times New Roman"/>
          <w:sz w:val="24"/>
          <w:szCs w:val="24"/>
        </w:rPr>
        <w:t xml:space="preserve"> during the formal meetings, ambassadors are all</w:t>
      </w:r>
      <w:r w:rsidR="00924C4F" w:rsidRPr="00E96F08">
        <w:rPr>
          <w:rFonts w:ascii="Times New Roman" w:eastAsiaTheme="majorEastAsia" w:hAnsi="Times New Roman" w:cs="Times New Roman"/>
          <w:sz w:val="24"/>
          <w:szCs w:val="24"/>
        </w:rPr>
        <w:t>ocated three m</w:t>
      </w:r>
      <w:r w:rsidR="00C26669" w:rsidRPr="00E96F08">
        <w:rPr>
          <w:rFonts w:ascii="Times New Roman" w:eastAsiaTheme="majorEastAsia" w:hAnsi="Times New Roman" w:cs="Times New Roman"/>
          <w:sz w:val="24"/>
          <w:szCs w:val="24"/>
        </w:rPr>
        <w:t xml:space="preserve">inutes for their </w:t>
      </w:r>
      <w:r w:rsidR="00C26669" w:rsidRPr="00E96F08">
        <w:rPr>
          <w:rFonts w:ascii="Times New Roman" w:eastAsiaTheme="majorEastAsia" w:hAnsi="Times New Roman" w:cs="Times New Roman"/>
          <w:sz w:val="24"/>
          <w:szCs w:val="24"/>
        </w:rPr>
        <w:lastRenderedPageBreak/>
        <w:t>interventions</w:t>
      </w:r>
      <w:r w:rsidR="002E430F" w:rsidRPr="00E96F08">
        <w:rPr>
          <w:rFonts w:ascii="Times New Roman" w:eastAsiaTheme="majorEastAsia" w:hAnsi="Times New Roman" w:cs="Times New Roman"/>
          <w:sz w:val="24"/>
          <w:szCs w:val="24"/>
        </w:rPr>
        <w:t>. “The three-minute rule is for both equality and efficiency, but some personalities break the rule and talk for more minutes” (Interview 11</w:t>
      </w:r>
      <w:r w:rsidR="008B3867" w:rsidRPr="00E96F08">
        <w:rPr>
          <w:rFonts w:ascii="Times New Roman" w:eastAsiaTheme="majorEastAsia" w:hAnsi="Times New Roman" w:cs="Times New Roman"/>
          <w:sz w:val="24"/>
          <w:szCs w:val="24"/>
        </w:rPr>
        <w:t>, 2016</w:t>
      </w:r>
      <w:r w:rsidR="002E430F" w:rsidRPr="00E96F08">
        <w:rPr>
          <w:rFonts w:ascii="Times New Roman" w:eastAsiaTheme="majorEastAsia" w:hAnsi="Times New Roman" w:cs="Times New Roman"/>
          <w:sz w:val="24"/>
          <w:szCs w:val="24"/>
        </w:rPr>
        <w:t>).</w:t>
      </w:r>
      <w:r w:rsidR="0020533B" w:rsidRPr="00E96F08">
        <w:rPr>
          <w:rFonts w:ascii="Times New Roman" w:eastAsiaTheme="majorEastAsia" w:hAnsi="Times New Roman" w:cs="Times New Roman"/>
          <w:sz w:val="24"/>
          <w:szCs w:val="24"/>
        </w:rPr>
        <w:t xml:space="preserve"> One particularly </w:t>
      </w:r>
      <w:r w:rsidR="007B17E1" w:rsidRPr="00E96F08">
        <w:rPr>
          <w:rFonts w:ascii="Times New Roman" w:eastAsiaTheme="majorEastAsia" w:hAnsi="Times New Roman" w:cs="Times New Roman"/>
          <w:sz w:val="24"/>
          <w:szCs w:val="24"/>
        </w:rPr>
        <w:t>candid</w:t>
      </w:r>
      <w:r w:rsidR="0020533B" w:rsidRPr="00E96F08">
        <w:rPr>
          <w:rFonts w:ascii="Times New Roman" w:eastAsiaTheme="majorEastAsia" w:hAnsi="Times New Roman" w:cs="Times New Roman"/>
          <w:sz w:val="24"/>
          <w:szCs w:val="24"/>
        </w:rPr>
        <w:t xml:space="preserve"> </w:t>
      </w:r>
      <w:r w:rsidR="007B17E1" w:rsidRPr="00E96F08">
        <w:rPr>
          <w:rFonts w:ascii="Times New Roman" w:eastAsiaTheme="majorEastAsia" w:hAnsi="Times New Roman" w:cs="Times New Roman"/>
          <w:sz w:val="24"/>
          <w:szCs w:val="24"/>
        </w:rPr>
        <w:t>interlocutor pointed out that some a</w:t>
      </w:r>
      <w:r w:rsidR="00924C4F" w:rsidRPr="00E96F08">
        <w:rPr>
          <w:rFonts w:ascii="Times New Roman" w:eastAsiaTheme="majorEastAsia" w:hAnsi="Times New Roman" w:cs="Times New Roman"/>
          <w:sz w:val="24"/>
          <w:szCs w:val="24"/>
        </w:rPr>
        <w:t>mbassadors have “</w:t>
      </w:r>
      <w:r w:rsidR="0020533B" w:rsidRPr="00E96F08">
        <w:rPr>
          <w:rFonts w:ascii="Times New Roman" w:eastAsiaTheme="majorEastAsia" w:hAnsi="Times New Roman" w:cs="Times New Roman"/>
          <w:sz w:val="24"/>
          <w:szCs w:val="24"/>
        </w:rPr>
        <w:t>big egos and they cause more problems than they are being asked</w:t>
      </w:r>
      <w:r w:rsidR="007B17E1" w:rsidRPr="00E96F08">
        <w:rPr>
          <w:rFonts w:ascii="Times New Roman" w:eastAsiaTheme="majorEastAsia" w:hAnsi="Times New Roman" w:cs="Times New Roman"/>
          <w:sz w:val="24"/>
          <w:szCs w:val="24"/>
        </w:rPr>
        <w:t xml:space="preserve"> to </w:t>
      </w:r>
      <w:r w:rsidR="0020533B" w:rsidRPr="00E96F08">
        <w:rPr>
          <w:rFonts w:ascii="Times New Roman" w:eastAsiaTheme="majorEastAsia" w:hAnsi="Times New Roman" w:cs="Times New Roman"/>
          <w:sz w:val="24"/>
          <w:szCs w:val="24"/>
        </w:rPr>
        <w:t>by their capit</w:t>
      </w:r>
      <w:r w:rsidR="00924C4F" w:rsidRPr="00E96F08">
        <w:rPr>
          <w:rFonts w:ascii="Times New Roman" w:eastAsiaTheme="majorEastAsia" w:hAnsi="Times New Roman" w:cs="Times New Roman"/>
          <w:sz w:val="24"/>
          <w:szCs w:val="24"/>
        </w:rPr>
        <w:t>al”, but later added that this “</w:t>
      </w:r>
      <w:r w:rsidR="007B17E1" w:rsidRPr="00E96F08">
        <w:rPr>
          <w:rFonts w:ascii="Times New Roman" w:eastAsiaTheme="majorEastAsia" w:hAnsi="Times New Roman" w:cs="Times New Roman"/>
          <w:sz w:val="24"/>
          <w:szCs w:val="24"/>
        </w:rPr>
        <w:t>is rare and everyone is on good terms</w:t>
      </w:r>
      <w:r w:rsidR="00924C4F" w:rsidRPr="00E96F08">
        <w:rPr>
          <w:rFonts w:ascii="Times New Roman" w:eastAsiaTheme="majorEastAsia" w:hAnsi="Times New Roman" w:cs="Times New Roman"/>
          <w:sz w:val="24"/>
          <w:szCs w:val="24"/>
        </w:rPr>
        <w:t>”</w:t>
      </w:r>
      <w:r w:rsidR="004A2006" w:rsidRPr="00E96F08">
        <w:rPr>
          <w:rFonts w:ascii="Times New Roman" w:eastAsiaTheme="majorEastAsia" w:hAnsi="Times New Roman" w:cs="Times New Roman"/>
          <w:sz w:val="24"/>
          <w:szCs w:val="24"/>
        </w:rPr>
        <w:t xml:space="preserve"> (Interview 2</w:t>
      </w:r>
      <w:r w:rsidR="008B3867" w:rsidRPr="00E96F08">
        <w:rPr>
          <w:rFonts w:ascii="Times New Roman" w:eastAsiaTheme="majorEastAsia" w:hAnsi="Times New Roman" w:cs="Times New Roman"/>
          <w:sz w:val="24"/>
          <w:szCs w:val="24"/>
        </w:rPr>
        <w:t>, 2012</w:t>
      </w:r>
      <w:r w:rsidR="004A2006" w:rsidRPr="00E96F08">
        <w:rPr>
          <w:rFonts w:ascii="Times New Roman" w:eastAsiaTheme="majorEastAsia" w:hAnsi="Times New Roman" w:cs="Times New Roman"/>
          <w:sz w:val="24"/>
          <w:szCs w:val="24"/>
        </w:rPr>
        <w:t>).</w:t>
      </w:r>
    </w:p>
    <w:p w14:paraId="44FECD11" w14:textId="224E5E67" w:rsidR="00D529EA" w:rsidRPr="00E96F08" w:rsidRDefault="00D529EA" w:rsidP="000E3D0C">
      <w:pPr>
        <w:pStyle w:val="Heading3"/>
        <w:rPr>
          <w:rFonts w:cs="Times New Roman"/>
        </w:rPr>
      </w:pPr>
      <w:r w:rsidRPr="00E96F08">
        <w:rPr>
          <w:rFonts w:cs="Times New Roman"/>
        </w:rPr>
        <w:t xml:space="preserve">PSC-NAC </w:t>
      </w:r>
      <w:r w:rsidR="002512EF" w:rsidRPr="00E96F08">
        <w:rPr>
          <w:rFonts w:cs="Times New Roman"/>
        </w:rPr>
        <w:t>meetings</w:t>
      </w:r>
    </w:p>
    <w:p w14:paraId="1BC4B048" w14:textId="6B14E4EC" w:rsidR="002E3CBA" w:rsidRPr="00E96F08" w:rsidRDefault="00FC1AC7" w:rsidP="00B17256">
      <w:pPr>
        <w:spacing w:line="480" w:lineRule="auto"/>
        <w:rPr>
          <w:rFonts w:ascii="Times New Roman" w:hAnsi="Times New Roman" w:cs="Times New Roman"/>
          <w:sz w:val="24"/>
          <w:szCs w:val="24"/>
        </w:rPr>
      </w:pPr>
      <w:r w:rsidRPr="00E96F08">
        <w:rPr>
          <w:rFonts w:ascii="Times New Roman" w:hAnsi="Times New Roman" w:cs="Times New Roman"/>
          <w:sz w:val="24"/>
          <w:szCs w:val="24"/>
        </w:rPr>
        <w:t>The data</w:t>
      </w:r>
      <w:r w:rsidR="005A5180" w:rsidRPr="00E96F08">
        <w:rPr>
          <w:rFonts w:ascii="Times New Roman" w:hAnsi="Times New Roman" w:cs="Times New Roman"/>
          <w:sz w:val="24"/>
          <w:szCs w:val="24"/>
        </w:rPr>
        <w:t xml:space="preserve"> suggested that joint NAC-PSC meetings were </w:t>
      </w:r>
      <w:r w:rsidR="000E3D0C" w:rsidRPr="00E96F08">
        <w:rPr>
          <w:rFonts w:ascii="Times New Roman" w:hAnsi="Times New Roman" w:cs="Times New Roman"/>
          <w:sz w:val="24"/>
          <w:szCs w:val="24"/>
        </w:rPr>
        <w:t>“amicable” (</w:t>
      </w:r>
      <w:r w:rsidR="00D55C60" w:rsidRPr="00E96F08">
        <w:rPr>
          <w:rFonts w:ascii="Times New Roman" w:hAnsi="Times New Roman" w:cs="Times New Roman"/>
          <w:sz w:val="24"/>
          <w:szCs w:val="24"/>
        </w:rPr>
        <w:t>Interview 9, 2016)</w:t>
      </w:r>
      <w:r w:rsidR="005A5180" w:rsidRPr="00E96F08">
        <w:rPr>
          <w:rFonts w:ascii="Times New Roman" w:hAnsi="Times New Roman" w:cs="Times New Roman"/>
          <w:sz w:val="24"/>
          <w:szCs w:val="24"/>
        </w:rPr>
        <w:t xml:space="preserve">. As there are 22 common member states, this is not necessarily surprising. However, </w:t>
      </w:r>
      <w:r w:rsidR="005A5180" w:rsidRPr="000A4BB4">
        <w:rPr>
          <w:rFonts w:ascii="Times New Roman" w:hAnsi="Times New Roman" w:cs="Times New Roman"/>
          <w:i/>
          <w:sz w:val="24"/>
          <w:szCs w:val="24"/>
        </w:rPr>
        <w:t>professionalism</w:t>
      </w:r>
      <w:r w:rsidR="005A5180" w:rsidRPr="00E96F08">
        <w:rPr>
          <w:rFonts w:ascii="Times New Roman" w:hAnsi="Times New Roman" w:cs="Times New Roman"/>
          <w:sz w:val="24"/>
          <w:szCs w:val="24"/>
        </w:rPr>
        <w:t xml:space="preserve"> extends to the non-common member states as well.  Interestingly, </w:t>
      </w:r>
      <w:r w:rsidR="003B44D0" w:rsidRPr="00E96F08">
        <w:rPr>
          <w:rFonts w:ascii="Times New Roman" w:hAnsi="Times New Roman" w:cs="Times New Roman"/>
          <w:sz w:val="24"/>
          <w:szCs w:val="24"/>
        </w:rPr>
        <w:t xml:space="preserve">collegiality between </w:t>
      </w:r>
      <w:r w:rsidR="005A5180" w:rsidRPr="00E96F08">
        <w:rPr>
          <w:rFonts w:ascii="Times New Roman" w:hAnsi="Times New Roman" w:cs="Times New Roman"/>
          <w:sz w:val="24"/>
          <w:szCs w:val="24"/>
        </w:rPr>
        <w:t xml:space="preserve">Turkish and Cypriot colleagues was </w:t>
      </w:r>
      <w:r w:rsidR="000C081A" w:rsidRPr="00E96F08">
        <w:rPr>
          <w:rFonts w:ascii="Times New Roman" w:hAnsi="Times New Roman" w:cs="Times New Roman"/>
          <w:sz w:val="24"/>
          <w:szCs w:val="24"/>
        </w:rPr>
        <w:t xml:space="preserve">discernible </w:t>
      </w:r>
      <w:r w:rsidR="00363F6A" w:rsidRPr="00E96F08">
        <w:rPr>
          <w:rFonts w:ascii="Times New Roman" w:hAnsi="Times New Roman" w:cs="Times New Roman"/>
          <w:sz w:val="24"/>
          <w:szCs w:val="24"/>
        </w:rPr>
        <w:t>through discussions with the relevant officials</w:t>
      </w:r>
      <w:r w:rsidR="00354DD2" w:rsidRPr="00E96F08">
        <w:rPr>
          <w:rFonts w:ascii="Times New Roman" w:hAnsi="Times New Roman" w:cs="Times New Roman"/>
          <w:sz w:val="24"/>
          <w:szCs w:val="24"/>
        </w:rPr>
        <w:t xml:space="preserve"> (Interview 1, 2012)</w:t>
      </w:r>
      <w:r w:rsidR="00363F6A" w:rsidRPr="00E96F08">
        <w:rPr>
          <w:rFonts w:ascii="Times New Roman" w:hAnsi="Times New Roman" w:cs="Times New Roman"/>
          <w:sz w:val="24"/>
          <w:szCs w:val="24"/>
        </w:rPr>
        <w:t>.</w:t>
      </w:r>
      <w:r w:rsidR="002E3CBA" w:rsidRPr="00E96F08">
        <w:rPr>
          <w:rFonts w:ascii="Times New Roman" w:hAnsi="Times New Roman" w:cs="Times New Roman"/>
          <w:sz w:val="24"/>
          <w:szCs w:val="24"/>
        </w:rPr>
        <w:t xml:space="preserve"> </w:t>
      </w:r>
      <w:r w:rsidR="00867F09" w:rsidRPr="00E96F08">
        <w:rPr>
          <w:rFonts w:ascii="Times New Roman" w:hAnsi="Times New Roman" w:cs="Times New Roman"/>
          <w:i/>
          <w:sz w:val="24"/>
          <w:szCs w:val="24"/>
        </w:rPr>
        <w:t>Expertise</w:t>
      </w:r>
      <w:r w:rsidR="00867F09" w:rsidRPr="00E96F08">
        <w:rPr>
          <w:rFonts w:ascii="Times New Roman" w:hAnsi="Times New Roman" w:cs="Times New Roman"/>
          <w:sz w:val="24"/>
          <w:szCs w:val="24"/>
        </w:rPr>
        <w:t xml:space="preserve"> plays a part through the various </w:t>
      </w:r>
      <w:r w:rsidR="002E3CBA" w:rsidRPr="00E96F08">
        <w:rPr>
          <w:rFonts w:ascii="Times New Roman" w:hAnsi="Times New Roman" w:cs="Times New Roman"/>
          <w:sz w:val="24"/>
          <w:szCs w:val="24"/>
        </w:rPr>
        <w:t xml:space="preserve">diplomatic ways </w:t>
      </w:r>
      <w:r w:rsidR="00B85346" w:rsidRPr="00E96F08">
        <w:rPr>
          <w:rFonts w:ascii="Times New Roman" w:hAnsi="Times New Roman" w:cs="Times New Roman"/>
          <w:sz w:val="24"/>
          <w:szCs w:val="24"/>
        </w:rPr>
        <w:t>in which</w:t>
      </w:r>
      <w:r w:rsidR="002E3CBA" w:rsidRPr="00E96F08">
        <w:rPr>
          <w:rFonts w:ascii="Times New Roman" w:hAnsi="Times New Roman" w:cs="Times New Roman"/>
          <w:sz w:val="24"/>
          <w:szCs w:val="24"/>
        </w:rPr>
        <w:t xml:space="preserve"> </w:t>
      </w:r>
      <w:r w:rsidR="00867F09" w:rsidRPr="00E96F08">
        <w:rPr>
          <w:rFonts w:ascii="Times New Roman" w:hAnsi="Times New Roman" w:cs="Times New Roman"/>
          <w:sz w:val="24"/>
          <w:szCs w:val="24"/>
        </w:rPr>
        <w:t>ambassadors state their positions</w:t>
      </w:r>
      <w:r w:rsidR="007345DF" w:rsidRPr="00E96F08">
        <w:rPr>
          <w:rFonts w:ascii="Times New Roman" w:hAnsi="Times New Roman" w:cs="Times New Roman"/>
          <w:sz w:val="24"/>
          <w:szCs w:val="24"/>
        </w:rPr>
        <w:t>, i.e.</w:t>
      </w:r>
      <w:r w:rsidR="00867F09" w:rsidRPr="00E96F08">
        <w:rPr>
          <w:rFonts w:ascii="Times New Roman" w:hAnsi="Times New Roman" w:cs="Times New Roman"/>
          <w:sz w:val="24"/>
          <w:szCs w:val="24"/>
        </w:rPr>
        <w:t xml:space="preserve"> without engaging in</w:t>
      </w:r>
      <w:r w:rsidR="00031F65" w:rsidRPr="00E96F08">
        <w:rPr>
          <w:rFonts w:ascii="Times New Roman" w:hAnsi="Times New Roman" w:cs="Times New Roman"/>
          <w:sz w:val="24"/>
          <w:szCs w:val="24"/>
        </w:rPr>
        <w:t xml:space="preserve"> direct confrontation</w:t>
      </w:r>
      <w:r w:rsidR="002E3CBA" w:rsidRPr="00E96F08">
        <w:rPr>
          <w:rFonts w:ascii="Times New Roman" w:hAnsi="Times New Roman" w:cs="Times New Roman"/>
          <w:sz w:val="24"/>
          <w:szCs w:val="24"/>
        </w:rPr>
        <w:t xml:space="preserve">. </w:t>
      </w:r>
      <w:r w:rsidR="00867F09" w:rsidRPr="00E96F08">
        <w:rPr>
          <w:rFonts w:ascii="Times New Roman" w:hAnsi="Times New Roman" w:cs="Times New Roman"/>
          <w:sz w:val="24"/>
          <w:szCs w:val="24"/>
        </w:rPr>
        <w:t>A</w:t>
      </w:r>
      <w:r w:rsidR="002C300A" w:rsidRPr="00E96F08">
        <w:rPr>
          <w:rFonts w:ascii="Times New Roman" w:hAnsi="Times New Roman" w:cs="Times New Roman"/>
          <w:sz w:val="24"/>
          <w:szCs w:val="24"/>
        </w:rPr>
        <w:t xml:space="preserve"> nuanced and </w:t>
      </w:r>
      <w:r w:rsidR="00867F09" w:rsidRPr="00E96F08">
        <w:rPr>
          <w:rFonts w:ascii="Times New Roman" w:hAnsi="Times New Roman" w:cs="Times New Roman"/>
          <w:sz w:val="24"/>
          <w:szCs w:val="24"/>
        </w:rPr>
        <w:t>perceptive awareness of</w:t>
      </w:r>
      <w:r w:rsidR="002E3CBA" w:rsidRPr="00E96F08">
        <w:rPr>
          <w:rFonts w:ascii="Times New Roman" w:hAnsi="Times New Roman" w:cs="Times New Roman"/>
          <w:sz w:val="24"/>
          <w:szCs w:val="24"/>
        </w:rPr>
        <w:t xml:space="preserve"> </w:t>
      </w:r>
      <w:r w:rsidR="000A117E" w:rsidRPr="00E96F08">
        <w:rPr>
          <w:rFonts w:ascii="Times New Roman" w:hAnsi="Times New Roman" w:cs="Times New Roman"/>
          <w:sz w:val="24"/>
          <w:szCs w:val="24"/>
        </w:rPr>
        <w:t>such</w:t>
      </w:r>
      <w:r w:rsidR="002C300A" w:rsidRPr="00E96F08">
        <w:rPr>
          <w:rFonts w:ascii="Times New Roman" w:hAnsi="Times New Roman" w:cs="Times New Roman"/>
          <w:sz w:val="24"/>
          <w:szCs w:val="24"/>
        </w:rPr>
        <w:t xml:space="preserve"> </w:t>
      </w:r>
      <w:r w:rsidR="002E3CBA" w:rsidRPr="00E96F08">
        <w:rPr>
          <w:rFonts w:ascii="Times New Roman" w:hAnsi="Times New Roman" w:cs="Times New Roman"/>
          <w:sz w:val="24"/>
          <w:szCs w:val="24"/>
        </w:rPr>
        <w:t xml:space="preserve">sensitivities </w:t>
      </w:r>
      <w:r w:rsidR="000A117E" w:rsidRPr="00E96F08">
        <w:rPr>
          <w:rFonts w:ascii="Times New Roman" w:hAnsi="Times New Roman" w:cs="Times New Roman"/>
          <w:sz w:val="24"/>
          <w:szCs w:val="24"/>
        </w:rPr>
        <w:t>by ambassadors</w:t>
      </w:r>
      <w:r w:rsidR="002E3CBA" w:rsidRPr="00E96F08">
        <w:rPr>
          <w:rFonts w:ascii="Times New Roman" w:hAnsi="Times New Roman" w:cs="Times New Roman"/>
          <w:sz w:val="24"/>
          <w:szCs w:val="24"/>
        </w:rPr>
        <w:t xml:space="preserve"> </w:t>
      </w:r>
      <w:r w:rsidR="00B85346" w:rsidRPr="00E96F08">
        <w:rPr>
          <w:rFonts w:ascii="Times New Roman" w:hAnsi="Times New Roman" w:cs="Times New Roman"/>
          <w:sz w:val="24"/>
          <w:szCs w:val="24"/>
        </w:rPr>
        <w:t>is</w:t>
      </w:r>
      <w:r w:rsidR="00867F09" w:rsidRPr="00E96F08">
        <w:rPr>
          <w:rFonts w:ascii="Times New Roman" w:hAnsi="Times New Roman" w:cs="Times New Roman"/>
          <w:sz w:val="24"/>
          <w:szCs w:val="24"/>
        </w:rPr>
        <w:t xml:space="preserve"> essential</w:t>
      </w:r>
      <w:r w:rsidR="00190F6A" w:rsidRPr="00E96F08">
        <w:rPr>
          <w:rFonts w:ascii="Times New Roman" w:hAnsi="Times New Roman" w:cs="Times New Roman"/>
          <w:sz w:val="24"/>
          <w:szCs w:val="24"/>
        </w:rPr>
        <w:t xml:space="preserve"> </w:t>
      </w:r>
      <w:r w:rsidR="002E3CBA" w:rsidRPr="00E96F08">
        <w:rPr>
          <w:rFonts w:ascii="Times New Roman" w:hAnsi="Times New Roman" w:cs="Times New Roman"/>
          <w:sz w:val="24"/>
          <w:szCs w:val="24"/>
        </w:rPr>
        <w:t>in these informal NAC-PSC meetings</w:t>
      </w:r>
      <w:r w:rsidR="008A3C88">
        <w:rPr>
          <w:rFonts w:ascii="Times New Roman" w:hAnsi="Times New Roman" w:cs="Times New Roman"/>
          <w:sz w:val="24"/>
          <w:szCs w:val="24"/>
        </w:rPr>
        <w:t>.</w:t>
      </w:r>
    </w:p>
    <w:p w14:paraId="025156D9" w14:textId="3B9554CF" w:rsidR="387DD856" w:rsidRPr="00E96F08" w:rsidRDefault="005A1422" w:rsidP="000E3D0C">
      <w:pPr>
        <w:spacing w:line="480" w:lineRule="auto"/>
        <w:ind w:firstLine="720"/>
        <w:rPr>
          <w:rFonts w:ascii="Times New Roman" w:eastAsia="Times New Roman,ＭＳ ゴシック" w:hAnsi="Times New Roman" w:cs="Times New Roman"/>
          <w:sz w:val="24"/>
          <w:szCs w:val="24"/>
        </w:rPr>
      </w:pPr>
      <w:r w:rsidRPr="00E96F08">
        <w:rPr>
          <w:rFonts w:ascii="Times New Roman" w:eastAsia="Times New Roman,ＭＳ ゴシック" w:hAnsi="Times New Roman" w:cs="Times New Roman"/>
          <w:sz w:val="24"/>
          <w:szCs w:val="24"/>
        </w:rPr>
        <w:t xml:space="preserve">That said, </w:t>
      </w:r>
      <w:r w:rsidR="00547BEE" w:rsidRPr="00E96F08">
        <w:rPr>
          <w:rFonts w:ascii="Times New Roman" w:eastAsia="Times New Roman,ＭＳ ゴシック" w:hAnsi="Times New Roman" w:cs="Times New Roman"/>
          <w:sz w:val="24"/>
          <w:szCs w:val="24"/>
        </w:rPr>
        <w:t xml:space="preserve">besides maintaining collegiality in the meeting, </w:t>
      </w:r>
      <w:r w:rsidR="00AF5D91" w:rsidRPr="00E96F08">
        <w:rPr>
          <w:rFonts w:ascii="Times New Roman" w:eastAsia="Times New Roman,ＭＳ ゴシック" w:hAnsi="Times New Roman" w:cs="Times New Roman"/>
          <w:i/>
          <w:sz w:val="24"/>
          <w:szCs w:val="24"/>
        </w:rPr>
        <w:t>personality</w:t>
      </w:r>
      <w:r w:rsidR="00AF5D91" w:rsidRPr="00E96F08">
        <w:rPr>
          <w:rFonts w:ascii="Times New Roman" w:eastAsia="Times New Roman,ＭＳ ゴシック" w:hAnsi="Times New Roman" w:cs="Times New Roman"/>
          <w:sz w:val="24"/>
          <w:szCs w:val="24"/>
        </w:rPr>
        <w:t xml:space="preserve"> </w:t>
      </w:r>
      <w:r w:rsidR="00EC4837" w:rsidRPr="00E96F08">
        <w:rPr>
          <w:rFonts w:ascii="Times New Roman" w:eastAsia="Times New Roman,ＭＳ ゴシック" w:hAnsi="Times New Roman" w:cs="Times New Roman"/>
          <w:sz w:val="24"/>
          <w:szCs w:val="24"/>
        </w:rPr>
        <w:t>do</w:t>
      </w:r>
      <w:r w:rsidR="003C7B2F" w:rsidRPr="00E96F08">
        <w:rPr>
          <w:rFonts w:ascii="Times New Roman" w:eastAsia="Times New Roman,ＭＳ ゴシック" w:hAnsi="Times New Roman" w:cs="Times New Roman"/>
          <w:sz w:val="24"/>
          <w:szCs w:val="24"/>
        </w:rPr>
        <w:t>es</w:t>
      </w:r>
      <w:r w:rsidR="0032712E" w:rsidRPr="00E96F08">
        <w:rPr>
          <w:rFonts w:ascii="Times New Roman" w:eastAsia="Times New Roman,ＭＳ ゴシック" w:hAnsi="Times New Roman" w:cs="Times New Roman"/>
          <w:sz w:val="24"/>
          <w:szCs w:val="24"/>
        </w:rPr>
        <w:t xml:space="preserve"> not </w:t>
      </w:r>
      <w:r w:rsidR="00B85346" w:rsidRPr="00E96F08">
        <w:rPr>
          <w:rFonts w:ascii="Times New Roman" w:eastAsia="Times New Roman,ＭＳ ゴシック" w:hAnsi="Times New Roman" w:cs="Times New Roman"/>
          <w:sz w:val="24"/>
          <w:szCs w:val="24"/>
        </w:rPr>
        <w:t xml:space="preserve">seem to </w:t>
      </w:r>
      <w:r w:rsidR="0032712E" w:rsidRPr="00E96F08">
        <w:rPr>
          <w:rFonts w:ascii="Times New Roman" w:eastAsia="Times New Roman,ＭＳ ゴシック" w:hAnsi="Times New Roman" w:cs="Times New Roman"/>
          <w:sz w:val="24"/>
          <w:szCs w:val="24"/>
        </w:rPr>
        <w:t>play a</w:t>
      </w:r>
      <w:r w:rsidR="007345DF" w:rsidRPr="00E96F08">
        <w:rPr>
          <w:rFonts w:ascii="Times New Roman" w:eastAsia="Times New Roman,ＭＳ ゴシック" w:hAnsi="Times New Roman" w:cs="Times New Roman"/>
          <w:sz w:val="24"/>
          <w:szCs w:val="24"/>
        </w:rPr>
        <w:t>s big a</w:t>
      </w:r>
      <w:r w:rsidR="0032712E" w:rsidRPr="00E96F08">
        <w:rPr>
          <w:rFonts w:ascii="Times New Roman" w:eastAsia="Times New Roman,ＭＳ ゴシック" w:hAnsi="Times New Roman" w:cs="Times New Roman"/>
          <w:sz w:val="24"/>
          <w:szCs w:val="24"/>
        </w:rPr>
        <w:t xml:space="preserve"> role </w:t>
      </w:r>
      <w:r w:rsidR="007345DF" w:rsidRPr="00E96F08">
        <w:rPr>
          <w:rFonts w:ascii="Times New Roman" w:eastAsia="Times New Roman,ＭＳ ゴシック" w:hAnsi="Times New Roman" w:cs="Times New Roman"/>
          <w:sz w:val="24"/>
          <w:szCs w:val="24"/>
        </w:rPr>
        <w:t>as</w:t>
      </w:r>
      <w:r w:rsidR="0032712E" w:rsidRPr="00E96F08">
        <w:rPr>
          <w:rFonts w:ascii="Times New Roman" w:eastAsia="Times New Roman,ＭＳ ゴシック" w:hAnsi="Times New Roman" w:cs="Times New Roman"/>
          <w:sz w:val="24"/>
          <w:szCs w:val="24"/>
        </w:rPr>
        <w:t xml:space="preserve"> </w:t>
      </w:r>
      <w:r w:rsidR="00DE536A" w:rsidRPr="00E96F08">
        <w:rPr>
          <w:rFonts w:ascii="Times New Roman" w:eastAsia="Times New Roman,ＭＳ ゴシック" w:hAnsi="Times New Roman" w:cs="Times New Roman"/>
          <w:sz w:val="24"/>
          <w:szCs w:val="24"/>
        </w:rPr>
        <w:t xml:space="preserve">is the case </w:t>
      </w:r>
      <w:r w:rsidR="00774DF6">
        <w:rPr>
          <w:rFonts w:ascii="Times New Roman" w:eastAsia="Times New Roman,ＭＳ ゴシック" w:hAnsi="Times New Roman" w:cs="Times New Roman"/>
          <w:sz w:val="24"/>
          <w:szCs w:val="24"/>
        </w:rPr>
        <w:t>with</w:t>
      </w:r>
      <w:r w:rsidR="00774DF6" w:rsidRPr="00E96F08">
        <w:rPr>
          <w:rFonts w:ascii="Times New Roman" w:eastAsia="Times New Roman,ＭＳ ゴシック" w:hAnsi="Times New Roman" w:cs="Times New Roman"/>
          <w:sz w:val="24"/>
          <w:szCs w:val="24"/>
        </w:rPr>
        <w:t xml:space="preserve"> </w:t>
      </w:r>
      <w:r w:rsidR="0032712E" w:rsidRPr="00E96F08">
        <w:rPr>
          <w:rFonts w:ascii="Times New Roman" w:eastAsia="Times New Roman,ＭＳ ゴシック" w:hAnsi="Times New Roman" w:cs="Times New Roman"/>
          <w:sz w:val="24"/>
          <w:szCs w:val="24"/>
        </w:rPr>
        <w:t xml:space="preserve">meetings </w:t>
      </w:r>
      <w:r w:rsidR="00B85346" w:rsidRPr="00E96F08">
        <w:rPr>
          <w:rFonts w:ascii="Times New Roman" w:eastAsia="Times New Roman,ＭＳ ゴシック" w:hAnsi="Times New Roman" w:cs="Times New Roman"/>
          <w:sz w:val="24"/>
          <w:szCs w:val="24"/>
        </w:rPr>
        <w:t xml:space="preserve">of the PSC and the NAC </w:t>
      </w:r>
      <w:r w:rsidR="0032712E" w:rsidRPr="00E96F08">
        <w:rPr>
          <w:rFonts w:ascii="Times New Roman" w:eastAsia="Times New Roman,ＭＳ ゴシック" w:hAnsi="Times New Roman" w:cs="Times New Roman"/>
          <w:sz w:val="24"/>
          <w:szCs w:val="24"/>
        </w:rPr>
        <w:t>respectively</w:t>
      </w:r>
      <w:r w:rsidR="007229C8">
        <w:rPr>
          <w:rFonts w:ascii="Times New Roman" w:eastAsia="Times New Roman,ＭＳ ゴシック" w:hAnsi="Times New Roman" w:cs="Times New Roman"/>
          <w:sz w:val="24"/>
          <w:szCs w:val="24"/>
        </w:rPr>
        <w:t>, s</w:t>
      </w:r>
      <w:r w:rsidR="00D121FF" w:rsidRPr="00E96F08">
        <w:rPr>
          <w:rFonts w:ascii="Times New Roman" w:eastAsia="Times New Roman,ＭＳ ゴシック" w:hAnsi="Times New Roman" w:cs="Times New Roman"/>
          <w:sz w:val="24"/>
          <w:szCs w:val="24"/>
        </w:rPr>
        <w:t>ince interventions are “voluntary” (Interview 10, 2016) and “scripted”</w:t>
      </w:r>
      <w:r w:rsidR="00EE57E8" w:rsidRPr="00E96F08">
        <w:rPr>
          <w:rFonts w:ascii="Times New Roman" w:eastAsia="Times New Roman,ＭＳ ゴシック" w:hAnsi="Times New Roman" w:cs="Times New Roman"/>
          <w:sz w:val="24"/>
          <w:szCs w:val="24"/>
        </w:rPr>
        <w:t xml:space="preserve"> (Interview 9, 2016)</w:t>
      </w:r>
      <w:r w:rsidR="007229C8">
        <w:rPr>
          <w:rFonts w:ascii="Times New Roman" w:eastAsia="Times New Roman,ＭＳ ゴシック" w:hAnsi="Times New Roman" w:cs="Times New Roman"/>
          <w:sz w:val="24"/>
          <w:szCs w:val="24"/>
        </w:rPr>
        <w:t>. I</w:t>
      </w:r>
      <w:r w:rsidR="007229C8" w:rsidRPr="00E96F08">
        <w:rPr>
          <w:rFonts w:ascii="Times New Roman" w:eastAsia="Times New Roman,ＭＳ ゴシック" w:hAnsi="Times New Roman" w:cs="Times New Roman"/>
          <w:sz w:val="24"/>
          <w:szCs w:val="24"/>
        </w:rPr>
        <w:t xml:space="preserve">n the specific case of </w:t>
      </w:r>
      <w:r w:rsidR="007229C8">
        <w:rPr>
          <w:rFonts w:ascii="Times New Roman" w:eastAsia="Times New Roman,ＭＳ ゴシック" w:hAnsi="Times New Roman" w:cs="Times New Roman"/>
          <w:sz w:val="24"/>
          <w:szCs w:val="24"/>
        </w:rPr>
        <w:t>in</w:t>
      </w:r>
      <w:r w:rsidR="007229C8" w:rsidRPr="00E96F08">
        <w:rPr>
          <w:rFonts w:ascii="Times New Roman" w:eastAsia="Times New Roman,ＭＳ ゴシック" w:hAnsi="Times New Roman" w:cs="Times New Roman"/>
          <w:sz w:val="24"/>
          <w:szCs w:val="24"/>
        </w:rPr>
        <w:t>formal PSC-NAC meetings</w:t>
      </w:r>
      <w:r w:rsidR="007229C8">
        <w:rPr>
          <w:rFonts w:ascii="Times New Roman" w:eastAsia="Times New Roman,ＭＳ ゴシック" w:hAnsi="Times New Roman" w:cs="Times New Roman"/>
          <w:sz w:val="24"/>
          <w:szCs w:val="24"/>
        </w:rPr>
        <w:t>, a</w:t>
      </w:r>
      <w:r w:rsidR="00EE57E8" w:rsidRPr="00E96F08">
        <w:rPr>
          <w:rFonts w:ascii="Times New Roman" w:eastAsia="Times New Roman,ＭＳ ゴシック" w:hAnsi="Times New Roman" w:cs="Times New Roman"/>
          <w:sz w:val="24"/>
          <w:szCs w:val="24"/>
        </w:rPr>
        <w:t xml:space="preserve">ny </w:t>
      </w:r>
      <w:r w:rsidR="00EE57E8" w:rsidRPr="00E96F08">
        <w:rPr>
          <w:rFonts w:ascii="Times New Roman" w:eastAsia="Times New Roman,ＭＳ ゴシック" w:hAnsi="Times New Roman" w:cs="Times New Roman"/>
          <w:i/>
          <w:sz w:val="24"/>
          <w:szCs w:val="24"/>
        </w:rPr>
        <w:t xml:space="preserve">freedom of </w:t>
      </w:r>
      <w:r w:rsidR="00E513F7" w:rsidRPr="00E96F08">
        <w:rPr>
          <w:rFonts w:ascii="Times New Roman" w:eastAsia="Times New Roman,ＭＳ ゴシック" w:hAnsi="Times New Roman" w:cs="Times New Roman"/>
          <w:i/>
          <w:sz w:val="24"/>
          <w:szCs w:val="24"/>
        </w:rPr>
        <w:t>manoeuvre</w:t>
      </w:r>
      <w:r w:rsidR="00774DF6">
        <w:rPr>
          <w:rFonts w:ascii="Times New Roman" w:eastAsia="Times New Roman,ＭＳ ゴシック" w:hAnsi="Times New Roman" w:cs="Times New Roman"/>
          <w:i/>
          <w:sz w:val="24"/>
          <w:szCs w:val="24"/>
        </w:rPr>
        <w:t xml:space="preserve"> </w:t>
      </w:r>
      <w:r w:rsidR="00774DF6" w:rsidRPr="004B6F68">
        <w:rPr>
          <w:rFonts w:ascii="Times New Roman" w:eastAsia="Times New Roman,ＭＳ ゴシック" w:hAnsi="Times New Roman" w:cs="Times New Roman"/>
          <w:sz w:val="24"/>
          <w:szCs w:val="24"/>
        </w:rPr>
        <w:t>only</w:t>
      </w:r>
      <w:r w:rsidR="00774DF6">
        <w:rPr>
          <w:rFonts w:ascii="Times New Roman" w:eastAsia="Times New Roman,ＭＳ ゴシック" w:hAnsi="Times New Roman" w:cs="Times New Roman"/>
          <w:i/>
          <w:sz w:val="24"/>
          <w:szCs w:val="24"/>
        </w:rPr>
        <w:t xml:space="preserve"> </w:t>
      </w:r>
      <w:r w:rsidR="007229C8" w:rsidRPr="004B6F68">
        <w:rPr>
          <w:rFonts w:ascii="Times New Roman" w:eastAsia="Times New Roman,ＭＳ ゴシック" w:hAnsi="Times New Roman" w:cs="Times New Roman"/>
          <w:sz w:val="24"/>
          <w:szCs w:val="24"/>
        </w:rPr>
        <w:t>manifests itself</w:t>
      </w:r>
      <w:r w:rsidR="007229C8">
        <w:rPr>
          <w:rFonts w:ascii="Times New Roman" w:eastAsia="Times New Roman,ＭＳ ゴシック" w:hAnsi="Times New Roman" w:cs="Times New Roman"/>
          <w:sz w:val="24"/>
          <w:szCs w:val="24"/>
        </w:rPr>
        <w:t xml:space="preserve"> in the </w:t>
      </w:r>
      <w:r w:rsidR="004B26D5" w:rsidRPr="00E96F08">
        <w:rPr>
          <w:rFonts w:ascii="Times New Roman" w:eastAsia="Times New Roman,ＭＳ ゴシック" w:hAnsi="Times New Roman" w:cs="Times New Roman"/>
          <w:sz w:val="24"/>
          <w:szCs w:val="24"/>
        </w:rPr>
        <w:t>possib</w:t>
      </w:r>
      <w:r w:rsidR="007229C8">
        <w:rPr>
          <w:rFonts w:ascii="Times New Roman" w:eastAsia="Times New Roman,ＭＳ ゴシック" w:hAnsi="Times New Roman" w:cs="Times New Roman"/>
          <w:sz w:val="24"/>
          <w:szCs w:val="24"/>
        </w:rPr>
        <w:t>ility</w:t>
      </w:r>
      <w:r w:rsidR="004B26D5" w:rsidRPr="00E96F08">
        <w:rPr>
          <w:rFonts w:ascii="Times New Roman" w:eastAsia="Times New Roman,ＭＳ ゴシック" w:hAnsi="Times New Roman" w:cs="Times New Roman"/>
          <w:sz w:val="24"/>
          <w:szCs w:val="24"/>
        </w:rPr>
        <w:t xml:space="preserve"> for ambassadors to discuss issues that are not on the </w:t>
      </w:r>
      <w:r w:rsidR="00F82EEC" w:rsidRPr="00E96F08">
        <w:rPr>
          <w:rFonts w:ascii="Times New Roman" w:eastAsia="Times New Roman,ＭＳ ゴシック" w:hAnsi="Times New Roman" w:cs="Times New Roman"/>
          <w:sz w:val="24"/>
          <w:szCs w:val="24"/>
        </w:rPr>
        <w:t xml:space="preserve">previously agreed </w:t>
      </w:r>
      <w:r w:rsidR="004B26D5" w:rsidRPr="00E96F08">
        <w:rPr>
          <w:rFonts w:ascii="Times New Roman" w:eastAsia="Times New Roman,ＭＳ ゴシック" w:hAnsi="Times New Roman" w:cs="Times New Roman"/>
          <w:sz w:val="24"/>
          <w:szCs w:val="24"/>
        </w:rPr>
        <w:t xml:space="preserve">agenda. </w:t>
      </w:r>
      <w:r w:rsidR="002D5DD6" w:rsidRPr="00E96F08">
        <w:rPr>
          <w:rFonts w:ascii="Times New Roman" w:eastAsia="Times New Roman,ＭＳ ゴシック" w:hAnsi="Times New Roman" w:cs="Times New Roman"/>
          <w:sz w:val="24"/>
          <w:szCs w:val="24"/>
        </w:rPr>
        <w:t>“</w:t>
      </w:r>
      <w:r w:rsidR="004B26D5" w:rsidRPr="00E96F08">
        <w:rPr>
          <w:rFonts w:ascii="Times New Roman" w:eastAsia="Times New Roman,ＭＳ ゴシック" w:hAnsi="Times New Roman" w:cs="Times New Roman"/>
          <w:sz w:val="24"/>
          <w:szCs w:val="24"/>
        </w:rPr>
        <w:t>If the</w:t>
      </w:r>
      <w:r w:rsidR="002D5DD6" w:rsidRPr="00E96F08">
        <w:rPr>
          <w:rFonts w:ascii="Times New Roman" w:eastAsia="Times New Roman,ＭＳ ゴシック" w:hAnsi="Times New Roman" w:cs="Times New Roman"/>
          <w:sz w:val="24"/>
          <w:szCs w:val="24"/>
        </w:rPr>
        <w:t>y want to make a point they do”</w:t>
      </w:r>
      <w:r w:rsidR="00F82EEC" w:rsidRPr="00E96F08">
        <w:rPr>
          <w:rFonts w:ascii="Times New Roman" w:eastAsia="Times New Roman,ＭＳ ゴシック" w:hAnsi="Times New Roman" w:cs="Times New Roman"/>
          <w:sz w:val="24"/>
          <w:szCs w:val="24"/>
        </w:rPr>
        <w:t xml:space="preserve"> </w:t>
      </w:r>
      <w:r w:rsidR="00505D37" w:rsidRPr="00E96F08">
        <w:rPr>
          <w:rFonts w:ascii="Times New Roman" w:eastAsia="Times New Roman,ＭＳ ゴシック" w:hAnsi="Times New Roman" w:cs="Times New Roman"/>
          <w:sz w:val="24"/>
          <w:szCs w:val="24"/>
        </w:rPr>
        <w:t>(</w:t>
      </w:r>
      <w:r w:rsidR="00EE57E8" w:rsidRPr="00E96F08">
        <w:rPr>
          <w:rFonts w:ascii="Times New Roman" w:eastAsia="Times New Roman,ＭＳ ゴシック" w:hAnsi="Times New Roman" w:cs="Times New Roman"/>
          <w:sz w:val="24"/>
          <w:szCs w:val="24"/>
        </w:rPr>
        <w:t>Interview 10</w:t>
      </w:r>
      <w:r w:rsidR="00CB7AA8" w:rsidRPr="00E96F08">
        <w:rPr>
          <w:rFonts w:ascii="Times New Roman" w:eastAsia="Times New Roman,ＭＳ ゴシック" w:hAnsi="Times New Roman" w:cs="Times New Roman"/>
          <w:sz w:val="24"/>
          <w:szCs w:val="24"/>
        </w:rPr>
        <w:t>, 2016</w:t>
      </w:r>
      <w:r w:rsidR="00505D37" w:rsidRPr="00E96F08">
        <w:rPr>
          <w:rFonts w:ascii="Times New Roman" w:eastAsia="Times New Roman,ＭＳ ゴシック" w:hAnsi="Times New Roman" w:cs="Times New Roman"/>
          <w:sz w:val="24"/>
          <w:szCs w:val="24"/>
        </w:rPr>
        <w:t>).</w:t>
      </w:r>
      <w:r w:rsidR="00B85346" w:rsidRPr="00E96F08">
        <w:rPr>
          <w:rFonts w:ascii="Times New Roman" w:eastAsia="Times New Roman,ＭＳ ゴシック" w:hAnsi="Times New Roman" w:cs="Times New Roman"/>
          <w:sz w:val="24"/>
          <w:szCs w:val="24"/>
        </w:rPr>
        <w:t xml:space="preserve"> </w:t>
      </w:r>
      <w:r w:rsidR="00A81A1A">
        <w:rPr>
          <w:rFonts w:ascii="Times New Roman" w:eastAsia="Times New Roman,ＭＳ ゴシック" w:hAnsi="Times New Roman" w:cs="Times New Roman"/>
          <w:sz w:val="24"/>
          <w:szCs w:val="24"/>
        </w:rPr>
        <w:t>Moreover</w:t>
      </w:r>
      <w:r w:rsidR="008A4E0C" w:rsidRPr="00E96F08">
        <w:rPr>
          <w:rFonts w:ascii="Times New Roman" w:eastAsia="Times New Roman,ＭＳ ゴシック" w:hAnsi="Times New Roman" w:cs="Times New Roman"/>
          <w:sz w:val="24"/>
          <w:szCs w:val="24"/>
        </w:rPr>
        <w:t>, b</w:t>
      </w:r>
      <w:r w:rsidR="008A4E0C" w:rsidRPr="00E96F08">
        <w:rPr>
          <w:rFonts w:ascii="Times New Roman" w:hAnsi="Times New Roman" w:cs="Times New Roman"/>
          <w:sz w:val="24"/>
          <w:szCs w:val="24"/>
        </w:rPr>
        <w:t xml:space="preserve">ecause these meetings are rare events and the two committees do not have much of “an institutional relationship”, there is not a lot of opportunity </w:t>
      </w:r>
      <w:r w:rsidR="005F1E80">
        <w:rPr>
          <w:rFonts w:ascii="Times New Roman" w:hAnsi="Times New Roman" w:cs="Times New Roman"/>
          <w:sz w:val="24"/>
          <w:szCs w:val="24"/>
        </w:rPr>
        <w:t xml:space="preserve">(or desire) </w:t>
      </w:r>
      <w:r w:rsidR="008A4E0C" w:rsidRPr="00E96F08">
        <w:rPr>
          <w:rFonts w:ascii="Times New Roman" w:hAnsi="Times New Roman" w:cs="Times New Roman"/>
          <w:sz w:val="24"/>
          <w:szCs w:val="24"/>
        </w:rPr>
        <w:t xml:space="preserve">for ambassadors to </w:t>
      </w:r>
      <w:r w:rsidR="005F1E80">
        <w:rPr>
          <w:rFonts w:ascii="Times New Roman" w:hAnsi="Times New Roman" w:cs="Times New Roman"/>
          <w:sz w:val="24"/>
          <w:szCs w:val="24"/>
        </w:rPr>
        <w:t>develop further</w:t>
      </w:r>
      <w:r w:rsidR="008A4E0C" w:rsidRPr="00E96F08">
        <w:rPr>
          <w:rFonts w:ascii="Times New Roman" w:hAnsi="Times New Roman" w:cs="Times New Roman"/>
          <w:sz w:val="24"/>
          <w:szCs w:val="24"/>
        </w:rPr>
        <w:t xml:space="preserve"> </w:t>
      </w:r>
      <w:r w:rsidR="008A4E0C" w:rsidRPr="00E96F08">
        <w:rPr>
          <w:rFonts w:ascii="Times New Roman" w:hAnsi="Times New Roman" w:cs="Times New Roman"/>
          <w:i/>
          <w:sz w:val="24"/>
          <w:szCs w:val="24"/>
        </w:rPr>
        <w:t>expertise</w:t>
      </w:r>
      <w:r w:rsidR="008A4E0C" w:rsidRPr="00E96F08">
        <w:rPr>
          <w:rFonts w:ascii="Times New Roman" w:hAnsi="Times New Roman" w:cs="Times New Roman"/>
          <w:sz w:val="24"/>
          <w:szCs w:val="24"/>
        </w:rPr>
        <w:t xml:space="preserve"> </w:t>
      </w:r>
      <w:r w:rsidR="005F1E80">
        <w:rPr>
          <w:rFonts w:ascii="Times New Roman" w:hAnsi="Times New Roman" w:cs="Times New Roman"/>
          <w:sz w:val="24"/>
          <w:szCs w:val="24"/>
        </w:rPr>
        <w:t>in this context</w:t>
      </w:r>
      <w:r w:rsidR="008A4E0C" w:rsidRPr="00E96F08">
        <w:rPr>
          <w:rFonts w:ascii="Times New Roman" w:hAnsi="Times New Roman" w:cs="Times New Roman"/>
          <w:sz w:val="24"/>
          <w:szCs w:val="24"/>
        </w:rPr>
        <w:t xml:space="preserve"> (Interview 7, 2016).</w:t>
      </w:r>
    </w:p>
    <w:p w14:paraId="4CAF359C" w14:textId="7BCC5E14" w:rsidR="00B17256" w:rsidRPr="00E96F08" w:rsidRDefault="00CF7824" w:rsidP="000E3D0C">
      <w:pPr>
        <w:spacing w:line="480" w:lineRule="auto"/>
        <w:ind w:firstLine="720"/>
        <w:rPr>
          <w:rFonts w:ascii="Times New Roman" w:eastAsia="Times New Roman,ＭＳ ゴシック" w:hAnsi="Times New Roman" w:cs="Times New Roman"/>
          <w:i/>
          <w:sz w:val="24"/>
          <w:szCs w:val="24"/>
        </w:rPr>
      </w:pPr>
      <w:r>
        <w:rPr>
          <w:rFonts w:ascii="Times New Roman" w:hAnsi="Times New Roman" w:cs="Times New Roman"/>
          <w:sz w:val="24"/>
          <w:szCs w:val="24"/>
        </w:rPr>
        <w:t>In sum, t</w:t>
      </w:r>
      <w:r w:rsidRPr="00E96F08">
        <w:rPr>
          <w:rFonts w:ascii="Times New Roman" w:hAnsi="Times New Roman" w:cs="Times New Roman"/>
          <w:sz w:val="24"/>
          <w:szCs w:val="24"/>
        </w:rPr>
        <w:t>he</w:t>
      </w:r>
      <w:r w:rsidR="00B17256" w:rsidRPr="00E96F08">
        <w:rPr>
          <w:rFonts w:ascii="Times New Roman" w:hAnsi="Times New Roman" w:cs="Times New Roman"/>
          <w:sz w:val="24"/>
          <w:szCs w:val="24"/>
        </w:rPr>
        <w:t xml:space="preserve"> data suggests that </w:t>
      </w:r>
      <w:r w:rsidR="00924339" w:rsidRPr="00E96F08">
        <w:rPr>
          <w:rFonts w:ascii="Times New Roman" w:hAnsi="Times New Roman" w:cs="Times New Roman"/>
          <w:sz w:val="24"/>
          <w:szCs w:val="24"/>
        </w:rPr>
        <w:t>the main purpose</w:t>
      </w:r>
      <w:r w:rsidR="00B17256" w:rsidRPr="00E96F08">
        <w:rPr>
          <w:rFonts w:ascii="Times New Roman" w:hAnsi="Times New Roman" w:cs="Times New Roman"/>
          <w:sz w:val="24"/>
          <w:szCs w:val="24"/>
        </w:rPr>
        <w:t xml:space="preserve"> of these joint meetings </w:t>
      </w:r>
      <w:r w:rsidR="00DE536A" w:rsidRPr="00E96F08">
        <w:rPr>
          <w:rFonts w:ascii="Times New Roman" w:hAnsi="Times New Roman" w:cs="Times New Roman"/>
          <w:sz w:val="24"/>
          <w:szCs w:val="24"/>
        </w:rPr>
        <w:t>is</w:t>
      </w:r>
      <w:r w:rsidR="00B17256" w:rsidRPr="00E96F08">
        <w:rPr>
          <w:rFonts w:ascii="Times New Roman" w:hAnsi="Times New Roman" w:cs="Times New Roman"/>
          <w:sz w:val="24"/>
          <w:szCs w:val="24"/>
        </w:rPr>
        <w:t xml:space="preserve"> to “establish a pattern of normality</w:t>
      </w:r>
      <w:r w:rsidR="00790B9E">
        <w:rPr>
          <w:rFonts w:ascii="Times New Roman" w:hAnsi="Times New Roman" w:cs="Times New Roman"/>
          <w:sz w:val="24"/>
          <w:szCs w:val="24"/>
        </w:rPr>
        <w:t>”</w:t>
      </w:r>
      <w:r w:rsidR="005F7C60">
        <w:rPr>
          <w:rFonts w:ascii="Times New Roman" w:hAnsi="Times New Roman" w:cs="Times New Roman"/>
          <w:sz w:val="24"/>
          <w:szCs w:val="24"/>
        </w:rPr>
        <w:t>.</w:t>
      </w:r>
      <w:r w:rsidR="00BA7816" w:rsidRPr="00E96F08">
        <w:rPr>
          <w:rFonts w:ascii="Times New Roman" w:hAnsi="Times New Roman" w:cs="Times New Roman"/>
          <w:sz w:val="24"/>
          <w:szCs w:val="24"/>
        </w:rPr>
        <w:t xml:space="preserve"> </w:t>
      </w:r>
      <w:r w:rsidR="005F7C60">
        <w:rPr>
          <w:rFonts w:ascii="Times New Roman" w:hAnsi="Times New Roman" w:cs="Times New Roman"/>
          <w:sz w:val="24"/>
          <w:szCs w:val="24"/>
        </w:rPr>
        <w:t>The meetings aim</w:t>
      </w:r>
      <w:r w:rsidR="00BA7816" w:rsidRPr="00E96F08">
        <w:rPr>
          <w:rFonts w:ascii="Times New Roman" w:hAnsi="Times New Roman" w:cs="Times New Roman"/>
          <w:sz w:val="24"/>
          <w:szCs w:val="24"/>
        </w:rPr>
        <w:t xml:space="preserve"> </w:t>
      </w:r>
      <w:r w:rsidR="00B17256" w:rsidRPr="00E96F08">
        <w:rPr>
          <w:rFonts w:ascii="Times New Roman" w:hAnsi="Times New Roman" w:cs="Times New Roman"/>
          <w:sz w:val="24"/>
          <w:szCs w:val="24"/>
        </w:rPr>
        <w:t xml:space="preserve">to convey an increase in EU-NATO </w:t>
      </w:r>
      <w:r w:rsidR="00B17256" w:rsidRPr="00E96F08">
        <w:rPr>
          <w:rFonts w:ascii="Times New Roman" w:hAnsi="Times New Roman" w:cs="Times New Roman"/>
          <w:sz w:val="24"/>
          <w:szCs w:val="24"/>
        </w:rPr>
        <w:lastRenderedPageBreak/>
        <w:t>cooperation more broadly, while not introducing controversy into the milieu</w:t>
      </w:r>
      <w:r w:rsidR="000E6529" w:rsidRPr="00E96F08">
        <w:rPr>
          <w:rFonts w:ascii="Times New Roman" w:hAnsi="Times New Roman" w:cs="Times New Roman"/>
          <w:sz w:val="24"/>
          <w:szCs w:val="24"/>
        </w:rPr>
        <w:t xml:space="preserve"> that might </w:t>
      </w:r>
      <w:r w:rsidR="00323FCA" w:rsidRPr="00E96F08">
        <w:rPr>
          <w:rFonts w:ascii="Times New Roman" w:hAnsi="Times New Roman" w:cs="Times New Roman"/>
          <w:sz w:val="24"/>
          <w:szCs w:val="24"/>
        </w:rPr>
        <w:t xml:space="preserve">further </w:t>
      </w:r>
      <w:r w:rsidR="000E6529" w:rsidRPr="00E96F08">
        <w:rPr>
          <w:rFonts w:ascii="Times New Roman" w:hAnsi="Times New Roman" w:cs="Times New Roman"/>
          <w:sz w:val="24"/>
          <w:szCs w:val="24"/>
        </w:rPr>
        <w:t>stir</w:t>
      </w:r>
      <w:r w:rsidR="00B17256" w:rsidRPr="00E96F08">
        <w:rPr>
          <w:rFonts w:ascii="Times New Roman" w:hAnsi="Times New Roman" w:cs="Times New Roman"/>
          <w:sz w:val="24"/>
          <w:szCs w:val="24"/>
        </w:rPr>
        <w:t xml:space="preserve"> </w:t>
      </w:r>
      <w:r w:rsidR="008B4CA6" w:rsidRPr="00E96F08">
        <w:rPr>
          <w:rFonts w:ascii="Times New Roman" w:hAnsi="Times New Roman" w:cs="Times New Roman"/>
          <w:sz w:val="24"/>
          <w:szCs w:val="24"/>
        </w:rPr>
        <w:t xml:space="preserve">political divides </w:t>
      </w:r>
      <w:r w:rsidR="00B17256" w:rsidRPr="00E96F08">
        <w:rPr>
          <w:rFonts w:ascii="Times New Roman" w:hAnsi="Times New Roman" w:cs="Times New Roman"/>
          <w:sz w:val="24"/>
          <w:szCs w:val="24"/>
        </w:rPr>
        <w:t xml:space="preserve">(Interview 9, 2016). </w:t>
      </w:r>
      <w:r w:rsidR="00B95C77">
        <w:rPr>
          <w:rFonts w:ascii="Times New Roman" w:eastAsia="Times New Roman,ＭＳ ゴシック" w:hAnsi="Times New Roman" w:cs="Times New Roman"/>
          <w:sz w:val="24"/>
          <w:szCs w:val="24"/>
        </w:rPr>
        <w:t>In this context</w:t>
      </w:r>
      <w:r w:rsidR="00B17256" w:rsidRPr="00E96F08">
        <w:rPr>
          <w:rFonts w:ascii="Times New Roman" w:eastAsia="Times New Roman,ＭＳ ゴシック" w:hAnsi="Times New Roman" w:cs="Times New Roman"/>
          <w:sz w:val="24"/>
          <w:szCs w:val="24"/>
        </w:rPr>
        <w:t xml:space="preserve">, </w:t>
      </w:r>
      <w:r w:rsidR="00DE536A" w:rsidRPr="00E96F08">
        <w:rPr>
          <w:rFonts w:ascii="Times New Roman" w:hAnsi="Times New Roman" w:cs="Times New Roman"/>
          <w:sz w:val="24"/>
          <w:szCs w:val="24"/>
        </w:rPr>
        <w:t>attaining a</w:t>
      </w:r>
      <w:r w:rsidR="00B17256" w:rsidRPr="00E96F08">
        <w:rPr>
          <w:rFonts w:ascii="Times New Roman" w:hAnsi="Times New Roman" w:cs="Times New Roman"/>
          <w:sz w:val="24"/>
          <w:szCs w:val="24"/>
        </w:rPr>
        <w:t xml:space="preserve"> consensus </w:t>
      </w:r>
      <w:r w:rsidR="00323FCA" w:rsidRPr="00E96F08">
        <w:rPr>
          <w:rFonts w:ascii="Times New Roman" w:hAnsi="Times New Roman" w:cs="Times New Roman"/>
          <w:sz w:val="24"/>
          <w:szCs w:val="24"/>
        </w:rPr>
        <w:t xml:space="preserve">as such </w:t>
      </w:r>
      <w:r w:rsidR="00B17256" w:rsidRPr="00E96F08">
        <w:rPr>
          <w:rFonts w:ascii="Times New Roman" w:hAnsi="Times New Roman" w:cs="Times New Roman"/>
          <w:sz w:val="24"/>
          <w:szCs w:val="24"/>
        </w:rPr>
        <w:t>is less relevant</w:t>
      </w:r>
      <w:r w:rsidR="0031762D">
        <w:rPr>
          <w:rFonts w:ascii="Times New Roman" w:hAnsi="Times New Roman" w:cs="Times New Roman"/>
          <w:sz w:val="24"/>
          <w:szCs w:val="24"/>
        </w:rPr>
        <w:t xml:space="preserve">, </w:t>
      </w:r>
      <w:r w:rsidR="00B95C77">
        <w:rPr>
          <w:rFonts w:ascii="Times New Roman" w:hAnsi="Times New Roman" w:cs="Times New Roman"/>
          <w:sz w:val="24"/>
          <w:szCs w:val="24"/>
        </w:rPr>
        <w:t>which particularly marginalises</w:t>
      </w:r>
      <w:r w:rsidR="003C55AF">
        <w:rPr>
          <w:rFonts w:ascii="Times New Roman" w:hAnsi="Times New Roman" w:cs="Times New Roman"/>
          <w:sz w:val="24"/>
          <w:szCs w:val="24"/>
        </w:rPr>
        <w:t xml:space="preserve"> </w:t>
      </w:r>
      <w:r w:rsidR="0031762D">
        <w:rPr>
          <w:rFonts w:ascii="Times New Roman" w:hAnsi="Times New Roman" w:cs="Times New Roman"/>
          <w:sz w:val="24"/>
          <w:szCs w:val="24"/>
        </w:rPr>
        <w:t xml:space="preserve">the role of agency </w:t>
      </w:r>
      <w:r w:rsidR="00CF28A3">
        <w:rPr>
          <w:rFonts w:ascii="Times New Roman" w:hAnsi="Times New Roman" w:cs="Times New Roman"/>
          <w:sz w:val="24"/>
          <w:szCs w:val="24"/>
        </w:rPr>
        <w:t>through</w:t>
      </w:r>
      <w:r w:rsidR="0031762D">
        <w:rPr>
          <w:rFonts w:ascii="Times New Roman" w:hAnsi="Times New Roman" w:cs="Times New Roman"/>
          <w:sz w:val="24"/>
          <w:szCs w:val="24"/>
        </w:rPr>
        <w:t xml:space="preserve"> the ambassadors.</w:t>
      </w:r>
      <w:r w:rsidR="00B17256" w:rsidRPr="00E96F08">
        <w:rPr>
          <w:rFonts w:ascii="Times New Roman" w:hAnsi="Times New Roman" w:cs="Times New Roman"/>
          <w:sz w:val="24"/>
          <w:szCs w:val="24"/>
        </w:rPr>
        <w:t xml:space="preserve"> </w:t>
      </w:r>
      <w:r w:rsidR="006E1761">
        <w:rPr>
          <w:rFonts w:ascii="Times New Roman" w:hAnsi="Times New Roman" w:cs="Times New Roman"/>
          <w:sz w:val="24"/>
          <w:szCs w:val="24"/>
        </w:rPr>
        <w:t xml:space="preserve">Any remaining </w:t>
      </w:r>
      <w:r w:rsidR="00D442AF">
        <w:rPr>
          <w:rFonts w:ascii="Times New Roman" w:hAnsi="Times New Roman" w:cs="Times New Roman"/>
          <w:sz w:val="24"/>
          <w:szCs w:val="24"/>
        </w:rPr>
        <w:t>agency available</w:t>
      </w:r>
      <w:r w:rsidR="006E1761">
        <w:rPr>
          <w:rFonts w:ascii="Times New Roman" w:hAnsi="Times New Roman" w:cs="Times New Roman"/>
          <w:sz w:val="24"/>
          <w:szCs w:val="24"/>
        </w:rPr>
        <w:t xml:space="preserve"> </w:t>
      </w:r>
      <w:r w:rsidR="00D442AF">
        <w:rPr>
          <w:rFonts w:ascii="Times New Roman" w:hAnsi="Times New Roman" w:cs="Times New Roman"/>
          <w:sz w:val="24"/>
          <w:szCs w:val="24"/>
        </w:rPr>
        <w:t>to ambassadors</w:t>
      </w:r>
      <w:r w:rsidR="006E1761">
        <w:rPr>
          <w:rFonts w:ascii="Times New Roman" w:hAnsi="Times New Roman" w:cs="Times New Roman"/>
          <w:sz w:val="24"/>
          <w:szCs w:val="24"/>
        </w:rPr>
        <w:t xml:space="preserve"> is solely defined by the sub-categories </w:t>
      </w:r>
      <w:r w:rsidR="00194767" w:rsidRPr="00E96F08">
        <w:rPr>
          <w:rFonts w:ascii="Times New Roman" w:hAnsi="Times New Roman" w:cs="Times New Roman"/>
          <w:i/>
          <w:sz w:val="24"/>
          <w:szCs w:val="24"/>
        </w:rPr>
        <w:t>professionalism</w:t>
      </w:r>
      <w:r w:rsidR="00194767">
        <w:rPr>
          <w:rFonts w:ascii="Times New Roman" w:hAnsi="Times New Roman" w:cs="Times New Roman"/>
          <w:sz w:val="24"/>
          <w:szCs w:val="24"/>
        </w:rPr>
        <w:t xml:space="preserve"> and </w:t>
      </w:r>
      <w:r w:rsidR="00194767" w:rsidRPr="00E96F08">
        <w:rPr>
          <w:rFonts w:ascii="Times New Roman" w:hAnsi="Times New Roman" w:cs="Times New Roman"/>
          <w:i/>
          <w:sz w:val="24"/>
          <w:szCs w:val="24"/>
        </w:rPr>
        <w:t>expertise</w:t>
      </w:r>
      <w:r w:rsidR="006E1761">
        <w:rPr>
          <w:rFonts w:ascii="Times New Roman" w:hAnsi="Times New Roman" w:cs="Times New Roman"/>
          <w:sz w:val="24"/>
          <w:szCs w:val="24"/>
        </w:rPr>
        <w:t xml:space="preserve">. </w:t>
      </w:r>
      <w:r w:rsidR="00E3065F">
        <w:rPr>
          <w:rFonts w:ascii="Times New Roman" w:hAnsi="Times New Roman" w:cs="Times New Roman"/>
          <w:sz w:val="24"/>
          <w:szCs w:val="24"/>
        </w:rPr>
        <w:t xml:space="preserve">Any agency </w:t>
      </w:r>
      <w:r w:rsidR="00DF1297">
        <w:rPr>
          <w:rFonts w:ascii="Times New Roman" w:hAnsi="Times New Roman" w:cs="Times New Roman"/>
          <w:sz w:val="24"/>
          <w:szCs w:val="24"/>
        </w:rPr>
        <w:t>stemming</w:t>
      </w:r>
      <w:r w:rsidR="00E3065F">
        <w:rPr>
          <w:rFonts w:ascii="Times New Roman" w:hAnsi="Times New Roman" w:cs="Times New Roman"/>
          <w:sz w:val="24"/>
          <w:szCs w:val="24"/>
        </w:rPr>
        <w:t xml:space="preserve"> from ambassadors’ </w:t>
      </w:r>
      <w:r w:rsidR="008B4CA6" w:rsidRPr="00E96F08">
        <w:rPr>
          <w:rFonts w:ascii="Times New Roman" w:hAnsi="Times New Roman" w:cs="Times New Roman"/>
          <w:i/>
          <w:sz w:val="24"/>
          <w:szCs w:val="24"/>
        </w:rPr>
        <w:t>freedom of manoeuvre</w:t>
      </w:r>
      <w:r w:rsidR="008B4CA6" w:rsidRPr="00E96F08">
        <w:rPr>
          <w:rFonts w:ascii="Times New Roman" w:hAnsi="Times New Roman" w:cs="Times New Roman"/>
          <w:sz w:val="24"/>
          <w:szCs w:val="24"/>
        </w:rPr>
        <w:t xml:space="preserve"> and </w:t>
      </w:r>
      <w:r w:rsidR="008B4CA6" w:rsidRPr="00E96F08">
        <w:rPr>
          <w:rFonts w:ascii="Times New Roman" w:hAnsi="Times New Roman" w:cs="Times New Roman"/>
          <w:i/>
          <w:sz w:val="24"/>
          <w:szCs w:val="24"/>
        </w:rPr>
        <w:t>personality</w:t>
      </w:r>
      <w:r w:rsidR="00E3065F">
        <w:rPr>
          <w:rFonts w:ascii="Times New Roman" w:hAnsi="Times New Roman" w:cs="Times New Roman"/>
          <w:sz w:val="24"/>
          <w:szCs w:val="24"/>
        </w:rPr>
        <w:t xml:space="preserve"> is restricted by the highly scripted </w:t>
      </w:r>
      <w:r w:rsidR="00C104AF">
        <w:rPr>
          <w:rFonts w:ascii="Times New Roman" w:hAnsi="Times New Roman" w:cs="Times New Roman"/>
          <w:sz w:val="24"/>
          <w:szCs w:val="24"/>
        </w:rPr>
        <w:t>nature</w:t>
      </w:r>
      <w:r w:rsidR="00E3065F">
        <w:rPr>
          <w:rFonts w:ascii="Times New Roman" w:hAnsi="Times New Roman" w:cs="Times New Roman"/>
          <w:sz w:val="24"/>
          <w:szCs w:val="24"/>
        </w:rPr>
        <w:t xml:space="preserve"> of the meetings</w:t>
      </w:r>
      <w:r w:rsidR="00844150">
        <w:rPr>
          <w:rFonts w:ascii="Times New Roman" w:hAnsi="Times New Roman" w:cs="Times New Roman"/>
          <w:sz w:val="24"/>
          <w:szCs w:val="24"/>
        </w:rPr>
        <w:t>.</w:t>
      </w:r>
      <w:r w:rsidR="00B5022B">
        <w:rPr>
          <w:rFonts w:ascii="Times New Roman" w:hAnsi="Times New Roman" w:cs="Times New Roman"/>
          <w:sz w:val="24"/>
          <w:szCs w:val="24"/>
        </w:rPr>
        <w:t xml:space="preserve"> </w:t>
      </w:r>
      <w:r w:rsidR="004E3786">
        <w:rPr>
          <w:rFonts w:ascii="Times New Roman" w:hAnsi="Times New Roman" w:cs="Times New Roman"/>
          <w:sz w:val="24"/>
          <w:szCs w:val="24"/>
        </w:rPr>
        <w:t>One</w:t>
      </w:r>
      <w:r w:rsidR="00E76A30">
        <w:rPr>
          <w:rFonts w:ascii="Times New Roman" w:hAnsi="Times New Roman" w:cs="Times New Roman"/>
          <w:sz w:val="24"/>
          <w:szCs w:val="24"/>
        </w:rPr>
        <w:t xml:space="preserve"> possible exception</w:t>
      </w:r>
      <w:r w:rsidR="00E3065F">
        <w:rPr>
          <w:rFonts w:ascii="Times New Roman" w:hAnsi="Times New Roman" w:cs="Times New Roman"/>
          <w:sz w:val="24"/>
          <w:szCs w:val="24"/>
        </w:rPr>
        <w:t xml:space="preserve"> </w:t>
      </w:r>
      <w:r w:rsidR="00844150">
        <w:rPr>
          <w:rFonts w:ascii="Times New Roman" w:hAnsi="Times New Roman" w:cs="Times New Roman"/>
          <w:sz w:val="24"/>
          <w:szCs w:val="24"/>
        </w:rPr>
        <w:t>can be found in the form</w:t>
      </w:r>
      <w:r w:rsidR="00B5022B">
        <w:rPr>
          <w:rFonts w:ascii="Times New Roman" w:hAnsi="Times New Roman" w:cs="Times New Roman"/>
          <w:sz w:val="24"/>
          <w:szCs w:val="24"/>
        </w:rPr>
        <w:t xml:space="preserve"> </w:t>
      </w:r>
      <w:r w:rsidR="00844150">
        <w:rPr>
          <w:rFonts w:ascii="Times New Roman" w:hAnsi="Times New Roman" w:cs="Times New Roman"/>
          <w:sz w:val="24"/>
          <w:szCs w:val="24"/>
        </w:rPr>
        <w:t>of</w:t>
      </w:r>
      <w:r w:rsidR="00B5022B">
        <w:rPr>
          <w:rFonts w:ascii="Times New Roman" w:hAnsi="Times New Roman" w:cs="Times New Roman"/>
          <w:sz w:val="24"/>
          <w:szCs w:val="24"/>
        </w:rPr>
        <w:t xml:space="preserve"> interjections that deviate from the agreed agenda</w:t>
      </w:r>
      <w:r w:rsidR="004E3786">
        <w:rPr>
          <w:rFonts w:ascii="Times New Roman" w:hAnsi="Times New Roman" w:cs="Times New Roman"/>
          <w:sz w:val="24"/>
          <w:szCs w:val="24"/>
        </w:rPr>
        <w:t xml:space="preserve"> at informal meetings</w:t>
      </w:r>
      <w:r w:rsidR="00B5022B">
        <w:rPr>
          <w:rFonts w:ascii="Times New Roman" w:hAnsi="Times New Roman" w:cs="Times New Roman"/>
          <w:sz w:val="24"/>
          <w:szCs w:val="24"/>
        </w:rPr>
        <w:t>.</w:t>
      </w:r>
      <w:r w:rsidR="00E3065F">
        <w:rPr>
          <w:rFonts w:ascii="Times New Roman" w:hAnsi="Times New Roman" w:cs="Times New Roman"/>
          <w:sz w:val="24"/>
          <w:szCs w:val="24"/>
        </w:rPr>
        <w:t xml:space="preserve"> </w:t>
      </w:r>
      <w:r w:rsidR="00844150">
        <w:rPr>
          <w:rFonts w:ascii="Times New Roman" w:hAnsi="Times New Roman" w:cs="Times New Roman"/>
          <w:sz w:val="24"/>
          <w:szCs w:val="24"/>
        </w:rPr>
        <w:t xml:space="preserve">Considering </w:t>
      </w:r>
      <w:r w:rsidR="00C6000F">
        <w:rPr>
          <w:rFonts w:ascii="Times New Roman" w:hAnsi="Times New Roman" w:cs="Times New Roman"/>
          <w:sz w:val="24"/>
          <w:szCs w:val="24"/>
        </w:rPr>
        <w:t xml:space="preserve">that </w:t>
      </w:r>
      <w:r w:rsidR="00097EB9">
        <w:rPr>
          <w:rFonts w:ascii="Times New Roman" w:hAnsi="Times New Roman" w:cs="Times New Roman"/>
          <w:sz w:val="24"/>
          <w:szCs w:val="24"/>
        </w:rPr>
        <w:t xml:space="preserve">agreeing </w:t>
      </w:r>
      <w:r w:rsidR="00D52426">
        <w:rPr>
          <w:rFonts w:ascii="Times New Roman" w:hAnsi="Times New Roman" w:cs="Times New Roman"/>
          <w:sz w:val="24"/>
          <w:szCs w:val="24"/>
        </w:rPr>
        <w:t>an</w:t>
      </w:r>
      <w:r w:rsidR="00097EB9">
        <w:rPr>
          <w:rFonts w:ascii="Times New Roman" w:hAnsi="Times New Roman" w:cs="Times New Roman"/>
          <w:sz w:val="24"/>
          <w:szCs w:val="24"/>
        </w:rPr>
        <w:t xml:space="preserve"> agenda is seen as controversial, avoiding </w:t>
      </w:r>
      <w:r w:rsidR="001211CA">
        <w:rPr>
          <w:rFonts w:ascii="Times New Roman" w:hAnsi="Times New Roman" w:cs="Times New Roman"/>
          <w:sz w:val="24"/>
          <w:szCs w:val="24"/>
        </w:rPr>
        <w:t>such controversy</w:t>
      </w:r>
      <w:r w:rsidR="00097EB9">
        <w:rPr>
          <w:rFonts w:ascii="Times New Roman" w:hAnsi="Times New Roman" w:cs="Times New Roman"/>
          <w:sz w:val="24"/>
          <w:szCs w:val="24"/>
        </w:rPr>
        <w:t xml:space="preserve"> requires the aforementioned </w:t>
      </w:r>
      <w:r w:rsidR="00097EB9" w:rsidRPr="00097EB9">
        <w:rPr>
          <w:rFonts w:ascii="Times New Roman" w:hAnsi="Times New Roman" w:cs="Times New Roman"/>
          <w:i/>
          <w:sz w:val="24"/>
          <w:szCs w:val="24"/>
        </w:rPr>
        <w:t>expertise</w:t>
      </w:r>
      <w:r w:rsidR="00097EB9">
        <w:rPr>
          <w:rFonts w:ascii="Times New Roman" w:hAnsi="Times New Roman" w:cs="Times New Roman"/>
          <w:sz w:val="24"/>
          <w:szCs w:val="24"/>
        </w:rPr>
        <w:t xml:space="preserve"> and to some extent </w:t>
      </w:r>
      <w:r w:rsidR="00097EB9" w:rsidRPr="00097EB9">
        <w:rPr>
          <w:rFonts w:ascii="Times New Roman" w:hAnsi="Times New Roman" w:cs="Times New Roman"/>
          <w:i/>
          <w:sz w:val="24"/>
          <w:szCs w:val="24"/>
        </w:rPr>
        <w:t>personality</w:t>
      </w:r>
      <w:r w:rsidR="006C7162">
        <w:rPr>
          <w:rFonts w:ascii="Times New Roman" w:hAnsi="Times New Roman" w:cs="Times New Roman"/>
          <w:sz w:val="24"/>
          <w:szCs w:val="24"/>
        </w:rPr>
        <w:t xml:space="preserve"> as well.</w:t>
      </w:r>
    </w:p>
    <w:p w14:paraId="6D920F32" w14:textId="324CF505" w:rsidR="0008635E" w:rsidRDefault="0046319D" w:rsidP="00E3430D">
      <w:pPr>
        <w:pStyle w:val="Heading1"/>
        <w:keepLines w:val="0"/>
        <w:spacing w:before="360" w:after="60" w:line="360" w:lineRule="auto"/>
        <w:ind w:right="567"/>
        <w:contextualSpacing/>
        <w:rPr>
          <w:rFonts w:ascii="Times New Roman" w:eastAsia="Times New Roman" w:hAnsi="Times New Roman" w:cs="Times New Roman"/>
          <w:color w:val="auto"/>
          <w:kern w:val="32"/>
          <w:sz w:val="24"/>
          <w:lang w:eastAsia="en-GB"/>
        </w:rPr>
      </w:pPr>
      <w:r w:rsidRPr="00E96F08">
        <w:rPr>
          <w:rFonts w:ascii="Times New Roman" w:eastAsia="Times New Roman" w:hAnsi="Times New Roman" w:cs="Times New Roman"/>
          <w:color w:val="auto"/>
          <w:kern w:val="32"/>
          <w:sz w:val="24"/>
          <w:lang w:eastAsia="en-GB"/>
        </w:rPr>
        <w:t>Conclusions</w:t>
      </w:r>
    </w:p>
    <w:p w14:paraId="5F95CC97" w14:textId="61198F19" w:rsidR="00C948DA" w:rsidRPr="00E96F08" w:rsidRDefault="00C948DA" w:rsidP="00C948DA">
      <w:pPr>
        <w:pStyle w:val="Displayedquotation"/>
        <w:ind w:left="706" w:right="432"/>
      </w:pPr>
      <w:r w:rsidRPr="00E96F08">
        <w:t>When generation of theory is the aim, however, one is constantly alert to emergent perspectives, what will change and help develop the theory. These perspectives can easily occur on the final day of study or when the manuscript is reviewed in page proof: so the published word is not the final one, but only a pause in the never-endi</w:t>
      </w:r>
      <w:r>
        <w:t>ng process of generating theory</w:t>
      </w:r>
      <w:r w:rsidRPr="00E96F08">
        <w:t xml:space="preserve"> (Glaser and Strauss: 1967, p. 40)</w:t>
      </w:r>
      <w:r>
        <w:t>.</w:t>
      </w:r>
    </w:p>
    <w:p w14:paraId="04CAF227" w14:textId="45F0E3FD" w:rsidR="00F3132C" w:rsidRPr="000821BA" w:rsidRDefault="00A72603" w:rsidP="00C948DA">
      <w:pPr>
        <w:spacing w:line="480" w:lineRule="auto"/>
        <w:rPr>
          <w:rFonts w:ascii="Times New Roman" w:hAnsi="Times New Roman" w:cs="Times New Roman"/>
          <w:sz w:val="24"/>
          <w:szCs w:val="24"/>
        </w:rPr>
      </w:pPr>
      <w:r w:rsidRPr="00E96F08">
        <w:rPr>
          <w:rFonts w:ascii="Times New Roman" w:hAnsi="Times New Roman" w:cs="Times New Roman"/>
          <w:sz w:val="24"/>
          <w:szCs w:val="24"/>
        </w:rPr>
        <w:t xml:space="preserve">We set out to shed light onto the decision-making in the NAC and the PSC, and the </w:t>
      </w:r>
      <w:r w:rsidR="003C7B2F" w:rsidRPr="00E96F08">
        <w:rPr>
          <w:rFonts w:ascii="Times New Roman" w:hAnsi="Times New Roman" w:cs="Times New Roman"/>
          <w:sz w:val="24"/>
          <w:szCs w:val="24"/>
        </w:rPr>
        <w:t xml:space="preserve">inter-organisational practices that emerge from the views of ambassadors involved in joint NAC-PSC meetings. </w:t>
      </w:r>
      <w:r w:rsidR="6D920F32" w:rsidRPr="00E96F08">
        <w:rPr>
          <w:rFonts w:ascii="Times New Roman" w:hAnsi="Times New Roman" w:cs="Times New Roman"/>
          <w:sz w:val="24"/>
          <w:szCs w:val="24"/>
        </w:rPr>
        <w:t xml:space="preserve">To our knowledge, data collection on these meetings has never been undertaken, at least </w:t>
      </w:r>
      <w:r w:rsidR="000821BA">
        <w:rPr>
          <w:rFonts w:ascii="Times New Roman" w:hAnsi="Times New Roman" w:cs="Times New Roman"/>
          <w:sz w:val="24"/>
          <w:szCs w:val="24"/>
        </w:rPr>
        <w:t xml:space="preserve">not </w:t>
      </w:r>
      <w:r w:rsidR="6D920F32" w:rsidRPr="00E96F08">
        <w:rPr>
          <w:rFonts w:ascii="Times New Roman" w:hAnsi="Times New Roman" w:cs="Times New Roman"/>
          <w:sz w:val="24"/>
          <w:szCs w:val="24"/>
        </w:rPr>
        <w:t xml:space="preserve">with regard to the minutia of process and dynamic of both formal and informal NAC-PSC meetings. </w:t>
      </w:r>
      <w:r w:rsidR="00097274" w:rsidRPr="00E96F08">
        <w:rPr>
          <w:rFonts w:ascii="Times New Roman" w:hAnsi="Times New Roman" w:cs="Times New Roman"/>
          <w:sz w:val="24"/>
          <w:szCs w:val="24"/>
        </w:rPr>
        <w:t xml:space="preserve">We realise that given the </w:t>
      </w:r>
      <w:r w:rsidR="00FB3188">
        <w:rPr>
          <w:rFonts w:ascii="Times New Roman" w:hAnsi="Times New Roman" w:cs="Times New Roman"/>
          <w:sz w:val="24"/>
          <w:szCs w:val="24"/>
        </w:rPr>
        <w:t xml:space="preserve">inherently </w:t>
      </w:r>
      <w:r w:rsidR="00951584">
        <w:rPr>
          <w:rFonts w:ascii="Times New Roman" w:hAnsi="Times New Roman" w:cs="Times New Roman"/>
          <w:sz w:val="24"/>
          <w:szCs w:val="24"/>
        </w:rPr>
        <w:t>small</w:t>
      </w:r>
      <w:r w:rsidR="00FB3188" w:rsidRPr="000821BA">
        <w:rPr>
          <w:rFonts w:ascii="Times New Roman" w:hAnsi="Times New Roman" w:cs="Times New Roman"/>
          <w:sz w:val="24"/>
          <w:szCs w:val="24"/>
        </w:rPr>
        <w:t xml:space="preserve"> </w:t>
      </w:r>
      <w:r w:rsidR="00097274" w:rsidRPr="000821BA">
        <w:rPr>
          <w:rFonts w:ascii="Times New Roman" w:hAnsi="Times New Roman" w:cs="Times New Roman"/>
          <w:sz w:val="24"/>
          <w:szCs w:val="24"/>
        </w:rPr>
        <w:t xml:space="preserve">size of the sample, and the general limitations of any investigation in the area of security and defence, any tentative hypothesising is potentially premature. That said, we feel that </w:t>
      </w:r>
      <w:r w:rsidR="00FA66A1" w:rsidRPr="000821BA">
        <w:rPr>
          <w:rFonts w:ascii="Times New Roman" w:hAnsi="Times New Roman" w:cs="Times New Roman"/>
          <w:sz w:val="24"/>
          <w:szCs w:val="24"/>
        </w:rPr>
        <w:t>our</w:t>
      </w:r>
      <w:r w:rsidR="6D920F32" w:rsidRPr="000821BA">
        <w:rPr>
          <w:rFonts w:ascii="Times New Roman" w:hAnsi="Times New Roman" w:cs="Times New Roman"/>
          <w:sz w:val="24"/>
          <w:szCs w:val="24"/>
        </w:rPr>
        <w:t xml:space="preserve"> initial findings go some way towards both the </w:t>
      </w:r>
      <w:r w:rsidR="00097274" w:rsidRPr="000821BA">
        <w:rPr>
          <w:rFonts w:ascii="Times New Roman" w:hAnsi="Times New Roman" w:cs="Times New Roman"/>
          <w:sz w:val="24"/>
          <w:szCs w:val="24"/>
        </w:rPr>
        <w:t xml:space="preserve">wider </w:t>
      </w:r>
      <w:r w:rsidR="00FA66A1" w:rsidRPr="000821BA">
        <w:rPr>
          <w:rFonts w:ascii="Times New Roman" w:hAnsi="Times New Roman" w:cs="Times New Roman"/>
          <w:sz w:val="24"/>
          <w:szCs w:val="24"/>
        </w:rPr>
        <w:t>objective</w:t>
      </w:r>
      <w:r w:rsidR="6D920F32" w:rsidRPr="000821BA">
        <w:rPr>
          <w:rFonts w:ascii="Times New Roman" w:hAnsi="Times New Roman" w:cs="Times New Roman"/>
          <w:sz w:val="24"/>
          <w:szCs w:val="24"/>
        </w:rPr>
        <w:t xml:space="preserve"> of this special issue</w:t>
      </w:r>
      <w:r w:rsidR="00FA66A1" w:rsidRPr="000821BA">
        <w:rPr>
          <w:rFonts w:ascii="Times New Roman" w:hAnsi="Times New Roman" w:cs="Times New Roman"/>
          <w:sz w:val="24"/>
          <w:szCs w:val="24"/>
        </w:rPr>
        <w:t xml:space="preserve"> to further develop the EU-NATO research agenda, and more specifically, </w:t>
      </w:r>
      <w:r w:rsidR="6D920F32" w:rsidRPr="000821BA">
        <w:rPr>
          <w:rFonts w:ascii="Times New Roman" w:hAnsi="Times New Roman" w:cs="Times New Roman"/>
          <w:sz w:val="24"/>
          <w:szCs w:val="24"/>
        </w:rPr>
        <w:t xml:space="preserve">towards filling a </w:t>
      </w:r>
      <w:r w:rsidR="00FA66A1" w:rsidRPr="000821BA">
        <w:rPr>
          <w:rFonts w:ascii="Times New Roman" w:hAnsi="Times New Roman" w:cs="Times New Roman"/>
          <w:sz w:val="24"/>
          <w:szCs w:val="24"/>
        </w:rPr>
        <w:t>gap</w:t>
      </w:r>
      <w:r w:rsidR="6D920F32" w:rsidRPr="000821BA">
        <w:rPr>
          <w:rFonts w:ascii="Times New Roman" w:hAnsi="Times New Roman" w:cs="Times New Roman"/>
          <w:sz w:val="24"/>
          <w:szCs w:val="24"/>
        </w:rPr>
        <w:t xml:space="preserve"> in the </w:t>
      </w:r>
      <w:r w:rsidR="6D920F32" w:rsidRPr="000821BA">
        <w:rPr>
          <w:rFonts w:ascii="Times New Roman" w:hAnsi="Times New Roman" w:cs="Times New Roman"/>
          <w:sz w:val="24"/>
          <w:szCs w:val="24"/>
        </w:rPr>
        <w:lastRenderedPageBreak/>
        <w:t>l</w:t>
      </w:r>
      <w:r w:rsidR="00FA66A1" w:rsidRPr="000821BA">
        <w:rPr>
          <w:rFonts w:ascii="Times New Roman" w:hAnsi="Times New Roman" w:cs="Times New Roman"/>
          <w:sz w:val="24"/>
          <w:szCs w:val="24"/>
        </w:rPr>
        <w:t>iterature that contributes to a deeper</w:t>
      </w:r>
      <w:r w:rsidR="6D920F32" w:rsidRPr="000821BA">
        <w:rPr>
          <w:rFonts w:ascii="Times New Roman" w:hAnsi="Times New Roman" w:cs="Times New Roman"/>
          <w:sz w:val="24"/>
          <w:szCs w:val="24"/>
        </w:rPr>
        <w:t xml:space="preserve"> understanding of the subtleties</w:t>
      </w:r>
      <w:r w:rsidR="000F7378">
        <w:rPr>
          <w:rFonts w:ascii="Times New Roman" w:hAnsi="Times New Roman" w:cs="Times New Roman"/>
          <w:sz w:val="24"/>
          <w:szCs w:val="24"/>
        </w:rPr>
        <w:t xml:space="preserve"> and deficiencies</w:t>
      </w:r>
      <w:r w:rsidR="6D920F32" w:rsidRPr="000821BA">
        <w:rPr>
          <w:rFonts w:ascii="Times New Roman" w:hAnsi="Times New Roman" w:cs="Times New Roman"/>
          <w:sz w:val="24"/>
          <w:szCs w:val="24"/>
        </w:rPr>
        <w:t xml:space="preserve"> in joint decision-making </w:t>
      </w:r>
      <w:r w:rsidR="00FA66A1" w:rsidRPr="000821BA">
        <w:rPr>
          <w:rFonts w:ascii="Times New Roman" w:hAnsi="Times New Roman" w:cs="Times New Roman"/>
          <w:sz w:val="24"/>
          <w:szCs w:val="24"/>
        </w:rPr>
        <w:t>between the</w:t>
      </w:r>
      <w:r w:rsidR="6D920F32" w:rsidRPr="000821BA">
        <w:rPr>
          <w:rFonts w:ascii="Times New Roman" w:hAnsi="Times New Roman" w:cs="Times New Roman"/>
          <w:sz w:val="24"/>
          <w:szCs w:val="24"/>
        </w:rPr>
        <w:t xml:space="preserve"> </w:t>
      </w:r>
      <w:r w:rsidR="00FA66A1" w:rsidRPr="000821BA">
        <w:rPr>
          <w:rFonts w:ascii="Times New Roman" w:hAnsi="Times New Roman" w:cs="Times New Roman"/>
          <w:sz w:val="24"/>
          <w:szCs w:val="24"/>
        </w:rPr>
        <w:t>NAC and the PSC</w:t>
      </w:r>
      <w:r w:rsidR="6D920F32" w:rsidRPr="000821BA">
        <w:rPr>
          <w:rFonts w:ascii="Times New Roman" w:hAnsi="Times New Roman" w:cs="Times New Roman"/>
          <w:sz w:val="24"/>
          <w:szCs w:val="24"/>
        </w:rPr>
        <w:t xml:space="preserve">. </w:t>
      </w:r>
      <w:r w:rsidR="002F4F0B" w:rsidRPr="000821BA">
        <w:rPr>
          <w:rFonts w:ascii="Times New Roman" w:hAnsi="Times New Roman" w:cs="Times New Roman"/>
          <w:sz w:val="24"/>
          <w:szCs w:val="24"/>
        </w:rPr>
        <w:t xml:space="preserve">Induction helps generate probable “truths”, which proves to be a fruitful exercise in an issue area that is notoriously understudied. </w:t>
      </w:r>
      <w:r w:rsidR="00F25D3C" w:rsidRPr="000821BA">
        <w:rPr>
          <w:rFonts w:ascii="Times New Roman" w:hAnsi="Times New Roman" w:cs="Times New Roman"/>
          <w:sz w:val="24"/>
          <w:szCs w:val="24"/>
        </w:rPr>
        <w:t>We argue that the</w:t>
      </w:r>
      <w:r w:rsidR="002F4F0B" w:rsidRPr="000821BA">
        <w:rPr>
          <w:rFonts w:ascii="Times New Roman" w:hAnsi="Times New Roman" w:cs="Times New Roman"/>
          <w:sz w:val="24"/>
          <w:szCs w:val="24"/>
        </w:rPr>
        <w:t xml:space="preserve"> openness and potential of inductive reasoning </w:t>
      </w:r>
      <w:r w:rsidR="00F25D3C" w:rsidRPr="000821BA">
        <w:rPr>
          <w:rFonts w:ascii="Times New Roman" w:hAnsi="Times New Roman" w:cs="Times New Roman"/>
          <w:sz w:val="24"/>
          <w:szCs w:val="24"/>
        </w:rPr>
        <w:t>clearly outweighs</w:t>
      </w:r>
      <w:r w:rsidR="002F4F0B" w:rsidRPr="000821BA">
        <w:rPr>
          <w:rFonts w:ascii="Times New Roman" w:hAnsi="Times New Roman" w:cs="Times New Roman"/>
          <w:sz w:val="24"/>
          <w:szCs w:val="24"/>
        </w:rPr>
        <w:t xml:space="preserve"> </w:t>
      </w:r>
      <w:r w:rsidR="00F87DBC" w:rsidRPr="000821BA">
        <w:rPr>
          <w:rFonts w:ascii="Times New Roman" w:hAnsi="Times New Roman" w:cs="Times New Roman"/>
          <w:sz w:val="24"/>
          <w:szCs w:val="24"/>
        </w:rPr>
        <w:t xml:space="preserve">any deficiencies in </w:t>
      </w:r>
      <w:r w:rsidR="002F4F0B" w:rsidRPr="000821BA">
        <w:rPr>
          <w:rFonts w:ascii="Times New Roman" w:hAnsi="Times New Roman" w:cs="Times New Roman"/>
          <w:sz w:val="24"/>
          <w:szCs w:val="24"/>
        </w:rPr>
        <w:t>the approach.</w:t>
      </w:r>
    </w:p>
    <w:p w14:paraId="44971552" w14:textId="292C730F" w:rsidR="00FA66A1" w:rsidRPr="00E96F08" w:rsidRDefault="00FA66A1" w:rsidP="00FA66A1">
      <w:pPr>
        <w:spacing w:line="480" w:lineRule="auto"/>
        <w:ind w:firstLine="426"/>
        <w:rPr>
          <w:rFonts w:ascii="Times New Roman" w:hAnsi="Times New Roman" w:cs="Times New Roman"/>
          <w:sz w:val="24"/>
          <w:szCs w:val="24"/>
        </w:rPr>
      </w:pPr>
      <w:r w:rsidRPr="000821BA">
        <w:rPr>
          <w:rFonts w:ascii="Times New Roman" w:hAnsi="Times New Roman" w:cs="Times New Roman"/>
          <w:sz w:val="24"/>
          <w:szCs w:val="24"/>
        </w:rPr>
        <w:t xml:space="preserve">Overall, we infer a higher degree of structural influence and some impact of agency on decision-making within the PSC and the NAC, as well as at their less frequent joint meetings. Structures are found in the </w:t>
      </w:r>
      <w:r w:rsidRPr="000821BA">
        <w:rPr>
          <w:rFonts w:ascii="Times New Roman" w:hAnsi="Times New Roman" w:cs="Times New Roman"/>
          <w:i/>
          <w:sz w:val="24"/>
          <w:szCs w:val="24"/>
        </w:rPr>
        <w:t>established procedures</w:t>
      </w:r>
      <w:r w:rsidRPr="000821BA">
        <w:rPr>
          <w:rFonts w:ascii="Times New Roman" w:hAnsi="Times New Roman" w:cs="Times New Roman"/>
          <w:sz w:val="24"/>
          <w:szCs w:val="24"/>
        </w:rPr>
        <w:t xml:space="preserve"> that emerged from the data</w:t>
      </w:r>
      <w:r w:rsidR="00C41C7A" w:rsidRPr="000821BA">
        <w:rPr>
          <w:rFonts w:ascii="Times New Roman" w:hAnsi="Times New Roman" w:cs="Times New Roman"/>
          <w:sz w:val="24"/>
          <w:szCs w:val="24"/>
        </w:rPr>
        <w:t xml:space="preserve"> as well as in </w:t>
      </w:r>
      <w:r w:rsidRPr="000821BA">
        <w:rPr>
          <w:rFonts w:ascii="Times New Roman" w:hAnsi="Times New Roman" w:cs="Times New Roman"/>
          <w:sz w:val="24"/>
          <w:szCs w:val="24"/>
        </w:rPr>
        <w:t xml:space="preserve">the engrained practices of </w:t>
      </w:r>
      <w:r w:rsidR="00C41C7A" w:rsidRPr="000821BA">
        <w:rPr>
          <w:rFonts w:ascii="Times New Roman" w:hAnsi="Times New Roman" w:cs="Times New Roman"/>
          <w:i/>
          <w:sz w:val="24"/>
          <w:szCs w:val="24"/>
        </w:rPr>
        <w:t>driving</w:t>
      </w:r>
      <w:r w:rsidRPr="000821BA">
        <w:rPr>
          <w:rFonts w:ascii="Times New Roman" w:hAnsi="Times New Roman" w:cs="Times New Roman"/>
          <w:i/>
          <w:sz w:val="24"/>
          <w:szCs w:val="24"/>
        </w:rPr>
        <w:t xml:space="preserve"> consensus</w:t>
      </w:r>
      <w:r w:rsidR="00C41C7A" w:rsidRPr="000821BA">
        <w:rPr>
          <w:rFonts w:ascii="Times New Roman" w:hAnsi="Times New Roman" w:cs="Times New Roman"/>
          <w:i/>
          <w:sz w:val="24"/>
          <w:szCs w:val="24"/>
        </w:rPr>
        <w:t xml:space="preserve"> </w:t>
      </w:r>
      <w:r w:rsidR="00C41C7A" w:rsidRPr="000821BA">
        <w:rPr>
          <w:rFonts w:ascii="Times New Roman" w:hAnsi="Times New Roman" w:cs="Times New Roman"/>
          <w:sz w:val="24"/>
          <w:szCs w:val="24"/>
        </w:rPr>
        <w:t>that our interlocutors outlined;</w:t>
      </w:r>
      <w:r w:rsidRPr="000821BA">
        <w:rPr>
          <w:rFonts w:ascii="Times New Roman" w:hAnsi="Times New Roman" w:cs="Times New Roman"/>
          <w:sz w:val="24"/>
          <w:szCs w:val="24"/>
        </w:rPr>
        <w:t xml:space="preserve"> </w:t>
      </w:r>
      <w:r w:rsidR="00C41C7A" w:rsidRPr="000821BA">
        <w:rPr>
          <w:rFonts w:ascii="Times New Roman" w:hAnsi="Times New Roman" w:cs="Times New Roman"/>
          <w:sz w:val="24"/>
          <w:szCs w:val="24"/>
        </w:rPr>
        <w:t xml:space="preserve">any arguments relating to </w:t>
      </w:r>
      <w:r w:rsidRPr="000821BA">
        <w:rPr>
          <w:rFonts w:ascii="Times New Roman" w:hAnsi="Times New Roman" w:cs="Times New Roman"/>
          <w:i/>
          <w:sz w:val="24"/>
          <w:szCs w:val="24"/>
        </w:rPr>
        <w:t>the role of the ambassador</w:t>
      </w:r>
      <w:r w:rsidR="00C41C7A" w:rsidRPr="000821BA">
        <w:rPr>
          <w:rFonts w:ascii="Times New Roman" w:hAnsi="Times New Roman" w:cs="Times New Roman"/>
          <w:sz w:val="24"/>
          <w:szCs w:val="24"/>
        </w:rPr>
        <w:t>,</w:t>
      </w:r>
      <w:r w:rsidRPr="000821BA">
        <w:rPr>
          <w:rFonts w:ascii="Times New Roman" w:hAnsi="Times New Roman" w:cs="Times New Roman"/>
          <w:sz w:val="24"/>
          <w:szCs w:val="24"/>
        </w:rPr>
        <w:t xml:space="preserve"> </w:t>
      </w:r>
      <w:r w:rsidR="00C41C7A" w:rsidRPr="000821BA">
        <w:rPr>
          <w:rFonts w:ascii="Times New Roman" w:hAnsi="Times New Roman" w:cs="Times New Roman"/>
          <w:sz w:val="24"/>
          <w:szCs w:val="24"/>
        </w:rPr>
        <w:t>in turn, point to the influence of agency, which we argue is largely inconsistent, depending on the political and institutional circumstances</w:t>
      </w:r>
      <w:r w:rsidRPr="000821BA">
        <w:rPr>
          <w:rFonts w:ascii="Times New Roman" w:hAnsi="Times New Roman" w:cs="Times New Roman"/>
          <w:sz w:val="24"/>
          <w:szCs w:val="24"/>
        </w:rPr>
        <w:t>.</w:t>
      </w:r>
      <w:r w:rsidRPr="00E96F08">
        <w:rPr>
          <w:rFonts w:ascii="Times New Roman" w:hAnsi="Times New Roman" w:cs="Times New Roman"/>
          <w:sz w:val="24"/>
          <w:szCs w:val="24"/>
        </w:rPr>
        <w:t xml:space="preserve"> </w:t>
      </w:r>
    </w:p>
    <w:p w14:paraId="41D7309F" w14:textId="0B6650A3" w:rsidR="005008FB" w:rsidRPr="00E96F08" w:rsidRDefault="005008FB" w:rsidP="00DE71D2">
      <w:pPr>
        <w:spacing w:line="480" w:lineRule="auto"/>
        <w:ind w:firstLine="426"/>
        <w:rPr>
          <w:rFonts w:ascii="Times New Roman" w:hAnsi="Times New Roman" w:cs="Times New Roman"/>
          <w:sz w:val="24"/>
          <w:szCs w:val="24"/>
        </w:rPr>
      </w:pPr>
      <w:r w:rsidRPr="005008FB">
        <w:rPr>
          <w:rFonts w:ascii="Times New Roman" w:hAnsi="Times New Roman" w:cs="Times New Roman"/>
          <w:sz w:val="24"/>
          <w:szCs w:val="24"/>
        </w:rPr>
        <w:t xml:space="preserve">The categories that emerged from the data encompass more particular sub-categories. </w:t>
      </w:r>
      <w:r w:rsidR="00814010">
        <w:rPr>
          <w:rFonts w:ascii="Times New Roman" w:hAnsi="Times New Roman" w:cs="Times New Roman"/>
          <w:sz w:val="24"/>
          <w:szCs w:val="24"/>
        </w:rPr>
        <w:t>“</w:t>
      </w:r>
      <w:r w:rsidRPr="00814010">
        <w:rPr>
          <w:rFonts w:ascii="Times New Roman" w:hAnsi="Times New Roman" w:cs="Times New Roman"/>
          <w:sz w:val="24"/>
          <w:szCs w:val="24"/>
        </w:rPr>
        <w:t>Established procedures</w:t>
      </w:r>
      <w:r w:rsidR="00814010">
        <w:rPr>
          <w:rFonts w:ascii="Times New Roman" w:hAnsi="Times New Roman" w:cs="Times New Roman"/>
          <w:sz w:val="24"/>
          <w:szCs w:val="24"/>
        </w:rPr>
        <w:t>”</w:t>
      </w:r>
      <w:r w:rsidRPr="005008FB">
        <w:rPr>
          <w:rFonts w:ascii="Times New Roman" w:hAnsi="Times New Roman" w:cs="Times New Roman"/>
          <w:sz w:val="24"/>
          <w:szCs w:val="24"/>
        </w:rPr>
        <w:t xml:space="preserve"> include</w:t>
      </w:r>
      <w:r w:rsidR="00BA57A4">
        <w:rPr>
          <w:rFonts w:ascii="Times New Roman" w:hAnsi="Times New Roman" w:cs="Times New Roman"/>
          <w:sz w:val="24"/>
          <w:szCs w:val="24"/>
        </w:rPr>
        <w:t>:</w:t>
      </w:r>
      <w:r w:rsidRPr="005008FB">
        <w:rPr>
          <w:rFonts w:ascii="Times New Roman" w:hAnsi="Times New Roman" w:cs="Times New Roman"/>
          <w:sz w:val="24"/>
          <w:szCs w:val="24"/>
        </w:rPr>
        <w:t xml:space="preserve"> </w:t>
      </w:r>
      <w:r w:rsidRPr="00814010">
        <w:rPr>
          <w:rFonts w:ascii="Times New Roman" w:hAnsi="Times New Roman" w:cs="Times New Roman"/>
          <w:i/>
          <w:sz w:val="24"/>
          <w:szCs w:val="24"/>
        </w:rPr>
        <w:t xml:space="preserve">frequency of meetings, preparation of the agenda </w:t>
      </w:r>
      <w:r w:rsidRPr="00814010">
        <w:rPr>
          <w:rFonts w:ascii="Times New Roman" w:hAnsi="Times New Roman" w:cs="Times New Roman"/>
          <w:sz w:val="24"/>
          <w:szCs w:val="24"/>
        </w:rPr>
        <w:t>and</w:t>
      </w:r>
      <w:r w:rsidRPr="00814010">
        <w:rPr>
          <w:rFonts w:ascii="Times New Roman" w:hAnsi="Times New Roman" w:cs="Times New Roman"/>
          <w:i/>
          <w:sz w:val="24"/>
          <w:szCs w:val="24"/>
        </w:rPr>
        <w:t xml:space="preserve"> consensus rule</w:t>
      </w:r>
      <w:r w:rsidRPr="005008FB">
        <w:rPr>
          <w:rFonts w:ascii="Times New Roman" w:hAnsi="Times New Roman" w:cs="Times New Roman"/>
          <w:sz w:val="24"/>
          <w:szCs w:val="24"/>
        </w:rPr>
        <w:t>. The consensus rule is identified as the most rigid structure, as none of our interlocutors expect it to change. As such, the consensus rule conditions a high frequency of meetings and intricate preparation procedures of the agenda and discussion points.</w:t>
      </w:r>
      <w:r w:rsidR="00BA57A4">
        <w:rPr>
          <w:rFonts w:ascii="Times New Roman" w:hAnsi="Times New Roman" w:cs="Times New Roman"/>
          <w:sz w:val="24"/>
          <w:szCs w:val="24"/>
        </w:rPr>
        <w:t xml:space="preserve"> </w:t>
      </w:r>
    </w:p>
    <w:p w14:paraId="5C109B7F" w14:textId="5DAF424E" w:rsidR="00814010" w:rsidRDefault="00814010" w:rsidP="008D7E2C">
      <w:pPr>
        <w:spacing w:line="480" w:lineRule="auto"/>
        <w:rPr>
          <w:rFonts w:ascii="Times New Roman" w:hAnsi="Times New Roman" w:cs="Times New Roman"/>
          <w:sz w:val="24"/>
          <w:szCs w:val="24"/>
        </w:rPr>
      </w:pPr>
      <w:r>
        <w:rPr>
          <w:rFonts w:ascii="Times New Roman" w:hAnsi="Times New Roman" w:cs="Times New Roman"/>
          <w:sz w:val="24"/>
          <w:szCs w:val="24"/>
        </w:rPr>
        <w:t>While this may be the case at the respective NAC and PSC settings, at the</w:t>
      </w:r>
      <w:r w:rsidR="008D7E2C" w:rsidRPr="00831E1A">
        <w:rPr>
          <w:rFonts w:ascii="Times New Roman" w:hAnsi="Times New Roman" w:cs="Times New Roman"/>
          <w:sz w:val="24"/>
          <w:szCs w:val="24"/>
        </w:rPr>
        <w:t xml:space="preserve"> </w:t>
      </w:r>
      <w:r w:rsidR="008D7E2C">
        <w:rPr>
          <w:rFonts w:ascii="Times New Roman" w:hAnsi="Times New Roman" w:cs="Times New Roman"/>
          <w:sz w:val="24"/>
          <w:szCs w:val="24"/>
        </w:rPr>
        <w:t xml:space="preserve">joint </w:t>
      </w:r>
      <w:r>
        <w:rPr>
          <w:rFonts w:ascii="Times New Roman" w:hAnsi="Times New Roman" w:cs="Times New Roman"/>
          <w:sz w:val="24"/>
          <w:szCs w:val="24"/>
        </w:rPr>
        <w:t>PSC-NAC</w:t>
      </w:r>
      <w:r w:rsidR="008D7E2C">
        <w:rPr>
          <w:rFonts w:ascii="Times New Roman" w:hAnsi="Times New Roman" w:cs="Times New Roman"/>
          <w:sz w:val="24"/>
          <w:szCs w:val="24"/>
        </w:rPr>
        <w:t xml:space="preserve"> </w:t>
      </w:r>
      <w:r w:rsidR="008D7E2C" w:rsidRPr="00831E1A">
        <w:rPr>
          <w:rFonts w:ascii="Times New Roman" w:hAnsi="Times New Roman" w:cs="Times New Roman"/>
          <w:sz w:val="24"/>
          <w:szCs w:val="24"/>
        </w:rPr>
        <w:t>meetings, no real consensus is needed</w:t>
      </w:r>
      <w:r w:rsidR="008D7E2C">
        <w:rPr>
          <w:rFonts w:ascii="Times New Roman" w:hAnsi="Times New Roman" w:cs="Times New Roman"/>
          <w:sz w:val="24"/>
          <w:szCs w:val="24"/>
        </w:rPr>
        <w:t xml:space="preserve"> and </w:t>
      </w:r>
      <w:r>
        <w:rPr>
          <w:rFonts w:ascii="Times New Roman" w:hAnsi="Times New Roman" w:cs="Times New Roman"/>
          <w:sz w:val="24"/>
          <w:szCs w:val="24"/>
        </w:rPr>
        <w:t>t</w:t>
      </w:r>
      <w:r w:rsidR="008D7E2C" w:rsidRPr="00831E1A">
        <w:rPr>
          <w:rFonts w:ascii="Times New Roman" w:hAnsi="Times New Roman" w:cs="Times New Roman"/>
          <w:sz w:val="24"/>
          <w:szCs w:val="24"/>
        </w:rPr>
        <w:t xml:space="preserve">he objective of </w:t>
      </w:r>
      <w:r>
        <w:rPr>
          <w:rFonts w:ascii="Times New Roman" w:hAnsi="Times New Roman" w:cs="Times New Roman"/>
          <w:sz w:val="24"/>
          <w:szCs w:val="24"/>
        </w:rPr>
        <w:t xml:space="preserve">these </w:t>
      </w:r>
      <w:r w:rsidR="008D7E2C" w:rsidRPr="00831E1A">
        <w:rPr>
          <w:rFonts w:ascii="Times New Roman" w:hAnsi="Times New Roman" w:cs="Times New Roman"/>
          <w:sz w:val="24"/>
          <w:szCs w:val="24"/>
        </w:rPr>
        <w:t xml:space="preserve">meetings is </w:t>
      </w:r>
      <w:r>
        <w:rPr>
          <w:rFonts w:ascii="Times New Roman" w:hAnsi="Times New Roman" w:cs="Times New Roman"/>
          <w:sz w:val="24"/>
          <w:szCs w:val="24"/>
        </w:rPr>
        <w:t>“</w:t>
      </w:r>
      <w:r w:rsidR="008D7E2C" w:rsidRPr="00831E1A">
        <w:rPr>
          <w:rFonts w:ascii="Times New Roman" w:hAnsi="Times New Roman" w:cs="Times New Roman"/>
          <w:sz w:val="24"/>
          <w:szCs w:val="24"/>
        </w:rPr>
        <w:t>just to have them”.</w:t>
      </w:r>
      <w:r w:rsidR="00BF38BF">
        <w:rPr>
          <w:rFonts w:ascii="Times New Roman" w:hAnsi="Times New Roman" w:cs="Times New Roman"/>
          <w:sz w:val="24"/>
          <w:szCs w:val="24"/>
        </w:rPr>
        <w:t xml:space="preserve"> </w:t>
      </w:r>
      <w:r w:rsidR="000821BA">
        <w:rPr>
          <w:rFonts w:ascii="Times New Roman" w:hAnsi="Times New Roman" w:cs="Times New Roman"/>
          <w:sz w:val="24"/>
          <w:szCs w:val="24"/>
        </w:rPr>
        <w:t>Consequently</w:t>
      </w:r>
      <w:r w:rsidR="00BF38BF">
        <w:rPr>
          <w:rFonts w:ascii="Times New Roman" w:hAnsi="Times New Roman" w:cs="Times New Roman"/>
          <w:sz w:val="24"/>
          <w:szCs w:val="24"/>
        </w:rPr>
        <w:t>, the frequency of these meetings is limited.</w:t>
      </w:r>
      <w:r w:rsidR="008D7E2C" w:rsidRPr="00831E1A">
        <w:rPr>
          <w:rFonts w:ascii="Times New Roman" w:hAnsi="Times New Roman" w:cs="Times New Roman"/>
          <w:sz w:val="24"/>
          <w:szCs w:val="24"/>
        </w:rPr>
        <w:t xml:space="preserve"> However</w:t>
      </w:r>
      <w:r w:rsidR="008D7E2C">
        <w:rPr>
          <w:rFonts w:ascii="Times New Roman" w:hAnsi="Times New Roman" w:cs="Times New Roman"/>
          <w:sz w:val="24"/>
          <w:szCs w:val="24"/>
        </w:rPr>
        <w:t>,</w:t>
      </w:r>
      <w:r w:rsidR="007F03F7">
        <w:rPr>
          <w:rFonts w:ascii="Times New Roman" w:hAnsi="Times New Roman" w:cs="Times New Roman"/>
          <w:sz w:val="24"/>
          <w:szCs w:val="24"/>
        </w:rPr>
        <w:t xml:space="preserve"> individually</w:t>
      </w:r>
      <w:r w:rsidR="008D7E2C" w:rsidRPr="00831E1A">
        <w:rPr>
          <w:rFonts w:ascii="Times New Roman" w:hAnsi="Times New Roman" w:cs="Times New Roman"/>
          <w:sz w:val="24"/>
          <w:szCs w:val="24"/>
        </w:rPr>
        <w:t xml:space="preserve"> established </w:t>
      </w:r>
      <w:r w:rsidR="00BF38BF">
        <w:rPr>
          <w:rFonts w:ascii="Times New Roman" w:hAnsi="Times New Roman" w:cs="Times New Roman"/>
          <w:sz w:val="24"/>
          <w:szCs w:val="24"/>
        </w:rPr>
        <w:t xml:space="preserve">agenda preparation </w:t>
      </w:r>
      <w:r w:rsidR="008D7E2C" w:rsidRPr="00831E1A">
        <w:rPr>
          <w:rFonts w:ascii="Times New Roman" w:hAnsi="Times New Roman" w:cs="Times New Roman"/>
          <w:sz w:val="24"/>
          <w:szCs w:val="24"/>
        </w:rPr>
        <w:t>procedures still feature in the common meetings</w:t>
      </w:r>
      <w:r w:rsidR="00BF38BF">
        <w:rPr>
          <w:rFonts w:ascii="Times New Roman" w:hAnsi="Times New Roman" w:cs="Times New Roman"/>
          <w:sz w:val="24"/>
          <w:szCs w:val="24"/>
        </w:rPr>
        <w:t>.</w:t>
      </w:r>
      <w:r w:rsidR="007F03F7">
        <w:rPr>
          <w:rFonts w:ascii="Times New Roman" w:hAnsi="Times New Roman" w:cs="Times New Roman"/>
          <w:sz w:val="24"/>
          <w:szCs w:val="24"/>
        </w:rPr>
        <w:t xml:space="preserve"> </w:t>
      </w:r>
    </w:p>
    <w:p w14:paraId="2259CF83" w14:textId="77777777" w:rsidR="00843C7A" w:rsidRDefault="00D55564" w:rsidP="00CD11A9">
      <w:pPr>
        <w:spacing w:line="480" w:lineRule="auto"/>
        <w:ind w:firstLine="720"/>
      </w:pPr>
      <w:r w:rsidRPr="00D55564">
        <w:rPr>
          <w:rFonts w:ascii="Times New Roman" w:hAnsi="Times New Roman" w:cs="Times New Roman"/>
          <w:sz w:val="24"/>
          <w:szCs w:val="24"/>
        </w:rPr>
        <w:t xml:space="preserve">The category </w:t>
      </w:r>
      <w:r w:rsidR="001824AF">
        <w:rPr>
          <w:rFonts w:ascii="Times New Roman" w:hAnsi="Times New Roman" w:cs="Times New Roman"/>
          <w:sz w:val="24"/>
          <w:szCs w:val="24"/>
        </w:rPr>
        <w:t xml:space="preserve">“driving consensus” encompasses </w:t>
      </w:r>
      <w:r w:rsidRPr="001824AF">
        <w:rPr>
          <w:rFonts w:ascii="Times New Roman" w:hAnsi="Times New Roman" w:cs="Times New Roman"/>
          <w:i/>
          <w:sz w:val="24"/>
          <w:szCs w:val="24"/>
        </w:rPr>
        <w:t>organisational design</w:t>
      </w:r>
      <w:r w:rsidRPr="00D55564">
        <w:rPr>
          <w:rFonts w:ascii="Times New Roman" w:hAnsi="Times New Roman" w:cs="Times New Roman"/>
          <w:sz w:val="24"/>
          <w:szCs w:val="24"/>
        </w:rPr>
        <w:t xml:space="preserve">, </w:t>
      </w:r>
      <w:r w:rsidRPr="001824AF">
        <w:rPr>
          <w:rFonts w:ascii="Times New Roman" w:hAnsi="Times New Roman" w:cs="Times New Roman"/>
          <w:i/>
          <w:sz w:val="24"/>
          <w:szCs w:val="24"/>
        </w:rPr>
        <w:t>informality</w:t>
      </w:r>
      <w:r w:rsidRPr="00D55564">
        <w:rPr>
          <w:rFonts w:ascii="Times New Roman" w:hAnsi="Times New Roman" w:cs="Times New Roman"/>
          <w:sz w:val="24"/>
          <w:szCs w:val="24"/>
        </w:rPr>
        <w:t xml:space="preserve"> and </w:t>
      </w:r>
      <w:r w:rsidRPr="001824AF">
        <w:rPr>
          <w:rFonts w:ascii="Times New Roman" w:hAnsi="Times New Roman" w:cs="Times New Roman"/>
          <w:i/>
          <w:sz w:val="24"/>
          <w:szCs w:val="24"/>
        </w:rPr>
        <w:t>socialising</w:t>
      </w:r>
      <w:r w:rsidRPr="00D55564">
        <w:rPr>
          <w:rFonts w:ascii="Times New Roman" w:hAnsi="Times New Roman" w:cs="Times New Roman"/>
          <w:sz w:val="24"/>
          <w:szCs w:val="24"/>
        </w:rPr>
        <w:t>. Both the PSC and the NAC are</w:t>
      </w:r>
      <w:r w:rsidR="001824AF">
        <w:rPr>
          <w:rFonts w:ascii="Times New Roman" w:hAnsi="Times New Roman" w:cs="Times New Roman"/>
          <w:sz w:val="24"/>
          <w:szCs w:val="24"/>
        </w:rPr>
        <w:t>,</w:t>
      </w:r>
      <w:r w:rsidRPr="00D55564">
        <w:rPr>
          <w:rFonts w:ascii="Times New Roman" w:hAnsi="Times New Roman" w:cs="Times New Roman"/>
          <w:sz w:val="24"/>
          <w:szCs w:val="24"/>
        </w:rPr>
        <w:t xml:space="preserve"> by design</w:t>
      </w:r>
      <w:r w:rsidR="001824AF">
        <w:rPr>
          <w:rFonts w:ascii="Times New Roman" w:hAnsi="Times New Roman" w:cs="Times New Roman"/>
          <w:sz w:val="24"/>
          <w:szCs w:val="24"/>
        </w:rPr>
        <w:t>,</w:t>
      </w:r>
      <w:r w:rsidRPr="00D55564">
        <w:rPr>
          <w:rFonts w:ascii="Times New Roman" w:hAnsi="Times New Roman" w:cs="Times New Roman"/>
          <w:sz w:val="24"/>
          <w:szCs w:val="24"/>
        </w:rPr>
        <w:t xml:space="preserve"> expected to reach consensus in preparation of the ministerial meetings. The organisational design encourages informality and informality in turn encourages socialising.</w:t>
      </w:r>
      <w:r>
        <w:rPr>
          <w:rFonts w:ascii="Times New Roman" w:hAnsi="Times New Roman" w:cs="Times New Roman"/>
          <w:sz w:val="24"/>
          <w:szCs w:val="24"/>
        </w:rPr>
        <w:t xml:space="preserve"> </w:t>
      </w:r>
      <w:r w:rsidR="001824AF">
        <w:rPr>
          <w:rFonts w:ascii="Times New Roman" w:hAnsi="Times New Roman" w:cs="Times New Roman"/>
          <w:sz w:val="24"/>
          <w:szCs w:val="24"/>
        </w:rPr>
        <w:t xml:space="preserve">In the joint setting, </w:t>
      </w:r>
      <w:r w:rsidR="00DA63CD">
        <w:rPr>
          <w:rFonts w:ascii="Times New Roman" w:hAnsi="Times New Roman" w:cs="Times New Roman"/>
          <w:sz w:val="24"/>
          <w:szCs w:val="24"/>
        </w:rPr>
        <w:t>by</w:t>
      </w:r>
      <w:r w:rsidR="00147F8C">
        <w:rPr>
          <w:rFonts w:ascii="Times New Roman" w:hAnsi="Times New Roman" w:cs="Times New Roman"/>
          <w:sz w:val="24"/>
          <w:szCs w:val="24"/>
        </w:rPr>
        <w:t xml:space="preserve"> design</w:t>
      </w:r>
      <w:r w:rsidR="00DA63CD">
        <w:rPr>
          <w:rFonts w:ascii="Times New Roman" w:hAnsi="Times New Roman" w:cs="Times New Roman"/>
          <w:sz w:val="24"/>
          <w:szCs w:val="24"/>
        </w:rPr>
        <w:t xml:space="preserve">, the agreed </w:t>
      </w:r>
      <w:r w:rsidR="00DA63CD">
        <w:rPr>
          <w:rFonts w:ascii="Times New Roman" w:hAnsi="Times New Roman" w:cs="Times New Roman"/>
          <w:sz w:val="24"/>
          <w:szCs w:val="24"/>
        </w:rPr>
        <w:lastRenderedPageBreak/>
        <w:t xml:space="preserve">framework is not to </w:t>
      </w:r>
      <w:r w:rsidR="00DA63CD">
        <w:rPr>
          <w:rFonts w:ascii="Times New Roman" w:eastAsia="Times New Roman,ＭＳ ゴシック" w:hAnsi="Times New Roman" w:cs="Times New Roman"/>
          <w:sz w:val="24"/>
          <w:szCs w:val="24"/>
        </w:rPr>
        <w:t>formally take</w:t>
      </w:r>
      <w:r w:rsidR="00DA63CD" w:rsidRPr="00CD11A9">
        <w:rPr>
          <w:rFonts w:ascii="Times New Roman" w:eastAsia="Times New Roman,ＭＳ ゴシック" w:hAnsi="Times New Roman" w:cs="Times New Roman"/>
          <w:sz w:val="24"/>
          <w:szCs w:val="24"/>
        </w:rPr>
        <w:t xml:space="preserve"> </w:t>
      </w:r>
      <w:r w:rsidR="00DA63CD">
        <w:rPr>
          <w:rFonts w:ascii="Times New Roman" w:eastAsia="Times New Roman,ＭＳ ゴシック" w:hAnsi="Times New Roman" w:cs="Times New Roman"/>
          <w:sz w:val="24"/>
          <w:szCs w:val="24"/>
        </w:rPr>
        <w:t xml:space="preserve">any decisions which can be operationalised. </w:t>
      </w:r>
      <w:r w:rsidR="00DA63CD">
        <w:rPr>
          <w:rFonts w:ascii="Times New Roman" w:hAnsi="Times New Roman" w:cs="Times New Roman"/>
          <w:sz w:val="24"/>
          <w:szCs w:val="24"/>
        </w:rPr>
        <w:t>For this reason, the</w:t>
      </w:r>
      <w:r w:rsidR="00CD11A9" w:rsidRPr="00CD11A9">
        <w:rPr>
          <w:rFonts w:ascii="Times New Roman" w:eastAsia="Times New Roman,ＭＳ ゴシック" w:hAnsi="Times New Roman" w:cs="Times New Roman"/>
          <w:sz w:val="24"/>
          <w:szCs w:val="24"/>
        </w:rPr>
        <w:t xml:space="preserve"> only real </w:t>
      </w:r>
      <w:r w:rsidR="00CD11A9">
        <w:rPr>
          <w:rFonts w:ascii="Times New Roman" w:eastAsia="Times New Roman,ＭＳ ゴシック" w:hAnsi="Times New Roman" w:cs="Times New Roman"/>
          <w:sz w:val="24"/>
          <w:szCs w:val="24"/>
        </w:rPr>
        <w:t>driver</w:t>
      </w:r>
      <w:r w:rsidR="00CD11A9" w:rsidRPr="00CD11A9">
        <w:rPr>
          <w:rFonts w:ascii="Times New Roman" w:eastAsia="Times New Roman,ＭＳ ゴシック" w:hAnsi="Times New Roman" w:cs="Times New Roman"/>
          <w:sz w:val="24"/>
          <w:szCs w:val="24"/>
        </w:rPr>
        <w:t xml:space="preserve"> </w:t>
      </w:r>
      <w:r w:rsidR="00CD11A9">
        <w:rPr>
          <w:rFonts w:ascii="Times New Roman" w:eastAsia="Times New Roman,ＭＳ ゴシック" w:hAnsi="Times New Roman" w:cs="Times New Roman"/>
          <w:sz w:val="24"/>
          <w:szCs w:val="24"/>
        </w:rPr>
        <w:t xml:space="preserve">of </w:t>
      </w:r>
      <w:r w:rsidR="00DA63CD">
        <w:rPr>
          <w:rFonts w:ascii="Times New Roman" w:eastAsia="Times New Roman,ＭＳ ゴシック" w:hAnsi="Times New Roman" w:cs="Times New Roman"/>
          <w:sz w:val="24"/>
          <w:szCs w:val="24"/>
        </w:rPr>
        <w:t>consensus</w:t>
      </w:r>
      <w:r w:rsidR="00CD11A9" w:rsidRPr="00CD11A9">
        <w:rPr>
          <w:rFonts w:ascii="Times New Roman" w:eastAsia="Times New Roman,ＭＳ ゴシック" w:hAnsi="Times New Roman" w:cs="Times New Roman"/>
          <w:sz w:val="24"/>
          <w:szCs w:val="24"/>
        </w:rPr>
        <w:t xml:space="preserve"> is establishing the agenda itself</w:t>
      </w:r>
      <w:r w:rsidR="00DA63CD">
        <w:rPr>
          <w:rFonts w:ascii="Times New Roman" w:eastAsia="Times New Roman,ＭＳ ゴシック" w:hAnsi="Times New Roman" w:cs="Times New Roman"/>
          <w:sz w:val="24"/>
          <w:szCs w:val="24"/>
        </w:rPr>
        <w:t xml:space="preserve">. </w:t>
      </w:r>
      <w:r w:rsidR="00C00255">
        <w:rPr>
          <w:rFonts w:ascii="Times New Roman" w:eastAsia="Times New Roman,ＭＳ ゴシック" w:hAnsi="Times New Roman" w:cs="Times New Roman"/>
          <w:sz w:val="24"/>
          <w:szCs w:val="24"/>
        </w:rPr>
        <w:t>Considering the agenda is predominantly set by the individual secretariats, any socialising or informality intended to drive consensus is marginal for joint meetings.</w:t>
      </w:r>
      <w:r w:rsidR="00843C7A" w:rsidRPr="00843C7A">
        <w:t xml:space="preserve"> </w:t>
      </w:r>
    </w:p>
    <w:p w14:paraId="5BC36234" w14:textId="135F03E2" w:rsidR="000821BA" w:rsidRDefault="00843C7A" w:rsidP="000821BA">
      <w:pPr>
        <w:spacing w:line="480" w:lineRule="auto"/>
        <w:ind w:firstLine="720"/>
        <w:rPr>
          <w:rFonts w:ascii="Times New Roman" w:eastAsia="Times New Roman,ＭＳ ゴシック" w:hAnsi="Times New Roman" w:cs="Times New Roman"/>
          <w:b/>
          <w:sz w:val="24"/>
          <w:szCs w:val="24"/>
        </w:rPr>
      </w:pPr>
      <w:r w:rsidRPr="00843C7A">
        <w:rPr>
          <w:rFonts w:ascii="Times New Roman" w:eastAsia="Times New Roman,ＭＳ ゴシック" w:hAnsi="Times New Roman" w:cs="Times New Roman"/>
          <w:sz w:val="24"/>
          <w:szCs w:val="24"/>
        </w:rPr>
        <w:t>The</w:t>
      </w:r>
      <w:r w:rsidR="000821BA">
        <w:rPr>
          <w:rFonts w:ascii="Times New Roman" w:eastAsia="Times New Roman,ＭＳ ゴシック" w:hAnsi="Times New Roman" w:cs="Times New Roman"/>
          <w:sz w:val="24"/>
          <w:szCs w:val="24"/>
        </w:rPr>
        <w:t xml:space="preserve"> two structural categories</w:t>
      </w:r>
      <w:r w:rsidR="004F1E87">
        <w:rPr>
          <w:rFonts w:ascii="Times New Roman" w:eastAsia="Times New Roman,ＭＳ ゴシック" w:hAnsi="Times New Roman" w:cs="Times New Roman"/>
          <w:sz w:val="24"/>
          <w:szCs w:val="24"/>
        </w:rPr>
        <w:t xml:space="preserve"> </w:t>
      </w:r>
      <w:r w:rsidR="000821BA">
        <w:rPr>
          <w:rFonts w:ascii="Times New Roman" w:eastAsia="Times New Roman,ＭＳ ゴシック" w:hAnsi="Times New Roman" w:cs="Times New Roman"/>
          <w:sz w:val="24"/>
          <w:szCs w:val="24"/>
        </w:rPr>
        <w:t>(</w:t>
      </w:r>
      <w:r w:rsidR="004F1E87">
        <w:rPr>
          <w:rFonts w:ascii="Times New Roman" w:eastAsia="Times New Roman,ＭＳ ゴシック" w:hAnsi="Times New Roman" w:cs="Times New Roman"/>
          <w:sz w:val="24"/>
          <w:szCs w:val="24"/>
        </w:rPr>
        <w:t>“established procedures” and “driving consensus”</w:t>
      </w:r>
      <w:r w:rsidR="000821BA">
        <w:rPr>
          <w:rFonts w:ascii="Times New Roman" w:eastAsia="Times New Roman,ＭＳ ゴシック" w:hAnsi="Times New Roman" w:cs="Times New Roman"/>
          <w:sz w:val="24"/>
          <w:szCs w:val="24"/>
        </w:rPr>
        <w:t>)</w:t>
      </w:r>
      <w:r w:rsidR="004F1E87">
        <w:rPr>
          <w:rFonts w:ascii="Times New Roman" w:eastAsia="Times New Roman,ＭＳ ゴシック" w:hAnsi="Times New Roman" w:cs="Times New Roman"/>
          <w:sz w:val="24"/>
          <w:szCs w:val="24"/>
        </w:rPr>
        <w:t xml:space="preserve"> </w:t>
      </w:r>
      <w:r w:rsidRPr="00843C7A">
        <w:rPr>
          <w:rFonts w:ascii="Times New Roman" w:eastAsia="Times New Roman,ＭＳ ゴシック" w:hAnsi="Times New Roman" w:cs="Times New Roman"/>
          <w:sz w:val="24"/>
          <w:szCs w:val="24"/>
        </w:rPr>
        <w:t xml:space="preserve">are tightly connected to the predominantly agency focused category of “the role of ambassadors”. This category covers </w:t>
      </w:r>
      <w:r w:rsidRPr="00843C7A">
        <w:rPr>
          <w:rFonts w:ascii="Times New Roman" w:eastAsia="Times New Roman,ＭＳ ゴシック" w:hAnsi="Times New Roman" w:cs="Times New Roman"/>
          <w:i/>
          <w:sz w:val="24"/>
          <w:szCs w:val="24"/>
        </w:rPr>
        <w:t>professionalism</w:t>
      </w:r>
      <w:r w:rsidRPr="00843C7A">
        <w:rPr>
          <w:rFonts w:ascii="Times New Roman" w:eastAsia="Times New Roman,ＭＳ ゴシック" w:hAnsi="Times New Roman" w:cs="Times New Roman"/>
          <w:sz w:val="24"/>
          <w:szCs w:val="24"/>
        </w:rPr>
        <w:t xml:space="preserve">, </w:t>
      </w:r>
      <w:r w:rsidRPr="00843C7A">
        <w:rPr>
          <w:rFonts w:ascii="Times New Roman" w:eastAsia="Times New Roman,ＭＳ ゴシック" w:hAnsi="Times New Roman" w:cs="Times New Roman"/>
          <w:i/>
          <w:sz w:val="24"/>
          <w:szCs w:val="24"/>
        </w:rPr>
        <w:t>expertise</w:t>
      </w:r>
      <w:r w:rsidRPr="00843C7A">
        <w:rPr>
          <w:rFonts w:ascii="Times New Roman" w:eastAsia="Times New Roman,ＭＳ ゴシック" w:hAnsi="Times New Roman" w:cs="Times New Roman"/>
          <w:sz w:val="24"/>
          <w:szCs w:val="24"/>
        </w:rPr>
        <w:t xml:space="preserve">, </w:t>
      </w:r>
      <w:r w:rsidRPr="00843C7A">
        <w:rPr>
          <w:rFonts w:ascii="Times New Roman" w:eastAsia="Times New Roman,ＭＳ ゴシック" w:hAnsi="Times New Roman" w:cs="Times New Roman"/>
          <w:i/>
          <w:sz w:val="24"/>
          <w:szCs w:val="24"/>
        </w:rPr>
        <w:t>freedom of manoeuvre</w:t>
      </w:r>
      <w:r>
        <w:rPr>
          <w:rFonts w:ascii="Times New Roman" w:eastAsia="Times New Roman,ＭＳ ゴシック" w:hAnsi="Times New Roman" w:cs="Times New Roman"/>
          <w:sz w:val="24"/>
          <w:szCs w:val="24"/>
        </w:rPr>
        <w:t xml:space="preserve"> </w:t>
      </w:r>
      <w:r w:rsidRPr="00843C7A">
        <w:rPr>
          <w:rFonts w:ascii="Times New Roman" w:eastAsia="Times New Roman,ＭＳ ゴシック" w:hAnsi="Times New Roman" w:cs="Times New Roman"/>
          <w:sz w:val="24"/>
          <w:szCs w:val="24"/>
        </w:rPr>
        <w:t xml:space="preserve">and the </w:t>
      </w:r>
      <w:r w:rsidRPr="00843C7A">
        <w:rPr>
          <w:rFonts w:ascii="Times New Roman" w:eastAsia="Times New Roman,ＭＳ ゴシック" w:hAnsi="Times New Roman" w:cs="Times New Roman"/>
          <w:i/>
          <w:sz w:val="24"/>
          <w:szCs w:val="24"/>
        </w:rPr>
        <w:t>personality</w:t>
      </w:r>
      <w:r w:rsidRPr="00843C7A">
        <w:rPr>
          <w:rFonts w:ascii="Times New Roman" w:eastAsia="Times New Roman,ＭＳ ゴシック" w:hAnsi="Times New Roman" w:cs="Times New Roman"/>
          <w:sz w:val="24"/>
          <w:szCs w:val="24"/>
        </w:rPr>
        <w:t xml:space="preserve"> of ambassadors. Apart from the structural nature of professionalism (which sets professional boundaries for ambassadors’ acti</w:t>
      </w:r>
      <w:r w:rsidR="009C7B12">
        <w:rPr>
          <w:rFonts w:ascii="Times New Roman" w:eastAsia="Times New Roman,ＭＳ ゴシック" w:hAnsi="Times New Roman" w:cs="Times New Roman"/>
          <w:sz w:val="24"/>
          <w:szCs w:val="24"/>
        </w:rPr>
        <w:t>ons), these sub-categories are</w:t>
      </w:r>
      <w:r w:rsidRPr="00843C7A">
        <w:rPr>
          <w:rFonts w:ascii="Times New Roman" w:eastAsia="Times New Roman,ＭＳ ゴシック" w:hAnsi="Times New Roman" w:cs="Times New Roman"/>
          <w:sz w:val="24"/>
          <w:szCs w:val="24"/>
        </w:rPr>
        <w:t xml:space="preserve"> focusing on the agency of ambassadors. The correlations that emerge from the comparison between the PSC and the NAC suggest that the freedom of manoeuvre is enhanced with a higher level of expertise and agreeable personality. Personality is however still limited within the confines of professionalism. In the joint setting, these correlations are slightly altered.</w:t>
      </w:r>
      <w:r w:rsidR="004F1E87">
        <w:rPr>
          <w:rFonts w:ascii="Times New Roman" w:eastAsia="Times New Roman,ＭＳ ゴシック" w:hAnsi="Times New Roman" w:cs="Times New Roman"/>
          <w:sz w:val="24"/>
          <w:szCs w:val="24"/>
        </w:rPr>
        <w:t xml:space="preserve"> </w:t>
      </w:r>
      <w:r w:rsidR="000821BA">
        <w:rPr>
          <w:rFonts w:ascii="Times New Roman" w:eastAsia="Times New Roman,ＭＳ ゴシック" w:hAnsi="Times New Roman" w:cs="Times New Roman"/>
          <w:sz w:val="24"/>
          <w:szCs w:val="24"/>
        </w:rPr>
        <w:t xml:space="preserve">Professionalism still plays a role but </w:t>
      </w:r>
      <w:r w:rsidR="000821BA">
        <w:rPr>
          <w:rFonts w:ascii="Times New Roman" w:hAnsi="Times New Roman" w:cs="Times New Roman"/>
          <w:sz w:val="24"/>
          <w:szCs w:val="24"/>
        </w:rPr>
        <w:t>a</w:t>
      </w:r>
      <w:r w:rsidR="004F1E87">
        <w:rPr>
          <w:rFonts w:ascii="Times New Roman" w:hAnsi="Times New Roman" w:cs="Times New Roman"/>
          <w:sz w:val="24"/>
          <w:szCs w:val="24"/>
        </w:rPr>
        <w:t xml:space="preserve">ny agency stemming from ambassadors’ </w:t>
      </w:r>
      <w:r w:rsidR="004F1E87" w:rsidRPr="00E96F08">
        <w:rPr>
          <w:rFonts w:ascii="Times New Roman" w:hAnsi="Times New Roman" w:cs="Times New Roman"/>
          <w:i/>
          <w:sz w:val="24"/>
          <w:szCs w:val="24"/>
        </w:rPr>
        <w:t>freedom of manoeuvre</w:t>
      </w:r>
      <w:r w:rsidR="004F1E87" w:rsidRPr="00E96F08">
        <w:rPr>
          <w:rFonts w:ascii="Times New Roman" w:hAnsi="Times New Roman" w:cs="Times New Roman"/>
          <w:sz w:val="24"/>
          <w:szCs w:val="24"/>
        </w:rPr>
        <w:t xml:space="preserve"> and </w:t>
      </w:r>
      <w:r w:rsidR="004F1E87" w:rsidRPr="00E96F08">
        <w:rPr>
          <w:rFonts w:ascii="Times New Roman" w:hAnsi="Times New Roman" w:cs="Times New Roman"/>
          <w:i/>
          <w:sz w:val="24"/>
          <w:szCs w:val="24"/>
        </w:rPr>
        <w:t>personality</w:t>
      </w:r>
      <w:r w:rsidR="004F1E87">
        <w:rPr>
          <w:rFonts w:ascii="Times New Roman" w:hAnsi="Times New Roman" w:cs="Times New Roman"/>
          <w:sz w:val="24"/>
          <w:szCs w:val="24"/>
        </w:rPr>
        <w:t xml:space="preserve"> is restricted by the highly scripted nature of the meetings. </w:t>
      </w:r>
    </w:p>
    <w:p w14:paraId="7CFF19A2" w14:textId="19FB0143" w:rsidR="001E1F55" w:rsidRPr="00E96F08" w:rsidRDefault="001119FF" w:rsidP="0068433B">
      <w:pPr>
        <w:spacing w:line="480" w:lineRule="auto"/>
        <w:ind w:firstLine="720"/>
      </w:pPr>
      <w:r>
        <w:rPr>
          <w:rFonts w:ascii="Times New Roman" w:eastAsia="Times,Times New Roman" w:hAnsi="Times New Roman" w:cs="Times New Roman"/>
          <w:sz w:val="24"/>
          <w:szCs w:val="24"/>
        </w:rPr>
        <w:t xml:space="preserve">These correlations offer </w:t>
      </w:r>
      <w:r w:rsidR="00E97760" w:rsidRPr="00E96F08">
        <w:rPr>
          <w:rFonts w:ascii="Times New Roman" w:eastAsia="Times,Times New Roman" w:hAnsi="Times New Roman" w:cs="Times New Roman"/>
          <w:sz w:val="24"/>
          <w:szCs w:val="24"/>
        </w:rPr>
        <w:t xml:space="preserve">insights into the </w:t>
      </w:r>
      <w:r w:rsidR="005A28F9">
        <w:rPr>
          <w:rFonts w:ascii="Times New Roman" w:eastAsia="Times,Times New Roman" w:hAnsi="Times New Roman" w:cs="Times New Roman"/>
          <w:sz w:val="24"/>
          <w:szCs w:val="24"/>
        </w:rPr>
        <w:t xml:space="preserve">workings of the </w:t>
      </w:r>
      <w:r w:rsidR="00E97760" w:rsidRPr="00E96F08">
        <w:rPr>
          <w:rFonts w:ascii="Times New Roman" w:eastAsia="Times,Times New Roman" w:hAnsi="Times New Roman" w:cs="Times New Roman"/>
          <w:sz w:val="24"/>
          <w:szCs w:val="24"/>
        </w:rPr>
        <w:t>PSC</w:t>
      </w:r>
      <w:r w:rsidR="00B773BE">
        <w:rPr>
          <w:rFonts w:ascii="Times New Roman" w:eastAsia="Times,Times New Roman" w:hAnsi="Times New Roman" w:cs="Times New Roman"/>
          <w:sz w:val="24"/>
          <w:szCs w:val="24"/>
        </w:rPr>
        <w:t>, the NAC</w:t>
      </w:r>
      <w:r w:rsidR="00E97760" w:rsidRPr="00E96F08">
        <w:rPr>
          <w:rFonts w:ascii="Times New Roman" w:eastAsia="Times,Times New Roman" w:hAnsi="Times New Roman" w:cs="Times New Roman"/>
          <w:sz w:val="24"/>
          <w:szCs w:val="24"/>
        </w:rPr>
        <w:t xml:space="preserve"> and </w:t>
      </w:r>
      <w:r w:rsidR="00B773BE">
        <w:rPr>
          <w:rFonts w:ascii="Times New Roman" w:eastAsia="Times,Times New Roman" w:hAnsi="Times New Roman" w:cs="Times New Roman"/>
          <w:sz w:val="24"/>
          <w:szCs w:val="24"/>
        </w:rPr>
        <w:t>the</w:t>
      </w:r>
      <w:r w:rsidR="005A28F9">
        <w:rPr>
          <w:rFonts w:ascii="Times New Roman" w:eastAsia="Times,Times New Roman" w:hAnsi="Times New Roman" w:cs="Times New Roman"/>
          <w:sz w:val="24"/>
          <w:szCs w:val="24"/>
        </w:rPr>
        <w:t>ir</w:t>
      </w:r>
      <w:r w:rsidR="00B773BE">
        <w:rPr>
          <w:rFonts w:ascii="Times New Roman" w:eastAsia="Times,Times New Roman" w:hAnsi="Times New Roman" w:cs="Times New Roman"/>
          <w:sz w:val="24"/>
          <w:szCs w:val="24"/>
        </w:rPr>
        <w:t xml:space="preserve"> joint</w:t>
      </w:r>
      <w:r w:rsidR="005A28F9">
        <w:rPr>
          <w:rFonts w:ascii="Times New Roman" w:eastAsia="Times,Times New Roman" w:hAnsi="Times New Roman" w:cs="Times New Roman"/>
          <w:sz w:val="24"/>
          <w:szCs w:val="24"/>
        </w:rPr>
        <w:t xml:space="preserve"> meetings</w:t>
      </w:r>
      <w:r w:rsidR="00E97760" w:rsidRPr="00E96F08">
        <w:rPr>
          <w:rFonts w:ascii="Times New Roman" w:eastAsia="Times,Times New Roman" w:hAnsi="Times New Roman" w:cs="Times New Roman"/>
          <w:sz w:val="24"/>
          <w:szCs w:val="24"/>
        </w:rPr>
        <w:t xml:space="preserve">, but </w:t>
      </w:r>
      <w:r>
        <w:rPr>
          <w:rFonts w:ascii="Times New Roman" w:eastAsia="Times,Times New Roman" w:hAnsi="Times New Roman" w:cs="Times New Roman"/>
          <w:sz w:val="24"/>
          <w:szCs w:val="24"/>
        </w:rPr>
        <w:t>do</w:t>
      </w:r>
      <w:r w:rsidR="00E97760" w:rsidRPr="00E96F08">
        <w:rPr>
          <w:rFonts w:ascii="Times New Roman" w:eastAsia="Times,Times New Roman" w:hAnsi="Times New Roman" w:cs="Times New Roman"/>
          <w:sz w:val="24"/>
          <w:szCs w:val="24"/>
        </w:rPr>
        <w:t xml:space="preserve"> not </w:t>
      </w:r>
      <w:r w:rsidR="00B773BE">
        <w:rPr>
          <w:rFonts w:ascii="Times New Roman" w:eastAsia="Times,Times New Roman" w:hAnsi="Times New Roman" w:cs="Times New Roman"/>
          <w:sz w:val="24"/>
          <w:szCs w:val="24"/>
        </w:rPr>
        <w:t>advance</w:t>
      </w:r>
      <w:r w:rsidR="00E97760" w:rsidRPr="00E96F08">
        <w:rPr>
          <w:rFonts w:ascii="Times New Roman" w:eastAsia="Times,Times New Roman" w:hAnsi="Times New Roman" w:cs="Times New Roman"/>
          <w:sz w:val="24"/>
          <w:szCs w:val="24"/>
        </w:rPr>
        <w:t xml:space="preserve"> a finali</w:t>
      </w:r>
      <w:r w:rsidR="00B773BE">
        <w:rPr>
          <w:rFonts w:ascii="Times New Roman" w:eastAsia="Times,Times New Roman" w:hAnsi="Times New Roman" w:cs="Times New Roman"/>
          <w:sz w:val="24"/>
          <w:szCs w:val="24"/>
        </w:rPr>
        <w:t>sed theory of decision-making</w:t>
      </w:r>
      <w:r w:rsidR="001E1F55">
        <w:rPr>
          <w:rFonts w:ascii="Times New Roman" w:eastAsia="Times,Times New Roman" w:hAnsi="Times New Roman" w:cs="Times New Roman"/>
          <w:sz w:val="24"/>
          <w:szCs w:val="24"/>
        </w:rPr>
        <w:t xml:space="preserve"> in international security organisations</w:t>
      </w:r>
      <w:r w:rsidR="005A28F9">
        <w:rPr>
          <w:rFonts w:ascii="Times New Roman" w:eastAsia="Times,Times New Roman" w:hAnsi="Times New Roman" w:cs="Times New Roman"/>
          <w:sz w:val="24"/>
          <w:szCs w:val="24"/>
        </w:rPr>
        <w:t xml:space="preserve">. </w:t>
      </w:r>
      <w:r w:rsidRPr="00E96F08">
        <w:rPr>
          <w:rFonts w:ascii="Times New Roman" w:eastAsia="Times,Times New Roman" w:hAnsi="Times New Roman" w:cs="Times New Roman"/>
          <w:sz w:val="24"/>
          <w:szCs w:val="24"/>
        </w:rPr>
        <w:t>F</w:t>
      </w:r>
      <w:r w:rsidR="001716DF">
        <w:rPr>
          <w:rFonts w:ascii="Times New Roman" w:eastAsia="Times,Times New Roman" w:hAnsi="Times New Roman" w:cs="Times New Roman"/>
          <w:sz w:val="24"/>
          <w:szCs w:val="24"/>
        </w:rPr>
        <w:t>or that</w:t>
      </w:r>
      <w:r w:rsidR="00AF4804">
        <w:rPr>
          <w:rFonts w:ascii="Times New Roman" w:eastAsia="Times,Times New Roman" w:hAnsi="Times New Roman" w:cs="Times New Roman"/>
          <w:sz w:val="24"/>
          <w:szCs w:val="24"/>
        </w:rPr>
        <w:t>,</w:t>
      </w:r>
      <w:r w:rsidR="001716DF">
        <w:rPr>
          <w:rFonts w:ascii="Times New Roman" w:eastAsia="Times,Times New Roman" w:hAnsi="Times New Roman" w:cs="Times New Roman"/>
          <w:sz w:val="24"/>
          <w:szCs w:val="24"/>
        </w:rPr>
        <w:t xml:space="preserve"> f</w:t>
      </w:r>
      <w:r w:rsidRPr="00E96F08">
        <w:rPr>
          <w:rFonts w:ascii="Times New Roman" w:eastAsia="Times,Times New Roman" w:hAnsi="Times New Roman" w:cs="Times New Roman"/>
          <w:sz w:val="24"/>
          <w:szCs w:val="24"/>
        </w:rPr>
        <w:t>urther refinement of analysis</w:t>
      </w:r>
      <w:r w:rsidR="001E1F55">
        <w:rPr>
          <w:rFonts w:ascii="Times New Roman" w:eastAsia="Times,Times New Roman" w:hAnsi="Times New Roman" w:cs="Times New Roman"/>
          <w:sz w:val="24"/>
          <w:szCs w:val="24"/>
        </w:rPr>
        <w:t>, data collection</w:t>
      </w:r>
      <w:r w:rsidRPr="00E96F08">
        <w:rPr>
          <w:rFonts w:ascii="Times New Roman" w:eastAsia="Times,Times New Roman" w:hAnsi="Times New Roman" w:cs="Times New Roman"/>
          <w:sz w:val="24"/>
          <w:szCs w:val="24"/>
        </w:rPr>
        <w:t xml:space="preserve"> and theory building </w:t>
      </w:r>
      <w:r w:rsidR="00730DFC">
        <w:rPr>
          <w:rFonts w:ascii="Times New Roman" w:eastAsia="Times,Times New Roman" w:hAnsi="Times New Roman" w:cs="Times New Roman"/>
          <w:sz w:val="24"/>
          <w:szCs w:val="24"/>
        </w:rPr>
        <w:t xml:space="preserve">would be </w:t>
      </w:r>
      <w:r w:rsidR="001E1F55">
        <w:rPr>
          <w:rFonts w:ascii="Times New Roman" w:eastAsia="Times,Times New Roman" w:hAnsi="Times New Roman" w:cs="Times New Roman"/>
          <w:sz w:val="24"/>
          <w:szCs w:val="24"/>
        </w:rPr>
        <w:t>required</w:t>
      </w:r>
      <w:r w:rsidRPr="00E96F08">
        <w:rPr>
          <w:rFonts w:ascii="Times New Roman" w:eastAsia="Times,Times New Roman" w:hAnsi="Times New Roman" w:cs="Times New Roman"/>
          <w:sz w:val="24"/>
          <w:szCs w:val="24"/>
        </w:rPr>
        <w:t xml:space="preserve">. </w:t>
      </w:r>
      <w:r w:rsidR="00972E11">
        <w:rPr>
          <w:rFonts w:ascii="Times New Roman" w:eastAsia="Times,Times New Roman" w:hAnsi="Times New Roman" w:cs="Times New Roman"/>
          <w:sz w:val="24"/>
          <w:szCs w:val="24"/>
        </w:rPr>
        <w:t>However, the</w:t>
      </w:r>
      <w:r w:rsidR="00972E11" w:rsidRPr="00E96F08">
        <w:rPr>
          <w:rFonts w:ascii="Times New Roman" w:eastAsia="Times,Times New Roman" w:hAnsi="Times New Roman" w:cs="Times New Roman"/>
          <w:sz w:val="24"/>
          <w:szCs w:val="24"/>
        </w:rPr>
        <w:t xml:space="preserve"> existing findings and categories that </w:t>
      </w:r>
      <w:r w:rsidR="00972E11">
        <w:rPr>
          <w:rFonts w:ascii="Times New Roman" w:eastAsia="Times,Times New Roman" w:hAnsi="Times New Roman" w:cs="Times New Roman"/>
          <w:sz w:val="24"/>
          <w:szCs w:val="24"/>
        </w:rPr>
        <w:t xml:space="preserve">have </w:t>
      </w:r>
      <w:r w:rsidR="00972E11" w:rsidRPr="00E96F08">
        <w:rPr>
          <w:rFonts w:ascii="Times New Roman" w:eastAsia="Times,Times New Roman" w:hAnsi="Times New Roman" w:cs="Times New Roman"/>
          <w:sz w:val="24"/>
          <w:szCs w:val="24"/>
        </w:rPr>
        <w:t xml:space="preserve">emerged </w:t>
      </w:r>
      <w:r w:rsidR="00972E11">
        <w:rPr>
          <w:rFonts w:ascii="Times New Roman" w:eastAsia="Times,Times New Roman" w:hAnsi="Times New Roman" w:cs="Times New Roman"/>
          <w:sz w:val="24"/>
          <w:szCs w:val="24"/>
        </w:rPr>
        <w:t>from this study are encouraging</w:t>
      </w:r>
      <w:r w:rsidR="00972E11" w:rsidRPr="00E96F08">
        <w:rPr>
          <w:rFonts w:ascii="Times New Roman" w:eastAsia="Times,Times New Roman" w:hAnsi="Times New Roman" w:cs="Times New Roman"/>
          <w:sz w:val="24"/>
          <w:szCs w:val="24"/>
        </w:rPr>
        <w:t xml:space="preserve"> and demonstrate the usefulness of an in</w:t>
      </w:r>
      <w:r w:rsidR="00972E11">
        <w:rPr>
          <w:rFonts w:ascii="Times New Roman" w:eastAsia="Times,Times New Roman" w:hAnsi="Times New Roman" w:cs="Times New Roman"/>
          <w:sz w:val="24"/>
          <w:szCs w:val="24"/>
        </w:rPr>
        <w:t>ductive GT approach. S</w:t>
      </w:r>
      <w:r w:rsidR="001E1F55">
        <w:rPr>
          <w:rFonts w:ascii="Times New Roman" w:eastAsia="Times,Times New Roman" w:hAnsi="Times New Roman" w:cs="Times New Roman"/>
          <w:sz w:val="24"/>
          <w:szCs w:val="24"/>
        </w:rPr>
        <w:t xml:space="preserve">tudying </w:t>
      </w:r>
      <w:r w:rsidR="001E1F55" w:rsidRPr="00E96F08">
        <w:rPr>
          <w:rFonts w:ascii="Times New Roman" w:eastAsia="Times,Times New Roman" w:hAnsi="Times New Roman" w:cs="Times New Roman"/>
          <w:sz w:val="24"/>
          <w:szCs w:val="24"/>
        </w:rPr>
        <w:t>decision-making in the PSC and the NAC using a GT approach</w:t>
      </w:r>
      <w:r w:rsidR="001E1F55">
        <w:rPr>
          <w:rFonts w:ascii="Times New Roman" w:eastAsia="Times,Times New Roman" w:hAnsi="Times New Roman" w:cs="Times New Roman"/>
          <w:sz w:val="24"/>
          <w:szCs w:val="24"/>
        </w:rPr>
        <w:t xml:space="preserve"> </w:t>
      </w:r>
      <w:r w:rsidR="009B57ED">
        <w:rPr>
          <w:rFonts w:ascii="Times New Roman" w:eastAsia="Times,Times New Roman" w:hAnsi="Times New Roman" w:cs="Times New Roman"/>
          <w:sz w:val="24"/>
          <w:szCs w:val="24"/>
        </w:rPr>
        <w:t>is particularly useful</w:t>
      </w:r>
      <w:r w:rsidR="001E1F55">
        <w:rPr>
          <w:rFonts w:ascii="Times New Roman" w:eastAsia="Times,Times New Roman" w:hAnsi="Times New Roman" w:cs="Times New Roman"/>
          <w:sz w:val="24"/>
          <w:szCs w:val="24"/>
        </w:rPr>
        <w:t xml:space="preserve"> </w:t>
      </w:r>
      <w:r w:rsidR="00951969">
        <w:rPr>
          <w:rFonts w:ascii="Times New Roman" w:eastAsia="Times,Times New Roman" w:hAnsi="Times New Roman" w:cs="Times New Roman"/>
          <w:sz w:val="24"/>
          <w:szCs w:val="24"/>
        </w:rPr>
        <w:t xml:space="preserve">for </w:t>
      </w:r>
      <w:r w:rsidR="001E1F55">
        <w:rPr>
          <w:rFonts w:ascii="Times New Roman" w:eastAsia="Times,Times New Roman" w:hAnsi="Times New Roman" w:cs="Times New Roman"/>
          <w:sz w:val="24"/>
          <w:szCs w:val="24"/>
        </w:rPr>
        <w:t>understand</w:t>
      </w:r>
      <w:r w:rsidR="00951969">
        <w:rPr>
          <w:rFonts w:ascii="Times New Roman" w:eastAsia="Times,Times New Roman" w:hAnsi="Times New Roman" w:cs="Times New Roman"/>
          <w:sz w:val="24"/>
          <w:szCs w:val="24"/>
        </w:rPr>
        <w:t xml:space="preserve">ing </w:t>
      </w:r>
      <w:r w:rsidR="009310A5">
        <w:rPr>
          <w:rFonts w:ascii="Times New Roman" w:eastAsia="Times,Times New Roman" w:hAnsi="Times New Roman" w:cs="Times New Roman"/>
          <w:sz w:val="24"/>
          <w:szCs w:val="24"/>
        </w:rPr>
        <w:t xml:space="preserve">the established procedures, consensus building and the role of the ambassadors at </w:t>
      </w:r>
      <w:r w:rsidR="001E1F55">
        <w:rPr>
          <w:rFonts w:ascii="Times New Roman" w:eastAsia="Times,Times New Roman" w:hAnsi="Times New Roman" w:cs="Times New Roman"/>
          <w:sz w:val="24"/>
          <w:szCs w:val="24"/>
        </w:rPr>
        <w:t>the joint meetings for which existing theories are yet to be developed</w:t>
      </w:r>
      <w:r w:rsidR="001E1F55" w:rsidRPr="00E96F08">
        <w:rPr>
          <w:rFonts w:ascii="Times New Roman" w:eastAsia="Times,Times New Roman" w:hAnsi="Times New Roman" w:cs="Times New Roman"/>
          <w:sz w:val="24"/>
          <w:szCs w:val="24"/>
        </w:rPr>
        <w:t>.</w:t>
      </w:r>
      <w:r w:rsidR="001E1F55">
        <w:rPr>
          <w:rFonts w:ascii="Times New Roman" w:eastAsia="Times,Times New Roman" w:hAnsi="Times New Roman" w:cs="Times New Roman"/>
          <w:sz w:val="24"/>
          <w:szCs w:val="24"/>
        </w:rPr>
        <w:t xml:space="preserve"> </w:t>
      </w:r>
      <w:r w:rsidR="009310A5">
        <w:rPr>
          <w:rFonts w:ascii="Times New Roman" w:eastAsia="Times,Times New Roman" w:hAnsi="Times New Roman" w:cs="Times New Roman"/>
          <w:sz w:val="24"/>
          <w:szCs w:val="24"/>
        </w:rPr>
        <w:t xml:space="preserve">In turn, this </w:t>
      </w:r>
      <w:r w:rsidR="00732445">
        <w:rPr>
          <w:rFonts w:ascii="Times New Roman" w:eastAsia="Times,Times New Roman" w:hAnsi="Times New Roman" w:cs="Times New Roman"/>
          <w:sz w:val="24"/>
          <w:szCs w:val="24"/>
        </w:rPr>
        <w:t>approach</w:t>
      </w:r>
      <w:r w:rsidR="009310A5">
        <w:rPr>
          <w:rFonts w:ascii="Times New Roman" w:eastAsia="Times,Times New Roman" w:hAnsi="Times New Roman" w:cs="Times New Roman"/>
          <w:sz w:val="24"/>
          <w:szCs w:val="24"/>
        </w:rPr>
        <w:t xml:space="preserve"> can be used to understand </w:t>
      </w:r>
      <w:r w:rsidR="00DE2440">
        <w:rPr>
          <w:rFonts w:ascii="Times New Roman" w:eastAsia="Times,Times New Roman" w:hAnsi="Times New Roman" w:cs="Times New Roman"/>
          <w:sz w:val="24"/>
          <w:szCs w:val="24"/>
        </w:rPr>
        <w:t xml:space="preserve">both the facilitating and constricting </w:t>
      </w:r>
      <w:r w:rsidR="0020230D">
        <w:rPr>
          <w:rFonts w:ascii="Times New Roman" w:eastAsia="Times,Times New Roman" w:hAnsi="Times New Roman" w:cs="Times New Roman"/>
          <w:sz w:val="24"/>
          <w:szCs w:val="24"/>
        </w:rPr>
        <w:t xml:space="preserve">processes of the </w:t>
      </w:r>
      <w:r w:rsidR="00732445">
        <w:rPr>
          <w:rFonts w:ascii="Times New Roman" w:eastAsia="Times,Times New Roman" w:hAnsi="Times New Roman" w:cs="Times New Roman"/>
          <w:sz w:val="24"/>
          <w:szCs w:val="24"/>
        </w:rPr>
        <w:t>decision-making</w:t>
      </w:r>
      <w:r w:rsidR="00DE2440">
        <w:rPr>
          <w:rFonts w:ascii="Times New Roman" w:eastAsia="Times,Times New Roman" w:hAnsi="Times New Roman" w:cs="Times New Roman"/>
          <w:sz w:val="24"/>
          <w:szCs w:val="24"/>
        </w:rPr>
        <w:t xml:space="preserve"> environment </w:t>
      </w:r>
      <w:r w:rsidR="0020230D">
        <w:rPr>
          <w:rFonts w:ascii="Times New Roman" w:eastAsia="Times,Times New Roman" w:hAnsi="Times New Roman" w:cs="Times New Roman"/>
          <w:sz w:val="24"/>
          <w:szCs w:val="24"/>
        </w:rPr>
        <w:t>in</w:t>
      </w:r>
      <w:r w:rsidR="00DE2440">
        <w:rPr>
          <w:rFonts w:ascii="Times New Roman" w:eastAsia="Times,Times New Roman" w:hAnsi="Times New Roman" w:cs="Times New Roman"/>
          <w:sz w:val="24"/>
          <w:szCs w:val="24"/>
        </w:rPr>
        <w:t xml:space="preserve"> future EU-NATO </w:t>
      </w:r>
      <w:r w:rsidR="00DE2440">
        <w:rPr>
          <w:rFonts w:ascii="Times New Roman" w:eastAsia="Times,Times New Roman" w:hAnsi="Times New Roman" w:cs="Times New Roman"/>
          <w:sz w:val="24"/>
          <w:szCs w:val="24"/>
        </w:rPr>
        <w:lastRenderedPageBreak/>
        <w:t xml:space="preserve">cooperation </w:t>
      </w:r>
      <w:r w:rsidR="0020230D">
        <w:rPr>
          <w:rFonts w:ascii="Times New Roman" w:eastAsia="Times,Times New Roman" w:hAnsi="Times New Roman" w:cs="Times New Roman"/>
          <w:sz w:val="24"/>
          <w:szCs w:val="24"/>
        </w:rPr>
        <w:t xml:space="preserve">- </w:t>
      </w:r>
      <w:r w:rsidR="00DE2440">
        <w:rPr>
          <w:rFonts w:ascii="Times New Roman" w:eastAsia="Times,Times New Roman" w:hAnsi="Times New Roman" w:cs="Times New Roman"/>
          <w:sz w:val="24"/>
          <w:szCs w:val="24"/>
        </w:rPr>
        <w:t>and particularly so if the current political blockages were to be alleviated</w:t>
      </w:r>
      <w:r w:rsidR="005E28C4">
        <w:rPr>
          <w:rFonts w:ascii="Times New Roman" w:eastAsia="Times,Times New Roman" w:hAnsi="Times New Roman" w:cs="Times New Roman"/>
          <w:sz w:val="24"/>
          <w:szCs w:val="24"/>
        </w:rPr>
        <w:t xml:space="preserve">. </w:t>
      </w:r>
      <w:r w:rsidR="0068433B" w:rsidRPr="00E96F08">
        <w:rPr>
          <w:rFonts w:ascii="Times New Roman" w:eastAsia="Times,Times New Roman" w:hAnsi="Times New Roman" w:cs="Times New Roman"/>
          <w:sz w:val="24"/>
          <w:szCs w:val="24"/>
        </w:rPr>
        <w:t xml:space="preserve">This article does not profess to be revolutionary or </w:t>
      </w:r>
      <w:r w:rsidR="00101395">
        <w:rPr>
          <w:rFonts w:ascii="Times New Roman" w:eastAsia="Times,Times New Roman" w:hAnsi="Times New Roman" w:cs="Times New Roman"/>
          <w:sz w:val="24"/>
          <w:szCs w:val="24"/>
        </w:rPr>
        <w:t>ground-breaking</w:t>
      </w:r>
      <w:r w:rsidR="0068433B" w:rsidRPr="00E96F08">
        <w:rPr>
          <w:rFonts w:ascii="Times New Roman" w:eastAsia="Times,Times New Roman" w:hAnsi="Times New Roman" w:cs="Times New Roman"/>
          <w:sz w:val="24"/>
          <w:szCs w:val="24"/>
        </w:rPr>
        <w:t xml:space="preserve">. </w:t>
      </w:r>
      <w:r w:rsidR="00233FA1">
        <w:rPr>
          <w:rFonts w:ascii="Times New Roman" w:eastAsia="Times,Times New Roman" w:hAnsi="Times New Roman" w:cs="Times New Roman"/>
          <w:sz w:val="24"/>
          <w:szCs w:val="24"/>
        </w:rPr>
        <w:t>However, i</w:t>
      </w:r>
      <w:r w:rsidR="0068433B" w:rsidRPr="00E96F08">
        <w:rPr>
          <w:rFonts w:ascii="Times New Roman" w:eastAsia="Times,Times New Roman" w:hAnsi="Times New Roman" w:cs="Times New Roman"/>
          <w:sz w:val="24"/>
          <w:szCs w:val="24"/>
        </w:rPr>
        <w:t xml:space="preserve">t </w:t>
      </w:r>
      <w:r w:rsidR="00233FA1">
        <w:rPr>
          <w:rFonts w:ascii="Times New Roman" w:eastAsia="Times,Times New Roman" w:hAnsi="Times New Roman" w:cs="Times New Roman"/>
          <w:sz w:val="24"/>
          <w:szCs w:val="24"/>
        </w:rPr>
        <w:t>does</w:t>
      </w:r>
      <w:r w:rsidR="00233FA1" w:rsidRPr="00E96F08">
        <w:rPr>
          <w:rFonts w:ascii="Times New Roman" w:eastAsia="Times,Times New Roman" w:hAnsi="Times New Roman" w:cs="Times New Roman"/>
          <w:sz w:val="24"/>
          <w:szCs w:val="24"/>
        </w:rPr>
        <w:t xml:space="preserve"> </w:t>
      </w:r>
      <w:r w:rsidR="00101395">
        <w:rPr>
          <w:rFonts w:ascii="Times New Roman" w:eastAsia="Times,Times New Roman" w:hAnsi="Times New Roman" w:cs="Times New Roman"/>
          <w:sz w:val="24"/>
          <w:szCs w:val="24"/>
        </w:rPr>
        <w:t xml:space="preserve">break ground by </w:t>
      </w:r>
      <w:r w:rsidR="0068433B" w:rsidRPr="00E96F08">
        <w:rPr>
          <w:rFonts w:ascii="Times New Roman" w:eastAsia="Times,Times New Roman" w:hAnsi="Times New Roman" w:cs="Times New Roman"/>
          <w:sz w:val="24"/>
          <w:szCs w:val="24"/>
        </w:rPr>
        <w:t>suggest</w:t>
      </w:r>
      <w:r w:rsidR="00101395">
        <w:rPr>
          <w:rFonts w:ascii="Times New Roman" w:eastAsia="Times,Times New Roman" w:hAnsi="Times New Roman" w:cs="Times New Roman"/>
          <w:sz w:val="24"/>
          <w:szCs w:val="24"/>
        </w:rPr>
        <w:t>ing</w:t>
      </w:r>
      <w:r w:rsidR="0068433B" w:rsidRPr="00E96F08">
        <w:rPr>
          <w:rFonts w:ascii="Times New Roman" w:eastAsia="Times,Times New Roman" w:hAnsi="Times New Roman" w:cs="Times New Roman"/>
          <w:sz w:val="24"/>
          <w:szCs w:val="24"/>
        </w:rPr>
        <w:t xml:space="preserve"> that a direct, inductive approach to a problem may yield similar results as a potentially overly sophisticated and studious deductive approach</w:t>
      </w:r>
      <w:r w:rsidR="005E28C4">
        <w:rPr>
          <w:rFonts w:ascii="Times New Roman" w:eastAsia="Times,Times New Roman" w:hAnsi="Times New Roman" w:cs="Times New Roman"/>
          <w:sz w:val="24"/>
          <w:szCs w:val="24"/>
        </w:rPr>
        <w:t xml:space="preserve"> to studying </w:t>
      </w:r>
      <w:r w:rsidR="005E28C4" w:rsidRPr="00E96F08">
        <w:rPr>
          <w:rFonts w:ascii="Times New Roman" w:eastAsia="Times,Times New Roman" w:hAnsi="Times New Roman" w:cs="Times New Roman"/>
          <w:sz w:val="24"/>
          <w:szCs w:val="24"/>
        </w:rPr>
        <w:t xml:space="preserve">complex decision-making processes </w:t>
      </w:r>
      <w:r w:rsidR="005E28C4">
        <w:rPr>
          <w:rFonts w:ascii="Times New Roman" w:eastAsia="Times,Times New Roman" w:hAnsi="Times New Roman" w:cs="Times New Roman"/>
          <w:sz w:val="24"/>
          <w:szCs w:val="24"/>
        </w:rPr>
        <w:t>with</w:t>
      </w:r>
      <w:r w:rsidR="005E28C4" w:rsidRPr="00E96F08">
        <w:rPr>
          <w:rFonts w:ascii="Times New Roman" w:eastAsia="Times,Times New Roman" w:hAnsi="Times New Roman" w:cs="Times New Roman"/>
          <w:sz w:val="24"/>
          <w:szCs w:val="24"/>
        </w:rPr>
        <w:t xml:space="preserve">in </w:t>
      </w:r>
      <w:r w:rsidR="005E28C4">
        <w:rPr>
          <w:rFonts w:ascii="Times New Roman" w:eastAsia="Times,Times New Roman" w:hAnsi="Times New Roman" w:cs="Times New Roman"/>
          <w:sz w:val="24"/>
          <w:szCs w:val="24"/>
        </w:rPr>
        <w:t xml:space="preserve">the context of </w:t>
      </w:r>
      <w:r w:rsidR="005E28C4" w:rsidRPr="00E96F08">
        <w:rPr>
          <w:rFonts w:ascii="Times New Roman" w:eastAsia="Times,Times New Roman" w:hAnsi="Times New Roman" w:cs="Times New Roman"/>
          <w:sz w:val="24"/>
          <w:szCs w:val="24"/>
        </w:rPr>
        <w:t>international security organisations.</w:t>
      </w:r>
    </w:p>
    <w:p w14:paraId="3AE69245" w14:textId="346C2F02" w:rsidR="00CA1621" w:rsidRPr="00C948DA" w:rsidRDefault="0068433B" w:rsidP="00C948DA">
      <w:pPr>
        <w:spacing w:line="480" w:lineRule="auto"/>
        <w:ind w:firstLine="720"/>
        <w:rPr>
          <w:rFonts w:ascii="Times New Roman" w:hAnsi="Times New Roman" w:cs="Times New Roman"/>
          <w:color w:val="000000"/>
          <w:sz w:val="24"/>
          <w:szCs w:val="24"/>
        </w:rPr>
      </w:pPr>
      <w:r>
        <w:rPr>
          <w:rFonts w:ascii="Times New Roman" w:eastAsia="Times,Times New Roman" w:hAnsi="Times New Roman" w:cs="Times New Roman"/>
          <w:sz w:val="24"/>
          <w:szCs w:val="24"/>
        </w:rPr>
        <w:t>Finally</w:t>
      </w:r>
      <w:r w:rsidR="00244F1B">
        <w:rPr>
          <w:rFonts w:ascii="Times New Roman" w:eastAsia="Times,Times New Roman" w:hAnsi="Times New Roman" w:cs="Times New Roman"/>
          <w:sz w:val="24"/>
          <w:szCs w:val="24"/>
        </w:rPr>
        <w:t xml:space="preserve">, </w:t>
      </w:r>
      <w:r>
        <w:rPr>
          <w:rFonts w:ascii="Times New Roman" w:eastAsia="Times,Times New Roman" w:hAnsi="Times New Roman" w:cs="Times New Roman"/>
          <w:sz w:val="24"/>
          <w:szCs w:val="24"/>
        </w:rPr>
        <w:t>to put</w:t>
      </w:r>
      <w:r w:rsidR="00CA1621" w:rsidRPr="00B76ADA">
        <w:rPr>
          <w:rFonts w:ascii="Times New Roman" w:eastAsia="Times,Times New Roman" w:hAnsi="Times New Roman" w:cs="Times New Roman"/>
          <w:sz w:val="24"/>
          <w:szCs w:val="24"/>
        </w:rPr>
        <w:t xml:space="preserve"> </w:t>
      </w:r>
      <w:r w:rsidR="00CA1621">
        <w:rPr>
          <w:rFonts w:ascii="Times New Roman" w:eastAsia="Times,Times New Roman" w:hAnsi="Times New Roman" w:cs="Times New Roman"/>
          <w:sz w:val="24"/>
          <w:szCs w:val="24"/>
        </w:rPr>
        <w:t>our analysis</w:t>
      </w:r>
      <w:r w:rsidR="00CA1621" w:rsidRPr="00B76ADA">
        <w:rPr>
          <w:rFonts w:ascii="Times New Roman" w:eastAsia="Times,Times New Roman" w:hAnsi="Times New Roman" w:cs="Times New Roman"/>
          <w:sz w:val="24"/>
          <w:szCs w:val="24"/>
        </w:rPr>
        <w:t xml:space="preserve"> into perspective in terms of any broader understanding of the three bodies under investigation, the analogy of the Fathe</w:t>
      </w:r>
      <w:r w:rsidR="00244F1B">
        <w:rPr>
          <w:rFonts w:ascii="Times New Roman" w:eastAsia="Times,Times New Roman" w:hAnsi="Times New Roman" w:cs="Times New Roman"/>
          <w:sz w:val="24"/>
          <w:szCs w:val="24"/>
        </w:rPr>
        <w:t>r, the Son and the Holy Ghost, although</w:t>
      </w:r>
      <w:r w:rsidR="00CA1621" w:rsidRPr="00B76ADA">
        <w:rPr>
          <w:rFonts w:ascii="Times New Roman" w:eastAsia="Times,Times New Roman" w:hAnsi="Times New Roman" w:cs="Times New Roman"/>
          <w:sz w:val="24"/>
          <w:szCs w:val="24"/>
        </w:rPr>
        <w:t xml:space="preserve"> </w:t>
      </w:r>
      <w:r>
        <w:rPr>
          <w:rFonts w:ascii="Times New Roman" w:eastAsia="Times,Times New Roman" w:hAnsi="Times New Roman" w:cs="Times New Roman"/>
          <w:sz w:val="24"/>
          <w:szCs w:val="24"/>
        </w:rPr>
        <w:t xml:space="preserve">light-hearted, </w:t>
      </w:r>
      <w:r w:rsidR="00244F1B">
        <w:rPr>
          <w:rFonts w:ascii="Times New Roman" w:eastAsia="Times,Times New Roman" w:hAnsi="Times New Roman" w:cs="Times New Roman"/>
          <w:sz w:val="24"/>
          <w:szCs w:val="24"/>
        </w:rPr>
        <w:t>is</w:t>
      </w:r>
      <w:r>
        <w:rPr>
          <w:rFonts w:ascii="Times New Roman" w:eastAsia="Times,Times New Roman" w:hAnsi="Times New Roman" w:cs="Times New Roman"/>
          <w:sz w:val="24"/>
          <w:szCs w:val="24"/>
        </w:rPr>
        <w:t xml:space="preserve"> </w:t>
      </w:r>
      <w:r w:rsidR="00CA1621" w:rsidRPr="00B76ADA">
        <w:rPr>
          <w:rFonts w:ascii="Times New Roman" w:eastAsia="Times,Times New Roman" w:hAnsi="Times New Roman" w:cs="Times New Roman"/>
          <w:sz w:val="24"/>
          <w:szCs w:val="24"/>
        </w:rPr>
        <w:t xml:space="preserve">somewhat </w:t>
      </w:r>
      <w:r>
        <w:rPr>
          <w:rFonts w:ascii="Times New Roman" w:eastAsia="Times,Times New Roman" w:hAnsi="Times New Roman" w:cs="Times New Roman"/>
          <w:sz w:val="24"/>
          <w:szCs w:val="24"/>
        </w:rPr>
        <w:t>useful</w:t>
      </w:r>
      <w:r w:rsidR="00244F1B">
        <w:rPr>
          <w:rFonts w:ascii="Times New Roman" w:eastAsia="Times,Times New Roman" w:hAnsi="Times New Roman" w:cs="Times New Roman"/>
          <w:sz w:val="24"/>
          <w:szCs w:val="24"/>
        </w:rPr>
        <w:t xml:space="preserve"> for demonstrating how the ambassadors view their own institutions</w:t>
      </w:r>
      <w:r w:rsidR="00CA1621" w:rsidRPr="00B76ADA">
        <w:rPr>
          <w:rFonts w:ascii="Times New Roman" w:eastAsia="Times,Times New Roman" w:hAnsi="Times New Roman" w:cs="Times New Roman"/>
          <w:sz w:val="24"/>
          <w:szCs w:val="24"/>
        </w:rPr>
        <w:t>.</w:t>
      </w:r>
      <w:r w:rsidR="00244F1B">
        <w:rPr>
          <w:rFonts w:ascii="Times New Roman" w:eastAsia="Times,Times New Roman" w:hAnsi="Times New Roman" w:cs="Times New Roman"/>
          <w:sz w:val="24"/>
          <w:szCs w:val="24"/>
        </w:rPr>
        <w:t xml:space="preserve"> </w:t>
      </w:r>
      <w:r w:rsidR="00CA1621" w:rsidRPr="00B76ADA">
        <w:rPr>
          <w:rFonts w:ascii="Times New Roman" w:hAnsi="Times New Roman" w:cs="Times New Roman"/>
          <w:color w:val="000000"/>
          <w:sz w:val="24"/>
          <w:szCs w:val="24"/>
        </w:rPr>
        <w:t>The NAC (the father) has mapped out its territory quite well given its relative temporal maturity</w:t>
      </w:r>
      <w:r w:rsidR="00C948DA">
        <w:rPr>
          <w:rFonts w:ascii="Times New Roman" w:hAnsi="Times New Roman" w:cs="Times New Roman"/>
          <w:color w:val="000000"/>
          <w:sz w:val="24"/>
          <w:szCs w:val="24"/>
        </w:rPr>
        <w:t xml:space="preserve"> and commitment to established conventions</w:t>
      </w:r>
      <w:r w:rsidR="00CA1621" w:rsidRPr="00B76ADA">
        <w:rPr>
          <w:rFonts w:ascii="Times New Roman" w:hAnsi="Times New Roman" w:cs="Times New Roman"/>
          <w:color w:val="000000"/>
          <w:sz w:val="24"/>
          <w:szCs w:val="24"/>
        </w:rPr>
        <w:t xml:space="preserve">. </w:t>
      </w:r>
      <w:r w:rsidR="00CA1621" w:rsidRPr="00B76ADA">
        <w:rPr>
          <w:rFonts w:ascii="Times New Roman" w:eastAsia="Times,Times New Roman" w:hAnsi="Times New Roman" w:cs="Times New Roman"/>
          <w:sz w:val="24"/>
          <w:szCs w:val="24"/>
        </w:rPr>
        <w:t>Our interlocutors spoke of a body whereby</w:t>
      </w:r>
      <w:r w:rsidR="00CA1621" w:rsidRPr="00B76ADA">
        <w:rPr>
          <w:rFonts w:ascii="Times New Roman" w:eastAsia="Times,Times New Roman" w:hAnsi="Times New Roman" w:cs="Times New Roman"/>
          <w:sz w:val="24"/>
          <w:szCs w:val="24"/>
          <w:lang w:val="en-US"/>
        </w:rPr>
        <w:t xml:space="preserve"> they believe “the scope of the conversation is more limited (compared to the PSC) but the quality and thoroughness is much higher”</w:t>
      </w:r>
      <w:r w:rsidR="00CA1621">
        <w:rPr>
          <w:rFonts w:ascii="Times New Roman" w:eastAsia="Times,Times New Roman" w:hAnsi="Times New Roman" w:cs="Times New Roman"/>
          <w:sz w:val="24"/>
          <w:szCs w:val="24"/>
          <w:lang w:val="en-US"/>
        </w:rPr>
        <w:t xml:space="preserve"> (Interview 5, 2012)</w:t>
      </w:r>
      <w:r w:rsidR="00CA1621" w:rsidRPr="00B76ADA">
        <w:rPr>
          <w:rFonts w:ascii="Times New Roman" w:eastAsia="Times,Times New Roman" w:hAnsi="Times New Roman" w:cs="Times New Roman"/>
          <w:sz w:val="24"/>
          <w:szCs w:val="24"/>
          <w:lang w:val="en-US"/>
        </w:rPr>
        <w:t xml:space="preserve">. In contrast, ambassadors to the PSC (the son) believe </w:t>
      </w:r>
      <w:r w:rsidR="00CA1621" w:rsidRPr="00B76ADA">
        <w:rPr>
          <w:rFonts w:ascii="Times New Roman" w:hAnsi="Times New Roman" w:cs="Times New Roman"/>
          <w:color w:val="000000"/>
          <w:sz w:val="24"/>
          <w:szCs w:val="24"/>
        </w:rPr>
        <w:t>their</w:t>
      </w:r>
      <w:r w:rsidR="00CA1621" w:rsidRPr="00824678">
        <w:rPr>
          <w:rFonts w:ascii="Times New Roman" w:hAnsi="Times New Roman" w:cs="Times New Roman"/>
          <w:color w:val="000000"/>
          <w:sz w:val="24"/>
          <w:szCs w:val="24"/>
        </w:rPr>
        <w:t xml:space="preserve"> work to be</w:t>
      </w:r>
      <w:r w:rsidR="0094700B">
        <w:rPr>
          <w:rFonts w:ascii="Times New Roman" w:hAnsi="Times New Roman" w:cs="Times New Roman"/>
          <w:color w:val="000000"/>
          <w:sz w:val="24"/>
          <w:szCs w:val="24"/>
        </w:rPr>
        <w:t xml:space="preserve"> novel and developing while also </w:t>
      </w:r>
      <w:r w:rsidR="00CA1621" w:rsidRPr="00824678">
        <w:rPr>
          <w:rFonts w:ascii="Times New Roman" w:hAnsi="Times New Roman" w:cs="Times New Roman"/>
          <w:color w:val="000000"/>
          <w:sz w:val="24"/>
          <w:szCs w:val="24"/>
        </w:rPr>
        <w:t xml:space="preserve">“more fun” </w:t>
      </w:r>
      <w:r w:rsidR="0094700B">
        <w:rPr>
          <w:rFonts w:ascii="Times New Roman" w:hAnsi="Times New Roman" w:cs="Times New Roman"/>
          <w:color w:val="000000"/>
          <w:sz w:val="24"/>
          <w:szCs w:val="24"/>
        </w:rPr>
        <w:t xml:space="preserve">due to the wider foreign policy </w:t>
      </w:r>
      <w:r w:rsidR="008B06EB">
        <w:rPr>
          <w:rFonts w:ascii="Times New Roman" w:hAnsi="Times New Roman" w:cs="Times New Roman"/>
          <w:color w:val="000000"/>
          <w:sz w:val="24"/>
          <w:szCs w:val="24"/>
        </w:rPr>
        <w:t xml:space="preserve">instruments at their disposal </w:t>
      </w:r>
      <w:r w:rsidR="00CA1621">
        <w:rPr>
          <w:rFonts w:ascii="Times New Roman" w:hAnsi="Times New Roman" w:cs="Times New Roman"/>
          <w:color w:val="000000"/>
          <w:sz w:val="24"/>
          <w:szCs w:val="24"/>
        </w:rPr>
        <w:t>(Interview 2, 2012)</w:t>
      </w:r>
      <w:r w:rsidR="00CA1621" w:rsidRPr="00824678">
        <w:rPr>
          <w:rFonts w:ascii="Times New Roman" w:hAnsi="Times New Roman" w:cs="Times New Roman"/>
          <w:color w:val="000000"/>
          <w:sz w:val="24"/>
          <w:szCs w:val="24"/>
        </w:rPr>
        <w:t>. Finally, joint PSC-NAC meetings</w:t>
      </w:r>
      <w:r w:rsidR="00CA1621">
        <w:rPr>
          <w:rFonts w:ascii="Times New Roman" w:hAnsi="Times New Roman" w:cs="Times New Roman"/>
          <w:color w:val="000000"/>
          <w:sz w:val="24"/>
          <w:szCs w:val="24"/>
        </w:rPr>
        <w:t xml:space="preserve"> (the ghost)</w:t>
      </w:r>
      <w:r w:rsidR="00CA1621" w:rsidRPr="00824678">
        <w:rPr>
          <w:rFonts w:ascii="Times New Roman" w:hAnsi="Times New Roman" w:cs="Times New Roman"/>
          <w:color w:val="000000"/>
          <w:sz w:val="24"/>
          <w:szCs w:val="24"/>
        </w:rPr>
        <w:t xml:space="preserve"> do manifest themselves occasionally but </w:t>
      </w:r>
      <w:r w:rsidR="00CA112D">
        <w:rPr>
          <w:rFonts w:ascii="Times New Roman" w:hAnsi="Times New Roman" w:cs="Times New Roman"/>
          <w:color w:val="000000"/>
          <w:sz w:val="24"/>
          <w:szCs w:val="24"/>
        </w:rPr>
        <w:t xml:space="preserve">are </w:t>
      </w:r>
      <w:r w:rsidR="008B06EB">
        <w:rPr>
          <w:rFonts w:ascii="Times New Roman" w:hAnsi="Times New Roman" w:cs="Times New Roman"/>
          <w:color w:val="000000"/>
          <w:sz w:val="24"/>
          <w:szCs w:val="24"/>
        </w:rPr>
        <w:t>understood to have no</w:t>
      </w:r>
      <w:r w:rsidR="00CA1621" w:rsidRPr="00824678">
        <w:rPr>
          <w:rFonts w:ascii="Times New Roman" w:hAnsi="Times New Roman" w:cs="Times New Roman"/>
          <w:color w:val="000000"/>
          <w:sz w:val="24"/>
          <w:szCs w:val="24"/>
        </w:rPr>
        <w:t xml:space="preserve"> real tangible </w:t>
      </w:r>
      <w:r w:rsidR="002C287A">
        <w:rPr>
          <w:rFonts w:ascii="Times New Roman" w:hAnsi="Times New Roman" w:cs="Times New Roman"/>
          <w:color w:val="000000"/>
          <w:sz w:val="24"/>
          <w:szCs w:val="24"/>
        </w:rPr>
        <w:t>deliverables</w:t>
      </w:r>
      <w:r w:rsidR="00F940CB">
        <w:rPr>
          <w:rFonts w:ascii="Times New Roman" w:hAnsi="Times New Roman" w:cs="Times New Roman"/>
          <w:color w:val="000000"/>
          <w:sz w:val="24"/>
          <w:szCs w:val="24"/>
        </w:rPr>
        <w:t xml:space="preserve"> </w:t>
      </w:r>
      <w:r w:rsidR="00AD4CF9">
        <w:rPr>
          <w:rFonts w:ascii="Times New Roman" w:hAnsi="Times New Roman" w:cs="Times New Roman"/>
          <w:color w:val="000000"/>
          <w:sz w:val="24"/>
          <w:szCs w:val="24"/>
        </w:rPr>
        <w:t>in terms</w:t>
      </w:r>
      <w:r w:rsidR="00F940CB">
        <w:rPr>
          <w:rFonts w:ascii="Times New Roman" w:hAnsi="Times New Roman" w:cs="Times New Roman"/>
          <w:color w:val="000000"/>
          <w:sz w:val="24"/>
          <w:szCs w:val="24"/>
        </w:rPr>
        <w:t xml:space="preserve"> </w:t>
      </w:r>
      <w:r w:rsidR="00AD4CF9">
        <w:rPr>
          <w:rFonts w:ascii="Times New Roman" w:hAnsi="Times New Roman" w:cs="Times New Roman"/>
          <w:color w:val="000000"/>
          <w:sz w:val="24"/>
          <w:szCs w:val="24"/>
        </w:rPr>
        <w:t xml:space="preserve">of </w:t>
      </w:r>
      <w:r w:rsidR="002C287A">
        <w:rPr>
          <w:rFonts w:ascii="Times New Roman" w:hAnsi="Times New Roman" w:cs="Times New Roman"/>
          <w:color w:val="000000"/>
          <w:sz w:val="24"/>
          <w:szCs w:val="24"/>
        </w:rPr>
        <w:t>deepening formal</w:t>
      </w:r>
      <w:r w:rsidR="00F940CB">
        <w:rPr>
          <w:rFonts w:ascii="Times New Roman" w:hAnsi="Times New Roman" w:cs="Times New Roman"/>
          <w:color w:val="000000"/>
          <w:sz w:val="24"/>
          <w:szCs w:val="24"/>
        </w:rPr>
        <w:t xml:space="preserve"> EU-NATO cooperation</w:t>
      </w:r>
      <w:r w:rsidR="00CA1621" w:rsidRPr="00824678">
        <w:rPr>
          <w:rFonts w:ascii="Times New Roman" w:hAnsi="Times New Roman" w:cs="Times New Roman"/>
          <w:color w:val="000000"/>
          <w:sz w:val="24"/>
          <w:szCs w:val="24"/>
        </w:rPr>
        <w:t>.</w:t>
      </w:r>
      <w:r w:rsidR="008B06EB">
        <w:rPr>
          <w:rFonts w:ascii="Times New Roman" w:hAnsi="Times New Roman" w:cs="Times New Roman"/>
          <w:color w:val="000000"/>
          <w:sz w:val="24"/>
          <w:szCs w:val="24"/>
        </w:rPr>
        <w:t xml:space="preserve"> </w:t>
      </w:r>
      <w:r w:rsidR="00B82505">
        <w:rPr>
          <w:rFonts w:ascii="Times New Roman" w:hAnsi="Times New Roman" w:cs="Times New Roman"/>
          <w:color w:val="000000"/>
          <w:sz w:val="24"/>
          <w:szCs w:val="24"/>
        </w:rPr>
        <w:t xml:space="preserve">Considering that NATO and the EU are two of the most influential organisations for the provision of collective </w:t>
      </w:r>
      <w:r w:rsidR="00F64441">
        <w:rPr>
          <w:rFonts w:ascii="Times New Roman" w:hAnsi="Times New Roman" w:cs="Times New Roman"/>
          <w:color w:val="000000"/>
          <w:sz w:val="24"/>
          <w:szCs w:val="24"/>
        </w:rPr>
        <w:t>security, the</w:t>
      </w:r>
      <w:r w:rsidR="006022BB">
        <w:rPr>
          <w:rFonts w:ascii="Times New Roman" w:hAnsi="Times New Roman" w:cs="Times New Roman"/>
          <w:color w:val="000000"/>
          <w:sz w:val="24"/>
          <w:szCs w:val="24"/>
        </w:rPr>
        <w:t xml:space="preserve"> </w:t>
      </w:r>
      <w:r w:rsidR="00CA1621">
        <w:rPr>
          <w:rFonts w:ascii="Times New Roman" w:hAnsi="Times New Roman" w:cs="Times New Roman"/>
          <w:color w:val="000000"/>
          <w:sz w:val="24"/>
          <w:szCs w:val="24"/>
        </w:rPr>
        <w:t xml:space="preserve">three bodies </w:t>
      </w:r>
      <w:r w:rsidR="006022BB">
        <w:rPr>
          <w:rFonts w:ascii="Times New Roman" w:hAnsi="Times New Roman" w:cs="Times New Roman"/>
          <w:color w:val="000000"/>
          <w:sz w:val="24"/>
          <w:szCs w:val="24"/>
        </w:rPr>
        <w:t>under investigation</w:t>
      </w:r>
      <w:r w:rsidR="0077092F">
        <w:rPr>
          <w:rFonts w:ascii="Times New Roman" w:hAnsi="Times New Roman" w:cs="Times New Roman"/>
          <w:color w:val="000000"/>
          <w:sz w:val="24"/>
          <w:szCs w:val="24"/>
        </w:rPr>
        <w:t xml:space="preserve"> </w:t>
      </w:r>
      <w:r w:rsidR="006022BB">
        <w:rPr>
          <w:rFonts w:ascii="Times New Roman" w:hAnsi="Times New Roman" w:cs="Times New Roman"/>
          <w:color w:val="000000"/>
          <w:sz w:val="24"/>
          <w:szCs w:val="24"/>
        </w:rPr>
        <w:t xml:space="preserve">should </w:t>
      </w:r>
      <w:r w:rsidR="00133D2C">
        <w:rPr>
          <w:rFonts w:ascii="Times New Roman" w:hAnsi="Times New Roman" w:cs="Times New Roman"/>
          <w:color w:val="000000"/>
          <w:sz w:val="24"/>
          <w:szCs w:val="24"/>
        </w:rPr>
        <w:t>all shape</w:t>
      </w:r>
      <w:r w:rsidR="00CA1621">
        <w:rPr>
          <w:rFonts w:ascii="Times New Roman" w:hAnsi="Times New Roman" w:cs="Times New Roman"/>
          <w:color w:val="000000"/>
          <w:sz w:val="24"/>
          <w:szCs w:val="24"/>
        </w:rPr>
        <w:t xml:space="preserve"> </w:t>
      </w:r>
      <w:r w:rsidR="006022BB">
        <w:rPr>
          <w:rFonts w:ascii="Times New Roman" w:hAnsi="Times New Roman" w:cs="Times New Roman"/>
          <w:color w:val="000000"/>
          <w:sz w:val="24"/>
          <w:szCs w:val="24"/>
        </w:rPr>
        <w:t xml:space="preserve">the milieu of </w:t>
      </w:r>
      <w:r w:rsidR="00CA1621">
        <w:rPr>
          <w:rFonts w:ascii="Times New Roman" w:hAnsi="Times New Roman" w:cs="Times New Roman"/>
          <w:color w:val="000000"/>
          <w:sz w:val="24"/>
          <w:szCs w:val="24"/>
        </w:rPr>
        <w:t>international security</w:t>
      </w:r>
      <w:r w:rsidR="00482024">
        <w:rPr>
          <w:rFonts w:ascii="Times New Roman" w:hAnsi="Times New Roman" w:cs="Times New Roman"/>
          <w:color w:val="000000"/>
          <w:sz w:val="24"/>
          <w:szCs w:val="24"/>
        </w:rPr>
        <w:t>. T</w:t>
      </w:r>
      <w:r w:rsidR="00133D2C">
        <w:rPr>
          <w:rFonts w:ascii="Times New Roman" w:hAnsi="Times New Roman" w:cs="Times New Roman"/>
          <w:color w:val="000000"/>
          <w:sz w:val="24"/>
          <w:szCs w:val="24"/>
        </w:rPr>
        <w:t xml:space="preserve">he </w:t>
      </w:r>
      <w:r w:rsidR="00A079AE">
        <w:rPr>
          <w:rFonts w:ascii="Times New Roman" w:hAnsi="Times New Roman" w:cs="Times New Roman"/>
          <w:color w:val="000000"/>
          <w:sz w:val="24"/>
          <w:szCs w:val="24"/>
        </w:rPr>
        <w:t>PSC and the NAC</w:t>
      </w:r>
      <w:r w:rsidR="00133D2C">
        <w:rPr>
          <w:rFonts w:ascii="Times New Roman" w:hAnsi="Times New Roman" w:cs="Times New Roman"/>
          <w:color w:val="000000"/>
          <w:sz w:val="24"/>
          <w:szCs w:val="24"/>
        </w:rPr>
        <w:t xml:space="preserve"> </w:t>
      </w:r>
      <w:r w:rsidR="00A079AE">
        <w:rPr>
          <w:rFonts w:ascii="Times New Roman" w:hAnsi="Times New Roman" w:cs="Times New Roman"/>
          <w:color w:val="000000"/>
          <w:sz w:val="24"/>
          <w:szCs w:val="24"/>
        </w:rPr>
        <w:t xml:space="preserve">make actionable decisions for their own </w:t>
      </w:r>
      <w:r w:rsidR="00482024">
        <w:rPr>
          <w:rFonts w:ascii="Times New Roman" w:hAnsi="Times New Roman" w:cs="Times New Roman"/>
          <w:color w:val="000000"/>
          <w:sz w:val="24"/>
          <w:szCs w:val="24"/>
        </w:rPr>
        <w:t xml:space="preserve">respective </w:t>
      </w:r>
      <w:r w:rsidR="00A079AE">
        <w:rPr>
          <w:rFonts w:ascii="Times New Roman" w:hAnsi="Times New Roman" w:cs="Times New Roman"/>
          <w:color w:val="000000"/>
          <w:sz w:val="24"/>
          <w:szCs w:val="24"/>
        </w:rPr>
        <w:t xml:space="preserve">organisations whereas the joint meetings facilitate EU-NATO </w:t>
      </w:r>
      <w:r w:rsidR="00F6719B">
        <w:rPr>
          <w:rFonts w:ascii="Times New Roman" w:hAnsi="Times New Roman" w:cs="Times New Roman"/>
          <w:color w:val="000000"/>
          <w:sz w:val="24"/>
          <w:szCs w:val="24"/>
        </w:rPr>
        <w:t xml:space="preserve">political and institutional </w:t>
      </w:r>
      <w:r w:rsidR="00A079AE">
        <w:rPr>
          <w:rFonts w:ascii="Times New Roman" w:hAnsi="Times New Roman" w:cs="Times New Roman"/>
          <w:color w:val="000000"/>
          <w:sz w:val="24"/>
          <w:szCs w:val="24"/>
        </w:rPr>
        <w:t>cooperation</w:t>
      </w:r>
      <w:r w:rsidR="00F6719B">
        <w:rPr>
          <w:rFonts w:ascii="Times New Roman" w:hAnsi="Times New Roman" w:cs="Times New Roman"/>
          <w:color w:val="000000"/>
          <w:sz w:val="24"/>
          <w:szCs w:val="24"/>
        </w:rPr>
        <w:t xml:space="preserve"> </w:t>
      </w:r>
      <w:r w:rsidR="00F103B7">
        <w:rPr>
          <w:rFonts w:ascii="Times New Roman" w:hAnsi="Times New Roman" w:cs="Times New Roman"/>
          <w:color w:val="000000"/>
          <w:sz w:val="24"/>
          <w:szCs w:val="24"/>
        </w:rPr>
        <w:t xml:space="preserve">through informal processes </w:t>
      </w:r>
      <w:r w:rsidR="00A079AE">
        <w:rPr>
          <w:rFonts w:ascii="Times New Roman" w:hAnsi="Times New Roman" w:cs="Times New Roman"/>
          <w:color w:val="000000"/>
          <w:sz w:val="24"/>
          <w:szCs w:val="24"/>
        </w:rPr>
        <w:t xml:space="preserve">but </w:t>
      </w:r>
      <w:r w:rsidR="00F103B7">
        <w:rPr>
          <w:rFonts w:ascii="Times New Roman" w:hAnsi="Times New Roman" w:cs="Times New Roman"/>
          <w:color w:val="000000"/>
          <w:sz w:val="24"/>
          <w:szCs w:val="24"/>
        </w:rPr>
        <w:t>without actionable joint decision-making</w:t>
      </w:r>
      <w:r w:rsidR="006022BB">
        <w:rPr>
          <w:rFonts w:ascii="Times New Roman" w:hAnsi="Times New Roman" w:cs="Times New Roman"/>
          <w:color w:val="000000"/>
          <w:sz w:val="24"/>
          <w:szCs w:val="24"/>
        </w:rPr>
        <w:t>.</w:t>
      </w:r>
      <w:r w:rsidR="00CA1621">
        <w:rPr>
          <w:rFonts w:ascii="Times New Roman" w:hAnsi="Times New Roman" w:cs="Times New Roman"/>
          <w:color w:val="000000"/>
          <w:sz w:val="24"/>
          <w:szCs w:val="24"/>
        </w:rPr>
        <w:t xml:space="preserve"> </w:t>
      </w:r>
      <w:r w:rsidR="00570D50">
        <w:rPr>
          <w:rFonts w:ascii="Times New Roman" w:hAnsi="Times New Roman" w:cs="Times New Roman"/>
          <w:color w:val="000000"/>
          <w:sz w:val="24"/>
          <w:szCs w:val="24"/>
        </w:rPr>
        <w:t xml:space="preserve">This </w:t>
      </w:r>
      <w:r w:rsidR="00091F07">
        <w:rPr>
          <w:rFonts w:ascii="Times New Roman" w:hAnsi="Times New Roman" w:cs="Times New Roman"/>
          <w:color w:val="000000"/>
          <w:sz w:val="24"/>
          <w:szCs w:val="24"/>
        </w:rPr>
        <w:t xml:space="preserve">article demonstrates how an inductive Grounded Theory approach can </w:t>
      </w:r>
      <w:r w:rsidR="008C45E5">
        <w:rPr>
          <w:rFonts w:ascii="Times New Roman" w:hAnsi="Times New Roman" w:cs="Times New Roman"/>
          <w:color w:val="000000"/>
          <w:sz w:val="24"/>
          <w:szCs w:val="24"/>
        </w:rPr>
        <w:t xml:space="preserve">systematically generate insights </w:t>
      </w:r>
      <w:r w:rsidR="0077092F">
        <w:rPr>
          <w:rFonts w:ascii="Times New Roman" w:hAnsi="Times New Roman" w:cs="Times New Roman"/>
          <w:color w:val="000000"/>
          <w:sz w:val="24"/>
          <w:szCs w:val="24"/>
        </w:rPr>
        <w:t xml:space="preserve">into the key </w:t>
      </w:r>
      <w:r w:rsidR="00C4678A">
        <w:rPr>
          <w:rFonts w:ascii="Times New Roman" w:hAnsi="Times New Roman" w:cs="Times New Roman"/>
          <w:color w:val="000000"/>
          <w:sz w:val="24"/>
          <w:szCs w:val="24"/>
        </w:rPr>
        <w:t>processes</w:t>
      </w:r>
      <w:r w:rsidR="0077092F">
        <w:rPr>
          <w:rFonts w:ascii="Times New Roman" w:hAnsi="Times New Roman" w:cs="Times New Roman"/>
          <w:color w:val="000000"/>
          <w:sz w:val="24"/>
          <w:szCs w:val="24"/>
        </w:rPr>
        <w:t xml:space="preserve"> connected wi</w:t>
      </w:r>
      <w:r w:rsidR="00F6719B">
        <w:rPr>
          <w:rFonts w:ascii="Times New Roman" w:hAnsi="Times New Roman" w:cs="Times New Roman"/>
          <w:color w:val="000000"/>
          <w:sz w:val="24"/>
          <w:szCs w:val="24"/>
        </w:rPr>
        <w:t>th these</w:t>
      </w:r>
      <w:r w:rsidR="0077092F">
        <w:rPr>
          <w:rFonts w:ascii="Times New Roman" w:hAnsi="Times New Roman" w:cs="Times New Roman"/>
          <w:color w:val="000000"/>
          <w:sz w:val="24"/>
          <w:szCs w:val="24"/>
        </w:rPr>
        <w:t xml:space="preserve"> task</w:t>
      </w:r>
      <w:r w:rsidR="00F6719B">
        <w:rPr>
          <w:rFonts w:ascii="Times New Roman" w:hAnsi="Times New Roman" w:cs="Times New Roman"/>
          <w:color w:val="000000"/>
          <w:sz w:val="24"/>
          <w:szCs w:val="24"/>
        </w:rPr>
        <w:t>s</w:t>
      </w:r>
      <w:r w:rsidR="00CA1621">
        <w:rPr>
          <w:rFonts w:ascii="Times New Roman" w:hAnsi="Times New Roman" w:cs="Times New Roman"/>
          <w:color w:val="000000"/>
          <w:sz w:val="24"/>
          <w:szCs w:val="24"/>
        </w:rPr>
        <w:t xml:space="preserve">.  </w:t>
      </w:r>
    </w:p>
    <w:p w14:paraId="18984B58" w14:textId="77777777" w:rsidR="00792D54" w:rsidRPr="00E96F08" w:rsidRDefault="00792D54">
      <w:pPr>
        <w:rPr>
          <w:rFonts w:ascii="Times New Roman" w:hAnsi="Times New Roman" w:cs="Times New Roman"/>
          <w:b/>
          <w:bCs/>
          <w:i/>
          <w:iCs/>
          <w:sz w:val="24"/>
          <w:szCs w:val="28"/>
          <w:lang w:eastAsia="en-GB"/>
        </w:rPr>
      </w:pPr>
      <w:r w:rsidRPr="00E96F08">
        <w:rPr>
          <w:rFonts w:ascii="Times New Roman" w:hAnsi="Times New Roman" w:cs="Times New Roman"/>
        </w:rPr>
        <w:lastRenderedPageBreak/>
        <w:br w:type="page"/>
      </w:r>
    </w:p>
    <w:p w14:paraId="310BB195" w14:textId="57D4D663" w:rsidR="00510043" w:rsidRPr="00E96F08" w:rsidRDefault="00251120" w:rsidP="00251120">
      <w:pPr>
        <w:pStyle w:val="Heading1"/>
        <w:keepLines w:val="0"/>
        <w:spacing w:before="360" w:after="60" w:line="360" w:lineRule="auto"/>
        <w:ind w:right="567"/>
        <w:contextualSpacing/>
        <w:rPr>
          <w:rFonts w:ascii="Times New Roman" w:eastAsia="Times New Roman" w:hAnsi="Times New Roman" w:cs="Times New Roman"/>
          <w:color w:val="auto"/>
          <w:kern w:val="32"/>
          <w:sz w:val="24"/>
          <w:lang w:eastAsia="en-GB"/>
        </w:rPr>
      </w:pPr>
      <w:r w:rsidRPr="00E96F08">
        <w:rPr>
          <w:rFonts w:ascii="Times New Roman" w:eastAsia="Times New Roman" w:hAnsi="Times New Roman" w:cs="Times New Roman"/>
          <w:color w:val="auto"/>
          <w:kern w:val="32"/>
          <w:sz w:val="24"/>
          <w:lang w:eastAsia="en-GB"/>
        </w:rPr>
        <w:lastRenderedPageBreak/>
        <w:t>References</w:t>
      </w:r>
    </w:p>
    <w:p w14:paraId="669B8824" w14:textId="46B77474"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Allan, G., 2003. A critique of using grounded theory as a research method. </w:t>
      </w:r>
      <w:r w:rsidRPr="00E96F08">
        <w:rPr>
          <w:rFonts w:ascii="Times New Roman" w:hAnsi="Times New Roman" w:cs="Times New Roman"/>
          <w:i/>
          <w:sz w:val="24"/>
          <w:szCs w:val="24"/>
        </w:rPr>
        <w:t>Electronic Journal of Business Research Methods</w:t>
      </w:r>
      <w:r w:rsidR="00AC73D9" w:rsidRPr="00E96F08">
        <w:rPr>
          <w:rFonts w:ascii="Times New Roman" w:hAnsi="Times New Roman" w:cs="Times New Roman"/>
          <w:sz w:val="24"/>
          <w:szCs w:val="24"/>
        </w:rPr>
        <w:t>, 2</w:t>
      </w:r>
      <w:r w:rsidRPr="00E96F08">
        <w:rPr>
          <w:rFonts w:ascii="Times New Roman" w:hAnsi="Times New Roman" w:cs="Times New Roman"/>
          <w:sz w:val="24"/>
          <w:szCs w:val="24"/>
        </w:rPr>
        <w:t xml:space="preserve">(1), 1–10. </w:t>
      </w:r>
    </w:p>
    <w:p w14:paraId="77C2CD21"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Aggestam, L., 2004. Role identity and the Europeanisation of foreign policy: a political-cultural approach. </w:t>
      </w:r>
      <w:r w:rsidRPr="00E96F08">
        <w:rPr>
          <w:rFonts w:ascii="Times New Roman" w:hAnsi="Times New Roman" w:cs="Times New Roman"/>
          <w:i/>
          <w:sz w:val="24"/>
          <w:szCs w:val="24"/>
        </w:rPr>
        <w:t>In</w:t>
      </w:r>
      <w:r w:rsidRPr="00E96F08">
        <w:rPr>
          <w:rFonts w:ascii="Times New Roman" w:hAnsi="Times New Roman" w:cs="Times New Roman"/>
          <w:sz w:val="24"/>
          <w:szCs w:val="24"/>
        </w:rPr>
        <w:t xml:space="preserve">: B. Tonra and T. Christiansen, eds. </w:t>
      </w:r>
      <w:r w:rsidRPr="00E96F08">
        <w:rPr>
          <w:rFonts w:ascii="Times New Roman" w:hAnsi="Times New Roman" w:cs="Times New Roman"/>
          <w:i/>
          <w:sz w:val="24"/>
          <w:szCs w:val="24"/>
        </w:rPr>
        <w:t>Rethinking European Union Foreign Policy</w:t>
      </w:r>
      <w:r w:rsidRPr="00E96F08">
        <w:rPr>
          <w:rFonts w:ascii="Times New Roman" w:hAnsi="Times New Roman" w:cs="Times New Roman"/>
          <w:sz w:val="24"/>
          <w:szCs w:val="24"/>
        </w:rPr>
        <w:t>. Manchester University Press, 81-98.</w:t>
      </w:r>
    </w:p>
    <w:p w14:paraId="07445517"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Bickerton, C.J., 2011. </w:t>
      </w:r>
      <w:r w:rsidRPr="00E96F08">
        <w:rPr>
          <w:rFonts w:ascii="Times New Roman" w:hAnsi="Times New Roman" w:cs="Times New Roman"/>
          <w:i/>
          <w:sz w:val="24"/>
          <w:szCs w:val="24"/>
        </w:rPr>
        <w:t>European Union Foreign Policy: From Effectiveness to Functionality</w:t>
      </w:r>
      <w:r w:rsidRPr="00E96F08">
        <w:rPr>
          <w:rFonts w:ascii="Times New Roman" w:hAnsi="Times New Roman" w:cs="Times New Roman"/>
          <w:sz w:val="24"/>
          <w:szCs w:val="24"/>
        </w:rPr>
        <w:t>. London: Palgrave Macmillan.</w:t>
      </w:r>
    </w:p>
    <w:p w14:paraId="378F9E71" w14:textId="55454599" w:rsidR="00822E2D" w:rsidRPr="00E96F08" w:rsidRDefault="00822E2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Blagden, D., 2016. Induction and Deduction in International Relations: Squaring the Circle Between Theory and Evidence. </w:t>
      </w:r>
      <w:r w:rsidRPr="00E96F08">
        <w:rPr>
          <w:rFonts w:ascii="Times New Roman" w:hAnsi="Times New Roman" w:cs="Times New Roman"/>
          <w:i/>
          <w:sz w:val="24"/>
          <w:szCs w:val="24"/>
        </w:rPr>
        <w:t>International Studies Review</w:t>
      </w:r>
      <w:r w:rsidRPr="00E96F08">
        <w:rPr>
          <w:rFonts w:ascii="Times New Roman" w:hAnsi="Times New Roman" w:cs="Times New Roman"/>
          <w:sz w:val="24"/>
          <w:szCs w:val="24"/>
        </w:rPr>
        <w:t>.</w:t>
      </w:r>
      <w:r w:rsidR="00E96F08">
        <w:rPr>
          <w:rFonts w:ascii="Times New Roman" w:hAnsi="Times New Roman" w:cs="Times New Roman"/>
          <w:sz w:val="24"/>
          <w:szCs w:val="24"/>
        </w:rPr>
        <w:t xml:space="preserve"> Online first.</w:t>
      </w:r>
    </w:p>
    <w:p w14:paraId="2E557BB8" w14:textId="2354A173" w:rsidR="0004293E" w:rsidRPr="00E96F08" w:rsidRDefault="00370598" w:rsidP="0004293E">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Council</w:t>
      </w:r>
      <w:r w:rsidR="0004293E" w:rsidRPr="00E96F08">
        <w:rPr>
          <w:rFonts w:ascii="Times New Roman" w:hAnsi="Times New Roman" w:cs="Times New Roman"/>
          <w:sz w:val="24"/>
          <w:szCs w:val="24"/>
        </w:rPr>
        <w:t xml:space="preserve"> D</w:t>
      </w:r>
      <w:r w:rsidRPr="00E96F08">
        <w:rPr>
          <w:rFonts w:ascii="Times New Roman" w:hAnsi="Times New Roman" w:cs="Times New Roman"/>
          <w:sz w:val="24"/>
          <w:szCs w:val="24"/>
        </w:rPr>
        <w:t>ecision</w:t>
      </w:r>
      <w:r w:rsidR="0004293E" w:rsidRPr="00E96F08">
        <w:rPr>
          <w:rFonts w:ascii="Times New Roman" w:hAnsi="Times New Roman" w:cs="Times New Roman"/>
          <w:sz w:val="24"/>
          <w:szCs w:val="24"/>
        </w:rPr>
        <w:t xml:space="preserve"> </w:t>
      </w:r>
      <w:r w:rsidRPr="00E96F08">
        <w:rPr>
          <w:rFonts w:ascii="Times New Roman" w:hAnsi="Times New Roman" w:cs="Times New Roman"/>
          <w:sz w:val="24"/>
          <w:szCs w:val="24"/>
        </w:rPr>
        <w:t xml:space="preserve">2001/78/CFSP of </w:t>
      </w:r>
      <w:r w:rsidR="0004293E" w:rsidRPr="00E96F08">
        <w:rPr>
          <w:rFonts w:ascii="Times New Roman" w:hAnsi="Times New Roman" w:cs="Times New Roman"/>
          <w:sz w:val="24"/>
          <w:szCs w:val="24"/>
        </w:rPr>
        <w:t>22 January 2001setting up the Political and Security Committee</w:t>
      </w:r>
      <w:r w:rsidR="00FC5296" w:rsidRPr="00E96F08">
        <w:rPr>
          <w:rFonts w:ascii="Times New Roman" w:hAnsi="Times New Roman" w:cs="Times New Roman"/>
          <w:sz w:val="24"/>
          <w:szCs w:val="24"/>
        </w:rPr>
        <w:t>, OJ No. L27/1, 17.11.93</w:t>
      </w:r>
    </w:p>
    <w:p w14:paraId="63810E9F"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Cross, M.K.D., 2011. </w:t>
      </w:r>
      <w:r w:rsidRPr="00E96F08">
        <w:rPr>
          <w:rFonts w:ascii="Times New Roman" w:hAnsi="Times New Roman" w:cs="Times New Roman"/>
          <w:i/>
          <w:sz w:val="24"/>
          <w:szCs w:val="24"/>
        </w:rPr>
        <w:t>Security Integration in the European Union</w:t>
      </w:r>
      <w:r w:rsidRPr="00E96F08">
        <w:rPr>
          <w:rFonts w:ascii="Times New Roman" w:hAnsi="Times New Roman" w:cs="Times New Roman"/>
          <w:sz w:val="24"/>
          <w:szCs w:val="24"/>
        </w:rPr>
        <w:t>. Ann Arbor, MI: University of Michigan Press.</w:t>
      </w:r>
      <w:r w:rsidRPr="00E96F08">
        <w:rPr>
          <w:rFonts w:ascii="MS Mincho" w:eastAsia="MS Mincho" w:hAnsi="MS Mincho" w:cs="MS Mincho"/>
          <w:sz w:val="24"/>
          <w:szCs w:val="24"/>
        </w:rPr>
        <w:t> </w:t>
      </w:r>
      <w:r w:rsidRPr="00E96F08">
        <w:rPr>
          <w:rFonts w:ascii="Times New Roman" w:hAnsi="Times New Roman" w:cs="Times New Roman"/>
          <w:sz w:val="24"/>
          <w:szCs w:val="24"/>
        </w:rPr>
        <w:t xml:space="preserve"> </w:t>
      </w:r>
    </w:p>
    <w:p w14:paraId="691ADD99" w14:textId="2B4C6E4B" w:rsidR="006B535D"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Duke, S., 2005. The  Linchpin  COPS.  Assessing  the  workings  and  institutional relations   of   the   Political   and   Security   Committee.   Maastricht: EIPA,   Working   Paper 2005/W/05.</w:t>
      </w:r>
    </w:p>
    <w:p w14:paraId="599DE338" w14:textId="0F526197" w:rsidR="00783225" w:rsidRPr="00783225" w:rsidRDefault="00783225" w:rsidP="00783225">
      <w:pPr>
        <w:spacing w:line="480" w:lineRule="auto"/>
        <w:ind w:left="450" w:hanging="480"/>
        <w:rPr>
          <w:rFonts w:ascii="Times New Roman" w:hAnsi="Times New Roman" w:cs="Times New Roman"/>
          <w:sz w:val="24"/>
          <w:szCs w:val="24"/>
          <w:lang w:val="en-US"/>
        </w:rPr>
      </w:pPr>
      <w:r w:rsidRPr="00783225">
        <w:rPr>
          <w:rFonts w:ascii="Times New Roman" w:hAnsi="Times New Roman" w:cs="Times New Roman"/>
          <w:sz w:val="24"/>
          <w:szCs w:val="24"/>
          <w:lang w:val="en-US"/>
        </w:rPr>
        <w:t>Duke, S. and Gebhard, C., 2017. The EU and NATO's Dilemmas with Russia and Prospects for Deconfliction. </w:t>
      </w:r>
      <w:r w:rsidRPr="00783225">
        <w:rPr>
          <w:rFonts w:ascii="Times New Roman" w:hAnsi="Times New Roman" w:cs="Times New Roman"/>
          <w:i/>
          <w:iCs/>
          <w:sz w:val="24"/>
          <w:szCs w:val="24"/>
          <w:lang w:val="en-US"/>
        </w:rPr>
        <w:t>European Security, 26 (3).</w:t>
      </w:r>
      <w:r w:rsidRPr="00783225">
        <w:rPr>
          <w:rFonts w:ascii="Times New Roman" w:hAnsi="Times New Roman" w:cs="Times New Roman"/>
          <w:sz w:val="24"/>
          <w:szCs w:val="24"/>
          <w:lang w:val="en-US"/>
        </w:rPr>
        <w:t>​</w:t>
      </w:r>
    </w:p>
    <w:p w14:paraId="46B42FBE" w14:textId="5D407281" w:rsidR="006B535D"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lang w:val="de-DE"/>
        </w:rPr>
        <w:t>Glaser, B.G</w:t>
      </w:r>
      <w:r w:rsidR="006C221A" w:rsidRPr="00E96F08">
        <w:rPr>
          <w:rFonts w:ascii="Times New Roman" w:hAnsi="Times New Roman" w:cs="Times New Roman"/>
          <w:sz w:val="24"/>
          <w:szCs w:val="24"/>
          <w:lang w:val="de-DE"/>
        </w:rPr>
        <w:t>. and</w:t>
      </w:r>
      <w:r w:rsidRPr="00E96F08">
        <w:rPr>
          <w:rFonts w:ascii="Times New Roman" w:hAnsi="Times New Roman" w:cs="Times New Roman"/>
          <w:sz w:val="24"/>
          <w:szCs w:val="24"/>
          <w:lang w:val="de-DE"/>
        </w:rPr>
        <w:t xml:space="preserve"> Strauss, A.L., 1967</w:t>
      </w:r>
      <w:r w:rsidRPr="00E96F08">
        <w:rPr>
          <w:rFonts w:ascii="Times New Roman" w:hAnsi="Times New Roman" w:cs="Times New Roman"/>
          <w:i/>
          <w:sz w:val="24"/>
          <w:szCs w:val="24"/>
          <w:lang w:val="de-DE"/>
        </w:rPr>
        <w:t xml:space="preserve">. </w:t>
      </w:r>
      <w:r w:rsidRPr="00E96F08">
        <w:rPr>
          <w:rFonts w:ascii="Times New Roman" w:hAnsi="Times New Roman" w:cs="Times New Roman"/>
          <w:i/>
          <w:sz w:val="24"/>
          <w:szCs w:val="24"/>
        </w:rPr>
        <w:t>The Discovery of Grounded Theory: Strategies for Qualitative Research</w:t>
      </w:r>
      <w:r w:rsidRPr="00E96F08">
        <w:rPr>
          <w:rFonts w:ascii="Times New Roman" w:hAnsi="Times New Roman" w:cs="Times New Roman"/>
          <w:sz w:val="24"/>
          <w:szCs w:val="24"/>
        </w:rPr>
        <w:t xml:space="preserve">. Piscataway, NJ: Aldine Publishing Company. </w:t>
      </w:r>
    </w:p>
    <w:p w14:paraId="275FE03E" w14:textId="4F5C65E6" w:rsidR="005C26D7" w:rsidRPr="00783225" w:rsidRDefault="005C26D7" w:rsidP="005C26D7">
      <w:pPr>
        <w:spacing w:line="480" w:lineRule="auto"/>
        <w:ind w:left="450" w:hanging="480"/>
        <w:rPr>
          <w:rFonts w:ascii="Times New Roman" w:hAnsi="Times New Roman" w:cs="Times New Roman"/>
          <w:sz w:val="24"/>
          <w:szCs w:val="24"/>
          <w:lang w:val="en-US"/>
        </w:rPr>
      </w:pPr>
      <w:r w:rsidRPr="005C26D7">
        <w:rPr>
          <w:rFonts w:ascii="Times New Roman" w:hAnsi="Times New Roman" w:cs="Times New Roman"/>
          <w:sz w:val="24"/>
          <w:szCs w:val="24"/>
          <w:lang w:val="en-US"/>
        </w:rPr>
        <w:t>Graeger, N., 2017. Grasping the Everyday and Extraordinary in EU-NATO relations: The Added Value of Practice Approaches. </w:t>
      </w:r>
      <w:r w:rsidRPr="005C26D7">
        <w:rPr>
          <w:rFonts w:ascii="Times New Roman" w:hAnsi="Times New Roman" w:cs="Times New Roman"/>
          <w:i/>
          <w:iCs/>
          <w:sz w:val="24"/>
          <w:szCs w:val="24"/>
          <w:lang w:val="en-US"/>
        </w:rPr>
        <w:t>European Security, 26 (3).</w:t>
      </w:r>
    </w:p>
    <w:p w14:paraId="09985ADA"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Howell, K.E., 2000. </w:t>
      </w:r>
      <w:r w:rsidRPr="00E96F08">
        <w:rPr>
          <w:rFonts w:ascii="Times New Roman" w:hAnsi="Times New Roman" w:cs="Times New Roman"/>
          <w:i/>
          <w:sz w:val="24"/>
          <w:szCs w:val="24"/>
        </w:rPr>
        <w:t>Discovering the Limits of European Integration: Applying Grounded Theory</w:t>
      </w:r>
      <w:r w:rsidRPr="00E96F08">
        <w:rPr>
          <w:rFonts w:ascii="Times New Roman" w:hAnsi="Times New Roman" w:cs="Times New Roman"/>
          <w:sz w:val="24"/>
          <w:szCs w:val="24"/>
        </w:rPr>
        <w:t xml:space="preserve">. New York: Nova Science Publishers. </w:t>
      </w:r>
    </w:p>
    <w:p w14:paraId="34E213F8" w14:textId="5C0B1AC3"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lastRenderedPageBreak/>
        <w:t xml:space="preserve">Howorth, J., 2012. Decision-making in security and defense policy: Towards supranational inter-governmentalism? </w:t>
      </w:r>
      <w:r w:rsidRPr="00E96F08">
        <w:rPr>
          <w:rFonts w:ascii="Times New Roman" w:hAnsi="Times New Roman" w:cs="Times New Roman"/>
          <w:i/>
          <w:sz w:val="24"/>
          <w:szCs w:val="24"/>
        </w:rPr>
        <w:t>Cooperation and Conflict</w:t>
      </w:r>
      <w:r w:rsidR="00AC73D9" w:rsidRPr="00E96F08">
        <w:rPr>
          <w:rFonts w:ascii="Times New Roman" w:hAnsi="Times New Roman" w:cs="Times New Roman"/>
          <w:sz w:val="24"/>
          <w:szCs w:val="24"/>
        </w:rPr>
        <w:t>, 47</w:t>
      </w:r>
      <w:r w:rsidRPr="00E96F08">
        <w:rPr>
          <w:rFonts w:ascii="Times New Roman" w:hAnsi="Times New Roman" w:cs="Times New Roman"/>
          <w:sz w:val="24"/>
          <w:szCs w:val="24"/>
        </w:rPr>
        <w:t>(4), 433–453.</w:t>
      </w:r>
    </w:p>
    <w:p w14:paraId="455F4013" w14:textId="77777777" w:rsidR="003F656C" w:rsidRPr="00E96F08" w:rsidRDefault="003F656C" w:rsidP="003F656C">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European Council, </w:t>
      </w:r>
      <w:r w:rsidRPr="00E96F08">
        <w:rPr>
          <w:rFonts w:ascii="Times New Roman" w:hAnsi="Times New Roman" w:cs="Times New Roman"/>
          <w:i/>
          <w:sz w:val="24"/>
          <w:szCs w:val="24"/>
        </w:rPr>
        <w:t>Bratislava Declaration and Roadmap</w:t>
      </w:r>
      <w:r w:rsidRPr="00E96F08">
        <w:rPr>
          <w:rFonts w:ascii="Times New Roman" w:hAnsi="Times New Roman" w:cs="Times New Roman"/>
          <w:sz w:val="24"/>
          <w:szCs w:val="24"/>
        </w:rPr>
        <w:t xml:space="preserve">, 16 September 2016, Bratislava. Available from: </w:t>
      </w:r>
      <w:hyperlink r:id="rId8" w:history="1">
        <w:r w:rsidRPr="00E96F08">
          <w:rPr>
            <w:rStyle w:val="Hyperlink"/>
            <w:rFonts w:ascii="Times New Roman" w:hAnsi="Times New Roman" w:cs="Times New Roman"/>
            <w:sz w:val="24"/>
            <w:szCs w:val="24"/>
          </w:rPr>
          <w:t>http://www.consilium.europa.eu/en/press/press-releases/2016/09/pdf/160916-Bratislava-declaration-and-roadmap_en16_pdf/</w:t>
        </w:r>
      </w:hyperlink>
      <w:r w:rsidRPr="00E96F08">
        <w:rPr>
          <w:rFonts w:ascii="Times New Roman" w:hAnsi="Times New Roman" w:cs="Times New Roman"/>
          <w:sz w:val="24"/>
          <w:szCs w:val="24"/>
        </w:rPr>
        <w:t xml:space="preserve"> [Accessed 13 Dec 2016].</w:t>
      </w:r>
    </w:p>
    <w:p w14:paraId="54FF5BB4" w14:textId="77777777" w:rsidR="003F656C" w:rsidRDefault="003F656C" w:rsidP="003F656C">
      <w:pPr>
        <w:spacing w:line="480" w:lineRule="auto"/>
        <w:ind w:left="450" w:hanging="480"/>
        <w:rPr>
          <w:rFonts w:ascii="Times New Roman" w:hAnsi="Times New Roman" w:cs="Times New Roman"/>
          <w:bCs/>
          <w:sz w:val="24"/>
          <w:szCs w:val="24"/>
          <w:lang w:val="en-US"/>
        </w:rPr>
      </w:pPr>
      <w:r w:rsidRPr="00722180">
        <w:rPr>
          <w:rFonts w:ascii="Times New Roman" w:hAnsi="Times New Roman" w:cs="Times New Roman"/>
          <w:sz w:val="24"/>
          <w:szCs w:val="24"/>
        </w:rPr>
        <w:t xml:space="preserve">European Council, </w:t>
      </w:r>
      <w:r w:rsidRPr="00F53D8E">
        <w:rPr>
          <w:rFonts w:ascii="Times New Roman" w:hAnsi="Times New Roman" w:cs="Times New Roman"/>
          <w:bCs/>
          <w:i/>
          <w:sz w:val="24"/>
          <w:szCs w:val="24"/>
          <w:lang w:val="en-US"/>
        </w:rPr>
        <w:t>EU-NATO Joint Declaration</w:t>
      </w:r>
      <w:r>
        <w:rPr>
          <w:rFonts w:ascii="Times New Roman" w:hAnsi="Times New Roman" w:cs="Times New Roman"/>
          <w:bCs/>
          <w:sz w:val="24"/>
          <w:szCs w:val="24"/>
          <w:lang w:val="en-US"/>
        </w:rPr>
        <w:t>, 8 July 2016</w:t>
      </w:r>
    </w:p>
    <w:p w14:paraId="636DDD0F" w14:textId="77777777" w:rsidR="003F656C" w:rsidRPr="00F53D8E" w:rsidRDefault="003F656C" w:rsidP="003F656C">
      <w:pPr>
        <w:spacing w:line="480" w:lineRule="auto"/>
        <w:ind w:left="450" w:hanging="480"/>
        <w:rPr>
          <w:rFonts w:ascii="Times New Roman" w:hAnsi="Times New Roman" w:cs="Times New Roman"/>
          <w:bCs/>
          <w:sz w:val="24"/>
          <w:szCs w:val="24"/>
          <w:lang w:val="en-US"/>
        </w:rPr>
      </w:pPr>
      <w:r w:rsidRPr="00E96F08">
        <w:rPr>
          <w:rFonts w:ascii="Times New Roman" w:hAnsi="Times New Roman" w:cs="Times New Roman"/>
          <w:sz w:val="24"/>
          <w:szCs w:val="24"/>
        </w:rPr>
        <w:t>Available from:</w:t>
      </w:r>
      <w:r>
        <w:rPr>
          <w:rFonts w:ascii="Times New Roman" w:hAnsi="Times New Roman" w:cs="Times New Roman"/>
          <w:sz w:val="24"/>
          <w:szCs w:val="24"/>
        </w:rPr>
        <w:t xml:space="preserve"> </w:t>
      </w:r>
      <w:r w:rsidRPr="00722180">
        <w:rPr>
          <w:rFonts w:ascii="Times New Roman" w:hAnsi="Times New Roman" w:cs="Times New Roman"/>
          <w:sz w:val="24"/>
          <w:szCs w:val="24"/>
        </w:rPr>
        <w:t>http://www.consilium.europa.eu/en/press/press-releases/2016/07/08-eu-nato-joint-declaration/</w:t>
      </w:r>
    </w:p>
    <w:p w14:paraId="772020C2" w14:textId="77777777" w:rsidR="003F656C" w:rsidRDefault="003F656C" w:rsidP="003F656C">
      <w:pPr>
        <w:spacing w:line="480" w:lineRule="auto"/>
        <w:rPr>
          <w:rFonts w:ascii="Times New Roman" w:hAnsi="Times New Roman" w:cs="Times New Roman"/>
          <w:sz w:val="24"/>
          <w:szCs w:val="24"/>
        </w:rPr>
      </w:pPr>
      <w:r>
        <w:rPr>
          <w:rFonts w:ascii="Times New Roman" w:hAnsi="Times New Roman" w:cs="Times New Roman"/>
          <w:sz w:val="24"/>
          <w:szCs w:val="24"/>
        </w:rPr>
        <w:t xml:space="preserve">European Council. 2003. </w:t>
      </w:r>
      <w:hyperlink r:id="rId9" w:tgtFrame="_blank" w:tooltip="Background on EU-NATO permanent arrangements (Berlin +)" w:history="1">
        <w:r w:rsidRPr="00916783">
          <w:rPr>
            <w:rStyle w:val="Hyperlink"/>
            <w:rFonts w:ascii="Times New Roman" w:hAnsi="Times New Roman" w:cs="Times New Roman"/>
            <w:sz w:val="24"/>
            <w:szCs w:val="24"/>
            <w:lang w:val="en-US"/>
          </w:rPr>
          <w:t>Background on EU-NATO permanent arrangements (Berlin +)</w:t>
        </w:r>
      </w:hyperlink>
    </w:p>
    <w:p w14:paraId="2695B168" w14:textId="77777777" w:rsidR="003F656C" w:rsidRPr="00F53D8E" w:rsidRDefault="003F656C" w:rsidP="003F656C">
      <w:pPr>
        <w:spacing w:line="480" w:lineRule="auto"/>
        <w:rPr>
          <w:rFonts w:ascii="Times New Roman" w:hAnsi="Times New Roman" w:cs="Times New Roman"/>
          <w:sz w:val="24"/>
          <w:szCs w:val="24"/>
          <w:lang w:val="en-US"/>
        </w:rPr>
      </w:pPr>
      <w:r>
        <w:rPr>
          <w:rFonts w:ascii="Times New Roman" w:hAnsi="Times New Roman" w:cs="Times New Roman"/>
          <w:sz w:val="24"/>
          <w:szCs w:val="24"/>
        </w:rPr>
        <w:tab/>
      </w:r>
      <w:r w:rsidRPr="00E96F08">
        <w:rPr>
          <w:rFonts w:ascii="Times New Roman" w:hAnsi="Times New Roman" w:cs="Times New Roman"/>
          <w:sz w:val="24"/>
          <w:szCs w:val="24"/>
        </w:rPr>
        <w:t>Available from:</w:t>
      </w:r>
      <w:r>
        <w:rPr>
          <w:rFonts w:ascii="Times New Roman" w:hAnsi="Times New Roman" w:cs="Times New Roman"/>
          <w:sz w:val="24"/>
          <w:szCs w:val="24"/>
        </w:rPr>
        <w:t xml:space="preserve"> </w:t>
      </w:r>
      <w:r w:rsidRPr="00916783">
        <w:rPr>
          <w:rFonts w:ascii="Times New Roman" w:hAnsi="Times New Roman" w:cs="Times New Roman"/>
          <w:sz w:val="24"/>
          <w:szCs w:val="24"/>
        </w:rPr>
        <w:t>https://www.consilium.europa.eu/uedocs/cmsUpload/03-11-11%20Berlin%20Plus%20press%20note%20BL.pdf</w:t>
      </w:r>
    </w:p>
    <w:p w14:paraId="6024E277"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European Union, 2007. </w:t>
      </w:r>
      <w:r w:rsidRPr="00E96F08">
        <w:rPr>
          <w:rFonts w:ascii="Times New Roman" w:hAnsi="Times New Roman" w:cs="Times New Roman"/>
          <w:i/>
          <w:iCs/>
          <w:sz w:val="24"/>
          <w:szCs w:val="24"/>
        </w:rPr>
        <w:t>Treaty of Lisbon Amending the Treaty on European Union and the Treaty Establishing the European Community</w:t>
      </w:r>
      <w:r w:rsidRPr="00E96F08">
        <w:rPr>
          <w:rFonts w:ascii="Times New Roman" w:hAnsi="Times New Roman" w:cs="Times New Roman"/>
          <w:sz w:val="24"/>
          <w:szCs w:val="24"/>
        </w:rPr>
        <w:t>, 13 December 2007, 2007/C 306/01</w:t>
      </w:r>
    </w:p>
    <w:p w14:paraId="0210D31D"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Jørgensen, K.E., 2004. Theorising the European Union’s Foreign Policy. </w:t>
      </w:r>
      <w:r w:rsidRPr="00E96F08">
        <w:rPr>
          <w:rFonts w:ascii="Times New Roman" w:hAnsi="Times New Roman" w:cs="Times New Roman"/>
          <w:i/>
          <w:sz w:val="24"/>
          <w:szCs w:val="24"/>
        </w:rPr>
        <w:t>In</w:t>
      </w:r>
      <w:r w:rsidRPr="00E96F08">
        <w:rPr>
          <w:rFonts w:ascii="Times New Roman" w:hAnsi="Times New Roman" w:cs="Times New Roman"/>
          <w:sz w:val="24"/>
          <w:szCs w:val="24"/>
        </w:rPr>
        <w:t xml:space="preserve">: B. Tonra and T. Christiansen, eds. </w:t>
      </w:r>
      <w:r w:rsidRPr="00E96F08">
        <w:rPr>
          <w:rFonts w:ascii="Times New Roman" w:hAnsi="Times New Roman" w:cs="Times New Roman"/>
          <w:i/>
          <w:sz w:val="24"/>
          <w:szCs w:val="24"/>
        </w:rPr>
        <w:t>Rethinking European Union Foreign Policy</w:t>
      </w:r>
      <w:r w:rsidRPr="00E96F08">
        <w:rPr>
          <w:rFonts w:ascii="Times New Roman" w:hAnsi="Times New Roman" w:cs="Times New Roman"/>
          <w:sz w:val="24"/>
          <w:szCs w:val="24"/>
        </w:rPr>
        <w:t>. Manchester University Press, 10-25.</w:t>
      </w:r>
    </w:p>
    <w:p w14:paraId="70BE235B" w14:textId="537BD90E" w:rsidR="006B535D" w:rsidRPr="00E96F08" w:rsidRDefault="00623BBB"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Juncos, A.E</w:t>
      </w:r>
      <w:r w:rsidR="006C221A" w:rsidRPr="00E96F08">
        <w:rPr>
          <w:rFonts w:ascii="Times New Roman" w:hAnsi="Times New Roman" w:cs="Times New Roman"/>
          <w:sz w:val="24"/>
          <w:szCs w:val="24"/>
        </w:rPr>
        <w:t>. and</w:t>
      </w:r>
      <w:r w:rsidR="006B535D" w:rsidRPr="00E96F08">
        <w:rPr>
          <w:rFonts w:ascii="Times New Roman" w:hAnsi="Times New Roman" w:cs="Times New Roman"/>
          <w:sz w:val="24"/>
          <w:szCs w:val="24"/>
        </w:rPr>
        <w:t xml:space="preserve"> Pomorska, K., 2011. Invisible and unaccountable? Nation</w:t>
      </w:r>
      <w:r w:rsidRPr="00E96F08">
        <w:rPr>
          <w:rFonts w:ascii="Times New Roman" w:hAnsi="Times New Roman" w:cs="Times New Roman"/>
          <w:sz w:val="24"/>
          <w:szCs w:val="24"/>
        </w:rPr>
        <w:t>al representatives and Council O</w:t>
      </w:r>
      <w:r w:rsidR="006B535D" w:rsidRPr="00E96F08">
        <w:rPr>
          <w:rFonts w:ascii="Times New Roman" w:hAnsi="Times New Roman" w:cs="Times New Roman"/>
          <w:sz w:val="24"/>
          <w:szCs w:val="24"/>
        </w:rPr>
        <w:t xml:space="preserve">fficials in EU Foreign Policy. </w:t>
      </w:r>
      <w:r w:rsidR="006B535D" w:rsidRPr="00E96F08">
        <w:rPr>
          <w:rFonts w:ascii="Times New Roman" w:hAnsi="Times New Roman" w:cs="Times New Roman"/>
          <w:i/>
          <w:sz w:val="24"/>
          <w:szCs w:val="24"/>
        </w:rPr>
        <w:t>Journal of European Public Policy</w:t>
      </w:r>
      <w:r w:rsidRPr="00E96F08">
        <w:rPr>
          <w:rFonts w:ascii="Times New Roman" w:hAnsi="Times New Roman" w:cs="Times New Roman"/>
          <w:sz w:val="24"/>
          <w:szCs w:val="24"/>
        </w:rPr>
        <w:t>, 18</w:t>
      </w:r>
      <w:r w:rsidR="006B535D" w:rsidRPr="00E96F08">
        <w:rPr>
          <w:rFonts w:ascii="Times New Roman" w:hAnsi="Times New Roman" w:cs="Times New Roman"/>
          <w:sz w:val="24"/>
          <w:szCs w:val="24"/>
        </w:rPr>
        <w:t>(8), 1096-1114.</w:t>
      </w:r>
    </w:p>
    <w:p w14:paraId="495F4B20" w14:textId="51FE4B97" w:rsidR="006B535D" w:rsidRPr="00E96F08" w:rsidRDefault="00623BBB"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Juncos, A.E</w:t>
      </w:r>
      <w:r w:rsidR="006C221A" w:rsidRPr="00E96F08">
        <w:rPr>
          <w:rFonts w:ascii="Times New Roman" w:hAnsi="Times New Roman" w:cs="Times New Roman"/>
          <w:sz w:val="24"/>
          <w:szCs w:val="24"/>
        </w:rPr>
        <w:t xml:space="preserve">. and </w:t>
      </w:r>
      <w:r w:rsidR="006B535D" w:rsidRPr="00E96F08">
        <w:rPr>
          <w:rFonts w:ascii="Times New Roman" w:hAnsi="Times New Roman" w:cs="Times New Roman"/>
          <w:sz w:val="24"/>
          <w:szCs w:val="24"/>
        </w:rPr>
        <w:t xml:space="preserve">Reynolds, C., 2007. The Political and Security Committee: Governing in the Shadow. </w:t>
      </w:r>
      <w:r w:rsidR="006B535D" w:rsidRPr="00E96F08">
        <w:rPr>
          <w:rFonts w:ascii="Times New Roman" w:hAnsi="Times New Roman" w:cs="Times New Roman"/>
          <w:i/>
          <w:sz w:val="24"/>
          <w:szCs w:val="24"/>
        </w:rPr>
        <w:t>European Foreign Affairs Review</w:t>
      </w:r>
      <w:r w:rsidR="00AC73D9" w:rsidRPr="00E96F08">
        <w:rPr>
          <w:rFonts w:ascii="Times New Roman" w:hAnsi="Times New Roman" w:cs="Times New Roman"/>
          <w:sz w:val="24"/>
          <w:szCs w:val="24"/>
        </w:rPr>
        <w:t>, 12</w:t>
      </w:r>
      <w:r w:rsidR="006B535D" w:rsidRPr="00E96F08">
        <w:rPr>
          <w:rFonts w:ascii="Times New Roman" w:hAnsi="Times New Roman" w:cs="Times New Roman"/>
          <w:sz w:val="24"/>
          <w:szCs w:val="24"/>
        </w:rPr>
        <w:t>(2), 127–147.</w:t>
      </w:r>
    </w:p>
    <w:p w14:paraId="67D1E835" w14:textId="128142AF" w:rsidR="006B535D"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Kelle, U., 2005. “Emergence” vs. “Forcing” of Empirical Data? A Crucial Problem of “Grounded Theory” Reconsidered. </w:t>
      </w:r>
      <w:r w:rsidRPr="00E96F08">
        <w:rPr>
          <w:rFonts w:ascii="Times New Roman" w:hAnsi="Times New Roman" w:cs="Times New Roman"/>
          <w:i/>
          <w:sz w:val="24"/>
          <w:szCs w:val="24"/>
        </w:rPr>
        <w:t>Forum: Qualitative Social Research</w:t>
      </w:r>
      <w:r w:rsidR="00AC73D9" w:rsidRPr="00E96F08">
        <w:rPr>
          <w:rFonts w:ascii="Times New Roman" w:hAnsi="Times New Roman" w:cs="Times New Roman"/>
          <w:sz w:val="24"/>
          <w:szCs w:val="24"/>
        </w:rPr>
        <w:t>, 6</w:t>
      </w:r>
      <w:r w:rsidRPr="00E96F08">
        <w:rPr>
          <w:rFonts w:ascii="Times New Roman" w:hAnsi="Times New Roman" w:cs="Times New Roman"/>
          <w:sz w:val="24"/>
          <w:szCs w:val="24"/>
        </w:rPr>
        <w:t xml:space="preserve">(2). </w:t>
      </w:r>
    </w:p>
    <w:p w14:paraId="4BC05156" w14:textId="3E5393F4" w:rsidR="005C26D7" w:rsidRPr="00F6719B" w:rsidRDefault="005C26D7" w:rsidP="005C26D7">
      <w:pPr>
        <w:spacing w:line="480" w:lineRule="auto"/>
        <w:ind w:left="450" w:hanging="480"/>
        <w:rPr>
          <w:rFonts w:ascii="Times New Roman" w:hAnsi="Times New Roman" w:cs="Times New Roman"/>
          <w:sz w:val="24"/>
          <w:szCs w:val="24"/>
          <w:lang w:val="en-US"/>
        </w:rPr>
      </w:pPr>
      <w:r w:rsidRPr="005C26D7">
        <w:rPr>
          <w:rFonts w:ascii="Times New Roman" w:hAnsi="Times New Roman" w:cs="Times New Roman"/>
          <w:sz w:val="24"/>
          <w:szCs w:val="24"/>
          <w:lang w:val="en-US"/>
        </w:rPr>
        <w:lastRenderedPageBreak/>
        <w:t>​Koops, J., 2017. Theorising Inter-Organisational Relations: The 'EU-NATO Relationship' as a Catalystic Case Study. </w:t>
      </w:r>
      <w:r w:rsidRPr="005C26D7">
        <w:rPr>
          <w:rFonts w:ascii="Times New Roman" w:hAnsi="Times New Roman" w:cs="Times New Roman"/>
          <w:i/>
          <w:iCs/>
          <w:sz w:val="24"/>
          <w:szCs w:val="24"/>
          <w:lang w:val="en-US"/>
        </w:rPr>
        <w:t>European Security, 26 (3).</w:t>
      </w:r>
    </w:p>
    <w:p w14:paraId="7AC6346F" w14:textId="74A770D1"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lang w:val="de-DE"/>
        </w:rPr>
        <w:t>Lynggaard, K., Manners, I</w:t>
      </w:r>
      <w:r w:rsidR="006C221A" w:rsidRPr="00E96F08">
        <w:rPr>
          <w:rFonts w:ascii="Times New Roman" w:hAnsi="Times New Roman" w:cs="Times New Roman"/>
          <w:sz w:val="24"/>
          <w:szCs w:val="24"/>
          <w:lang w:val="de-DE"/>
        </w:rPr>
        <w:t>. and</w:t>
      </w:r>
      <w:r w:rsidRPr="00E96F08">
        <w:rPr>
          <w:rFonts w:ascii="Times New Roman" w:hAnsi="Times New Roman" w:cs="Times New Roman"/>
          <w:sz w:val="24"/>
          <w:szCs w:val="24"/>
          <w:lang w:val="de-DE"/>
        </w:rPr>
        <w:t xml:space="preserve"> Löfgren, K., 2015. </w:t>
      </w:r>
      <w:r w:rsidRPr="00E96F08">
        <w:rPr>
          <w:rFonts w:ascii="Times New Roman" w:hAnsi="Times New Roman" w:cs="Times New Roman"/>
          <w:i/>
          <w:sz w:val="24"/>
          <w:szCs w:val="24"/>
        </w:rPr>
        <w:t>Research Methods in European Union Studies</w:t>
      </w:r>
      <w:r w:rsidRPr="00E96F08">
        <w:rPr>
          <w:rFonts w:ascii="Times New Roman" w:hAnsi="Times New Roman" w:cs="Times New Roman"/>
          <w:sz w:val="24"/>
          <w:szCs w:val="24"/>
        </w:rPr>
        <w:t xml:space="preserve">. London: Palgrave Macmillan. </w:t>
      </w:r>
    </w:p>
    <w:p w14:paraId="20D677D8" w14:textId="0100E9D6"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Mansbach, R.W</w:t>
      </w:r>
      <w:r w:rsidR="006C221A" w:rsidRPr="00E96F08">
        <w:rPr>
          <w:rFonts w:ascii="Times New Roman" w:hAnsi="Times New Roman" w:cs="Times New Roman"/>
          <w:sz w:val="24"/>
          <w:szCs w:val="24"/>
        </w:rPr>
        <w:t>. and</w:t>
      </w:r>
      <w:r w:rsidRPr="00E96F08">
        <w:rPr>
          <w:rFonts w:ascii="Times New Roman" w:hAnsi="Times New Roman" w:cs="Times New Roman"/>
          <w:sz w:val="24"/>
          <w:szCs w:val="24"/>
        </w:rPr>
        <w:t xml:space="preserve"> Vasquez, J.A., 1981. </w:t>
      </w:r>
      <w:r w:rsidRPr="00E96F08">
        <w:rPr>
          <w:rFonts w:ascii="Times New Roman" w:hAnsi="Times New Roman" w:cs="Times New Roman"/>
          <w:i/>
          <w:sz w:val="24"/>
          <w:szCs w:val="24"/>
        </w:rPr>
        <w:t>In Search of Theory: A New Paradigm for Global Politics.</w:t>
      </w:r>
      <w:r w:rsidRPr="00E96F08">
        <w:rPr>
          <w:rFonts w:ascii="Times New Roman" w:hAnsi="Times New Roman" w:cs="Times New Roman"/>
          <w:sz w:val="24"/>
          <w:szCs w:val="24"/>
        </w:rPr>
        <w:t xml:space="preserve"> New York: Columbia University Press.</w:t>
      </w:r>
    </w:p>
    <w:p w14:paraId="12F0B4DA" w14:textId="2E43ACD5" w:rsidR="00924D98" w:rsidRPr="00E96F08" w:rsidRDefault="00924D98"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Medcalf, J., 2006. NATO Handbook. Public Diplomacy Division NATO, Brussels, Belgium. </w:t>
      </w:r>
      <w:r w:rsidR="00F15010" w:rsidRPr="00E96F08">
        <w:rPr>
          <w:rFonts w:ascii="Times New Roman" w:hAnsi="Times New Roman" w:cs="Times New Roman"/>
          <w:sz w:val="24"/>
          <w:szCs w:val="24"/>
        </w:rPr>
        <w:t>Available from</w:t>
      </w:r>
      <w:r w:rsidRPr="00E96F08">
        <w:rPr>
          <w:rFonts w:ascii="Times New Roman" w:hAnsi="Times New Roman" w:cs="Times New Roman"/>
          <w:sz w:val="24"/>
          <w:szCs w:val="24"/>
        </w:rPr>
        <w:t xml:space="preserve">: </w:t>
      </w:r>
      <w:hyperlink r:id="rId10" w:history="1">
        <w:r w:rsidR="00F15010" w:rsidRPr="00E96F08">
          <w:rPr>
            <w:rStyle w:val="Hyperlink"/>
            <w:rFonts w:ascii="Times New Roman" w:hAnsi="Times New Roman" w:cs="Times New Roman"/>
            <w:sz w:val="24"/>
            <w:szCs w:val="24"/>
          </w:rPr>
          <w:t>http://www.nato.int/docu/handbook/2006/hb-en-2006.pdf</w:t>
        </w:r>
      </w:hyperlink>
      <w:r w:rsidR="00F15010" w:rsidRPr="00E96F08">
        <w:rPr>
          <w:rFonts w:ascii="Times New Roman" w:hAnsi="Times New Roman" w:cs="Times New Roman"/>
          <w:sz w:val="24"/>
          <w:szCs w:val="24"/>
        </w:rPr>
        <w:t xml:space="preserve"> [Accessed 20</w:t>
      </w:r>
      <w:r w:rsidR="00EF08A5" w:rsidRPr="00E96F08">
        <w:rPr>
          <w:rFonts w:ascii="Times New Roman" w:hAnsi="Times New Roman" w:cs="Times New Roman"/>
          <w:sz w:val="24"/>
          <w:szCs w:val="24"/>
        </w:rPr>
        <w:t xml:space="preserve"> Nov </w:t>
      </w:r>
      <w:r w:rsidR="00F15010" w:rsidRPr="00E96F08">
        <w:rPr>
          <w:rFonts w:ascii="Times New Roman" w:hAnsi="Times New Roman" w:cs="Times New Roman"/>
          <w:sz w:val="24"/>
          <w:szCs w:val="24"/>
        </w:rPr>
        <w:t>2016].</w:t>
      </w:r>
    </w:p>
    <w:p w14:paraId="5EC05423"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Mérand, F., 2012. Bricolage: A Sociological Approach to the Making of CSDP. </w:t>
      </w:r>
      <w:r w:rsidRPr="00E96F08">
        <w:rPr>
          <w:rFonts w:ascii="Times New Roman" w:hAnsi="Times New Roman" w:cs="Times New Roman"/>
          <w:i/>
          <w:sz w:val="24"/>
          <w:szCs w:val="24"/>
        </w:rPr>
        <w:t>In</w:t>
      </w:r>
      <w:r w:rsidRPr="00E96F08">
        <w:rPr>
          <w:rFonts w:ascii="Times New Roman" w:hAnsi="Times New Roman" w:cs="Times New Roman"/>
          <w:sz w:val="24"/>
          <w:szCs w:val="24"/>
        </w:rPr>
        <w:t xml:space="preserve">: X. Kurowska and F. Breuer, eds. </w:t>
      </w:r>
      <w:r w:rsidRPr="00E96F08">
        <w:rPr>
          <w:rFonts w:ascii="Times New Roman" w:hAnsi="Times New Roman" w:cs="Times New Roman"/>
          <w:i/>
          <w:sz w:val="24"/>
          <w:szCs w:val="24"/>
        </w:rPr>
        <w:t>Explaining the EU’s Common Security and Defence Policy: Theory in Action</w:t>
      </w:r>
      <w:r w:rsidRPr="00E96F08">
        <w:rPr>
          <w:rFonts w:ascii="Times New Roman" w:hAnsi="Times New Roman" w:cs="Times New Roman"/>
          <w:sz w:val="24"/>
          <w:szCs w:val="24"/>
        </w:rPr>
        <w:t xml:space="preserve">. London: Palgrave Macmillan. </w:t>
      </w:r>
    </w:p>
    <w:p w14:paraId="1368A52C" w14:textId="77777777" w:rsidR="006B535D" w:rsidRPr="005A0BAC"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Meyer, C.O., 2006. </w:t>
      </w:r>
      <w:r w:rsidRPr="00E96F08">
        <w:rPr>
          <w:rFonts w:ascii="Times New Roman" w:hAnsi="Times New Roman" w:cs="Times New Roman"/>
          <w:i/>
          <w:sz w:val="24"/>
          <w:szCs w:val="24"/>
        </w:rPr>
        <w:t>The Quest for a European Strategic Culture: Changing Norms on Security and Defence in the European Union</w:t>
      </w:r>
      <w:r w:rsidRPr="00E96F08">
        <w:rPr>
          <w:rFonts w:ascii="Times New Roman" w:hAnsi="Times New Roman" w:cs="Times New Roman"/>
          <w:sz w:val="24"/>
          <w:szCs w:val="24"/>
        </w:rPr>
        <w:t xml:space="preserve">. </w:t>
      </w:r>
      <w:r w:rsidRPr="005A0BAC">
        <w:rPr>
          <w:rFonts w:ascii="Times New Roman" w:hAnsi="Times New Roman" w:cs="Times New Roman"/>
          <w:sz w:val="24"/>
          <w:szCs w:val="24"/>
        </w:rPr>
        <w:t xml:space="preserve">London: Palgrave. </w:t>
      </w:r>
    </w:p>
    <w:p w14:paraId="0E204CAE" w14:textId="77777777" w:rsidR="003F656C" w:rsidRPr="005A0BAC" w:rsidRDefault="003F656C" w:rsidP="003F656C">
      <w:pPr>
        <w:spacing w:line="480" w:lineRule="auto"/>
        <w:ind w:left="450" w:hanging="480"/>
        <w:rPr>
          <w:rFonts w:ascii="Times New Roman" w:hAnsi="Times New Roman" w:cs="Times New Roman"/>
          <w:sz w:val="24"/>
          <w:szCs w:val="24"/>
        </w:rPr>
      </w:pPr>
      <w:r w:rsidRPr="005A0BAC">
        <w:rPr>
          <w:rFonts w:ascii="Times New Roman" w:hAnsi="Times New Roman" w:cs="Times New Roman"/>
          <w:sz w:val="24"/>
          <w:szCs w:val="24"/>
        </w:rPr>
        <w:t>North Atlantic Treaty Organization. 2016. NATO – EU Relations Fact Sheet</w:t>
      </w:r>
    </w:p>
    <w:p w14:paraId="5B27407B" w14:textId="5EBF5899" w:rsidR="003F656C" w:rsidRPr="00E96F08" w:rsidRDefault="003F656C" w:rsidP="003F656C">
      <w:pPr>
        <w:spacing w:line="480" w:lineRule="auto"/>
        <w:ind w:left="450" w:hanging="480"/>
        <w:rPr>
          <w:rFonts w:ascii="Times New Roman" w:hAnsi="Times New Roman" w:cs="Times New Roman"/>
          <w:sz w:val="24"/>
          <w:szCs w:val="24"/>
          <w:lang w:val="de-DE"/>
        </w:rPr>
      </w:pPr>
      <w:r w:rsidRPr="005A0BAC">
        <w:rPr>
          <w:rFonts w:ascii="Times New Roman" w:hAnsi="Times New Roman" w:cs="Times New Roman"/>
          <w:sz w:val="24"/>
          <w:szCs w:val="24"/>
        </w:rPr>
        <w:tab/>
      </w:r>
      <w:r w:rsidRPr="00E96F08">
        <w:rPr>
          <w:rFonts w:ascii="Times New Roman" w:hAnsi="Times New Roman" w:cs="Times New Roman"/>
          <w:sz w:val="24"/>
          <w:szCs w:val="24"/>
        </w:rPr>
        <w:t>Available from:</w:t>
      </w:r>
      <w:r>
        <w:rPr>
          <w:rFonts w:ascii="Times New Roman" w:hAnsi="Times New Roman" w:cs="Times New Roman"/>
          <w:sz w:val="24"/>
          <w:szCs w:val="24"/>
        </w:rPr>
        <w:t xml:space="preserve"> </w:t>
      </w:r>
      <w:r w:rsidRPr="00916783">
        <w:rPr>
          <w:rFonts w:ascii="Times New Roman" w:hAnsi="Times New Roman" w:cs="Times New Roman"/>
          <w:sz w:val="24"/>
          <w:szCs w:val="24"/>
        </w:rPr>
        <w:t>http://www.nato.int/nato_static_fl2014/assets/pdf/pdf_2016_07/20160630_1607-factsheet-nato-eu-en.pdf</w:t>
      </w:r>
    </w:p>
    <w:p w14:paraId="30955663"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lang w:val="de-DE"/>
        </w:rPr>
        <w:t xml:space="preserve">Panetta, G., 2013. </w:t>
      </w:r>
      <w:r w:rsidRPr="00E96F08">
        <w:rPr>
          <w:rFonts w:ascii="Times New Roman" w:hAnsi="Times New Roman" w:cs="Times New Roman"/>
          <w:i/>
          <w:sz w:val="24"/>
          <w:szCs w:val="24"/>
          <w:lang w:val="de-DE"/>
        </w:rPr>
        <w:t>EU-Sicherheitspolitik als Stabilisierungsarbeit: Eine Grounded-Theory-Studie</w:t>
      </w:r>
      <w:r w:rsidRPr="00E96F08">
        <w:rPr>
          <w:rFonts w:ascii="Times New Roman" w:hAnsi="Times New Roman" w:cs="Times New Roman"/>
          <w:sz w:val="24"/>
          <w:szCs w:val="24"/>
          <w:lang w:val="de-DE"/>
        </w:rPr>
        <w:t xml:space="preserve">. </w:t>
      </w:r>
      <w:r w:rsidRPr="00E96F08">
        <w:rPr>
          <w:rFonts w:ascii="Times New Roman" w:hAnsi="Times New Roman" w:cs="Times New Roman"/>
          <w:sz w:val="24"/>
          <w:szCs w:val="24"/>
        </w:rPr>
        <w:t xml:space="preserve">Berlin: Springer-Verlag. </w:t>
      </w:r>
    </w:p>
    <w:p w14:paraId="6C1FDFCA"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Peters, I., 2015. </w:t>
      </w:r>
      <w:r w:rsidRPr="00E96F08">
        <w:rPr>
          <w:rFonts w:ascii="Times New Roman" w:hAnsi="Times New Roman" w:cs="Times New Roman"/>
          <w:i/>
          <w:sz w:val="24"/>
          <w:szCs w:val="24"/>
        </w:rPr>
        <w:t>The European Union’s Foreign Policy in Comparative Perspective: Beyond the “Actorness and Power” Debate.</w:t>
      </w:r>
      <w:r w:rsidRPr="00E96F08">
        <w:rPr>
          <w:rFonts w:ascii="Times New Roman" w:hAnsi="Times New Roman" w:cs="Times New Roman"/>
          <w:sz w:val="24"/>
          <w:szCs w:val="24"/>
        </w:rPr>
        <w:t xml:space="preserve"> Abingdon-on-Thames, UK: Routledge. </w:t>
      </w:r>
    </w:p>
    <w:p w14:paraId="1DD941B2"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Pouliot, V., 2010. </w:t>
      </w:r>
      <w:r w:rsidRPr="00E96F08">
        <w:rPr>
          <w:rFonts w:ascii="Times New Roman" w:hAnsi="Times New Roman" w:cs="Times New Roman"/>
          <w:i/>
          <w:sz w:val="24"/>
          <w:szCs w:val="24"/>
        </w:rPr>
        <w:t>International Security in Practice: The Politics of NATO-Russia Diplomacy</w:t>
      </w:r>
      <w:r w:rsidRPr="00E96F08">
        <w:rPr>
          <w:rFonts w:ascii="Times New Roman" w:hAnsi="Times New Roman" w:cs="Times New Roman"/>
          <w:sz w:val="24"/>
          <w:szCs w:val="24"/>
        </w:rPr>
        <w:t xml:space="preserve">. Cambridge University Press. </w:t>
      </w:r>
    </w:p>
    <w:p w14:paraId="32BA0023" w14:textId="77777777"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lastRenderedPageBreak/>
        <w:t>Puetter, U., 2014</w:t>
      </w:r>
      <w:r w:rsidRPr="00E96F08">
        <w:rPr>
          <w:rFonts w:ascii="Times New Roman" w:hAnsi="Times New Roman" w:cs="Times New Roman"/>
          <w:i/>
          <w:sz w:val="24"/>
          <w:szCs w:val="24"/>
        </w:rPr>
        <w:t>. The European Council and the Council: New Intergovernmentalism and Institutional Change</w:t>
      </w:r>
      <w:r w:rsidRPr="00E96F08">
        <w:rPr>
          <w:rFonts w:ascii="Times New Roman" w:hAnsi="Times New Roman" w:cs="Times New Roman"/>
          <w:sz w:val="24"/>
          <w:szCs w:val="24"/>
        </w:rPr>
        <w:t xml:space="preserve">. Oxford University Press. </w:t>
      </w:r>
    </w:p>
    <w:p w14:paraId="688D5CEE" w14:textId="4C892E79" w:rsidR="00D24ED1" w:rsidRPr="00E96F08" w:rsidRDefault="00D24ED1" w:rsidP="00251120">
      <w:pPr>
        <w:spacing w:line="480" w:lineRule="auto"/>
        <w:ind w:left="450" w:hanging="480"/>
        <w:rPr>
          <w:rFonts w:ascii="Times New Roman" w:hAnsi="Times New Roman" w:cs="Times New Roman"/>
          <w:sz w:val="24"/>
          <w:szCs w:val="24"/>
          <w:lang w:val="en-US" w:eastAsia="en-US"/>
        </w:rPr>
      </w:pPr>
      <w:r w:rsidRPr="00E96F08">
        <w:rPr>
          <w:rFonts w:ascii="Times New Roman" w:hAnsi="Times New Roman" w:cs="Times New Roman"/>
          <w:sz w:val="24"/>
          <w:szCs w:val="24"/>
          <w:lang w:val="en-US" w:eastAsia="en-US"/>
        </w:rPr>
        <w:t xml:space="preserve">Reynolds C.R., 2010. </w:t>
      </w:r>
      <w:r w:rsidRPr="00E96F08">
        <w:rPr>
          <w:rFonts w:ascii="Times New Roman" w:hAnsi="Times New Roman" w:cs="Times New Roman"/>
          <w:i/>
          <w:sz w:val="24"/>
          <w:szCs w:val="24"/>
          <w:lang w:val="en-US" w:eastAsia="en-US"/>
        </w:rPr>
        <w:t>Understanding the Emergence of the European Security and Defence Policy: An Historical Institutionalist Analysis</w:t>
      </w:r>
      <w:r w:rsidRPr="00E96F08">
        <w:rPr>
          <w:rFonts w:ascii="Times New Roman" w:hAnsi="Times New Roman" w:cs="Times New Roman"/>
          <w:sz w:val="24"/>
          <w:szCs w:val="24"/>
          <w:lang w:val="en-US" w:eastAsia="en-US"/>
        </w:rPr>
        <w:t>. Nomos, Baden-Baden.</w:t>
      </w:r>
    </w:p>
    <w:p w14:paraId="24A41A94" w14:textId="1A92FCD3" w:rsidR="006B535D" w:rsidRPr="00E96F08"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Richards, C</w:t>
      </w:r>
      <w:r w:rsidR="006C221A" w:rsidRPr="00E96F08">
        <w:rPr>
          <w:rFonts w:ascii="Times New Roman" w:hAnsi="Times New Roman" w:cs="Times New Roman"/>
          <w:sz w:val="24"/>
          <w:szCs w:val="24"/>
        </w:rPr>
        <w:t>. and</w:t>
      </w:r>
      <w:r w:rsidRPr="00E96F08">
        <w:rPr>
          <w:rFonts w:ascii="Times New Roman" w:hAnsi="Times New Roman" w:cs="Times New Roman"/>
          <w:sz w:val="24"/>
          <w:szCs w:val="24"/>
        </w:rPr>
        <w:t xml:space="preserve"> Farrokhnia, F., 2016. Optimizing Grounded Theory for Policy Research: A Knowledge-Building Approach to Analyzing WTO E-Commerce Policies. </w:t>
      </w:r>
      <w:r w:rsidRPr="00E96F08">
        <w:rPr>
          <w:rFonts w:ascii="Times New Roman" w:hAnsi="Times New Roman" w:cs="Times New Roman"/>
          <w:i/>
          <w:sz w:val="24"/>
          <w:szCs w:val="24"/>
        </w:rPr>
        <w:t>International Journal of Qualitative Methods</w:t>
      </w:r>
      <w:r w:rsidRPr="00E96F08">
        <w:rPr>
          <w:rFonts w:ascii="Times New Roman" w:hAnsi="Times New Roman" w:cs="Times New Roman"/>
          <w:sz w:val="24"/>
          <w:szCs w:val="24"/>
        </w:rPr>
        <w:t>, 15 (1), 1-14.</w:t>
      </w:r>
    </w:p>
    <w:p w14:paraId="469C6DC4" w14:textId="77777777" w:rsidR="006B535D" w:rsidRDefault="006B535D" w:rsidP="00251120">
      <w:pPr>
        <w:spacing w:line="480" w:lineRule="auto"/>
        <w:ind w:left="450" w:hanging="480"/>
        <w:rPr>
          <w:rFonts w:ascii="Times New Roman" w:hAnsi="Times New Roman" w:cs="Times New Roman"/>
          <w:sz w:val="24"/>
          <w:szCs w:val="24"/>
        </w:rPr>
      </w:pPr>
      <w:r w:rsidRPr="00E96F08">
        <w:rPr>
          <w:rFonts w:ascii="Times New Roman" w:hAnsi="Times New Roman" w:cs="Times New Roman"/>
          <w:sz w:val="24"/>
          <w:szCs w:val="24"/>
        </w:rPr>
        <w:t xml:space="preserve">Stadler, F., 2004. </w:t>
      </w:r>
      <w:r w:rsidRPr="00E96F08">
        <w:rPr>
          <w:rFonts w:ascii="Times New Roman" w:hAnsi="Times New Roman" w:cs="Times New Roman"/>
          <w:i/>
          <w:sz w:val="24"/>
          <w:szCs w:val="24"/>
        </w:rPr>
        <w:t>Induction and Deduction in the Sciences</w:t>
      </w:r>
      <w:r w:rsidRPr="00E96F08">
        <w:rPr>
          <w:rFonts w:ascii="Times New Roman" w:hAnsi="Times New Roman" w:cs="Times New Roman"/>
          <w:sz w:val="24"/>
          <w:szCs w:val="24"/>
        </w:rPr>
        <w:t xml:space="preserve">. Springer Science &amp; Business Media. </w:t>
      </w:r>
    </w:p>
    <w:p w14:paraId="59AA752B" w14:textId="46A36A4C" w:rsidR="00A76F41" w:rsidRPr="00E96F08" w:rsidRDefault="00A76F41" w:rsidP="00251120">
      <w:pPr>
        <w:spacing w:line="480" w:lineRule="auto"/>
        <w:ind w:left="450" w:hanging="480"/>
        <w:rPr>
          <w:rFonts w:ascii="Times New Roman" w:hAnsi="Times New Roman" w:cs="Times New Roman"/>
          <w:sz w:val="24"/>
          <w:szCs w:val="24"/>
        </w:rPr>
      </w:pPr>
      <w:r>
        <w:rPr>
          <w:rFonts w:ascii="Times New Roman" w:hAnsi="Times New Roman" w:cs="Times New Roman"/>
          <w:sz w:val="24"/>
          <w:szCs w:val="24"/>
          <w:lang w:val="en-US" w:eastAsia="en-US"/>
        </w:rPr>
        <w:t xml:space="preserve">Yost, D.S., 2007. </w:t>
      </w:r>
      <w:r w:rsidRPr="00A76F41">
        <w:rPr>
          <w:rFonts w:ascii="Times New Roman" w:hAnsi="Times New Roman" w:cs="Times New Roman"/>
          <w:i/>
          <w:sz w:val="24"/>
          <w:szCs w:val="24"/>
          <w:lang w:val="en-US" w:eastAsia="en-US"/>
        </w:rPr>
        <w:t>NATO and International Organizations</w:t>
      </w:r>
      <w:r w:rsidRPr="0064576D">
        <w:rPr>
          <w:rFonts w:ascii="Times New Roman" w:hAnsi="Times New Roman" w:cs="Times New Roman"/>
          <w:sz w:val="24"/>
          <w:szCs w:val="24"/>
          <w:lang w:val="en-US" w:eastAsia="en-US"/>
        </w:rPr>
        <w:t>. NATO Defence College, Rome.</w:t>
      </w:r>
    </w:p>
    <w:p w14:paraId="36236F67" w14:textId="77777777" w:rsidR="00B73915" w:rsidRPr="00E96F08" w:rsidRDefault="00B73915" w:rsidP="006B535D">
      <w:pPr>
        <w:spacing w:line="480" w:lineRule="auto"/>
        <w:ind w:hanging="480"/>
        <w:rPr>
          <w:rFonts w:ascii="Times New Roman" w:hAnsi="Times New Roman" w:cs="Times New Roman"/>
          <w:sz w:val="24"/>
          <w:szCs w:val="24"/>
        </w:rPr>
      </w:pPr>
    </w:p>
    <w:p w14:paraId="534FAFA4" w14:textId="77777777" w:rsidR="000A72D6" w:rsidRPr="00E96F08" w:rsidRDefault="000A72D6" w:rsidP="006B535D">
      <w:pPr>
        <w:spacing w:line="480" w:lineRule="auto"/>
        <w:ind w:hanging="480"/>
        <w:rPr>
          <w:rFonts w:ascii="Times New Roman" w:hAnsi="Times New Roman" w:cs="Times New Roman"/>
          <w:sz w:val="24"/>
          <w:szCs w:val="24"/>
        </w:rPr>
      </w:pPr>
    </w:p>
    <w:p w14:paraId="33120F41" w14:textId="77777777" w:rsidR="000A72D6" w:rsidRPr="00E96F08" w:rsidRDefault="000A72D6" w:rsidP="006B535D">
      <w:pPr>
        <w:spacing w:line="480" w:lineRule="auto"/>
        <w:ind w:hanging="480"/>
        <w:rPr>
          <w:rFonts w:ascii="Times New Roman" w:hAnsi="Times New Roman" w:cs="Times New Roman"/>
          <w:sz w:val="24"/>
          <w:szCs w:val="24"/>
        </w:rPr>
      </w:pPr>
    </w:p>
    <w:p w14:paraId="56E000EF" w14:textId="6A90C63C" w:rsidR="000A72D6" w:rsidRPr="00E96F08" w:rsidRDefault="000A72D6">
      <w:pPr>
        <w:rPr>
          <w:rFonts w:ascii="Times New Roman" w:hAnsi="Times New Roman" w:cs="Times New Roman"/>
          <w:sz w:val="24"/>
          <w:szCs w:val="24"/>
        </w:rPr>
      </w:pPr>
      <w:r w:rsidRPr="00E96F08">
        <w:rPr>
          <w:rFonts w:ascii="Times New Roman" w:hAnsi="Times New Roman" w:cs="Times New Roman"/>
          <w:sz w:val="24"/>
          <w:szCs w:val="24"/>
        </w:rPr>
        <w:br w:type="page"/>
      </w:r>
    </w:p>
    <w:p w14:paraId="4F11DDD6" w14:textId="7B78461C" w:rsidR="000A72D6" w:rsidRPr="00E96F08" w:rsidRDefault="000A72D6" w:rsidP="000A72D6">
      <w:pPr>
        <w:pStyle w:val="Heading1"/>
        <w:keepLines w:val="0"/>
        <w:spacing w:before="360" w:after="60" w:line="360" w:lineRule="auto"/>
        <w:ind w:right="567"/>
        <w:contextualSpacing/>
        <w:rPr>
          <w:rFonts w:ascii="Times New Roman" w:eastAsia="Times New Roman" w:hAnsi="Times New Roman" w:cs="Times New Roman"/>
          <w:color w:val="auto"/>
          <w:kern w:val="32"/>
          <w:sz w:val="24"/>
          <w:lang w:eastAsia="en-GB"/>
        </w:rPr>
      </w:pPr>
      <w:r w:rsidRPr="00E96F08">
        <w:rPr>
          <w:rFonts w:ascii="Times New Roman" w:eastAsia="Times New Roman" w:hAnsi="Times New Roman" w:cs="Times New Roman"/>
          <w:color w:val="auto"/>
          <w:kern w:val="32"/>
          <w:sz w:val="24"/>
          <w:lang w:eastAsia="en-GB"/>
        </w:rPr>
        <w:lastRenderedPageBreak/>
        <w:t>Notes</w:t>
      </w:r>
    </w:p>
    <w:sectPr w:rsidR="000A72D6" w:rsidRPr="00E96F08" w:rsidSect="00314B59">
      <w:headerReference w:type="default" r:id="rId11"/>
      <w:footerReference w:type="even" r:id="rId12"/>
      <w:footerReference w:type="default" r:id="rId13"/>
      <w:endnotePr>
        <w:numFmt w:val="decimal"/>
      </w:endnotePr>
      <w:type w:val="continuous"/>
      <w:pgSz w:w="11900" w:h="16840"/>
      <w:pgMar w:top="1440" w:right="1552" w:bottom="1440"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8BC8F" w14:textId="77777777" w:rsidR="00710D97" w:rsidRDefault="00710D97" w:rsidP="00470FC4">
      <w:r>
        <w:separator/>
      </w:r>
    </w:p>
  </w:endnote>
  <w:endnote w:type="continuationSeparator" w:id="0">
    <w:p w14:paraId="3833C9C0" w14:textId="77777777" w:rsidR="00710D97" w:rsidRDefault="00710D97" w:rsidP="00470FC4">
      <w:r>
        <w:continuationSeparator/>
      </w:r>
    </w:p>
  </w:endnote>
  <w:endnote w:type="continuationNotice" w:id="1">
    <w:p w14:paraId="7A9F1E60" w14:textId="77777777" w:rsidR="00710D97" w:rsidRDefault="00710D97"/>
  </w:endnote>
  <w:endnote w:id="2">
    <w:p w14:paraId="1B78EC84" w14:textId="33C7549C"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 xml:space="preserve">22 of 28 member states of the EU are also NATO members, and most of the EU member states that do not have full membership of NATO (Austria, Finland, Ireland and Sweden) are part of NATO’s Partnership for Peace. Cyprus is the only EU member state that is not part of </w:t>
      </w:r>
      <w:r>
        <w:rPr>
          <w:rFonts w:ascii="Times New Roman" w:hAnsi="Times New Roman" w:cs="Times New Roman"/>
          <w:sz w:val="22"/>
          <w:szCs w:val="22"/>
        </w:rPr>
        <w:t xml:space="preserve">or associated with </w:t>
      </w:r>
      <w:r w:rsidRPr="00D37ADF">
        <w:rPr>
          <w:rFonts w:ascii="Times New Roman" w:hAnsi="Times New Roman" w:cs="Times New Roman"/>
          <w:sz w:val="22"/>
          <w:szCs w:val="22"/>
        </w:rPr>
        <w:t>NATO in any way.</w:t>
      </w:r>
    </w:p>
  </w:endnote>
  <w:endnote w:id="3">
    <w:p w14:paraId="61305955" w14:textId="4E988820" w:rsidR="00543164" w:rsidRPr="00A860D7" w:rsidRDefault="00D71BE4" w:rsidP="00A860D7">
      <w:pPr>
        <w:spacing w:line="480" w:lineRule="auto"/>
        <w:ind w:left="426" w:hanging="426"/>
        <w:rPr>
          <w:rFonts w:ascii="Times New Roman" w:hAnsi="Times New Roman" w:cs="Times New Roman"/>
          <w:lang w:val="en-US" w:eastAsia="en-US"/>
        </w:rPr>
      </w:pPr>
      <w:r w:rsidRPr="009E6586">
        <w:rPr>
          <w:rStyle w:val="EndnoteReference"/>
        </w:rPr>
        <w:endnoteRef/>
      </w:r>
      <w:r w:rsidRPr="00A860D7">
        <w:t xml:space="preserve"> </w:t>
      </w:r>
      <w:r w:rsidR="00F641C9" w:rsidRPr="00A860D7">
        <w:t xml:space="preserve"> </w:t>
      </w:r>
      <w:r w:rsidR="009E6586" w:rsidRPr="00A860D7">
        <w:t xml:space="preserve">     </w:t>
      </w:r>
      <w:r w:rsidR="003F656C" w:rsidRPr="00A860D7">
        <w:rPr>
          <w:rFonts w:ascii="Times New Roman" w:hAnsi="Times New Roman" w:cs="Times New Roman"/>
        </w:rPr>
        <w:t>As outlined in section 3. of the EU-NATO: The Framework for Permanent Relations and Berlin Plus,</w:t>
      </w:r>
      <w:r w:rsidR="003F656C" w:rsidRPr="00A860D7">
        <w:rPr>
          <w:rFonts w:ascii="Times New Roman" w:hAnsi="Times New Roman" w:cs="Times New Roman"/>
          <w:lang w:val="en-US"/>
        </w:rPr>
        <w:t xml:space="preserve"> ‘Such EU-NATO consultations involve the EU's Political and Security Committee and NATO's North Atlantic Council, the EU and NATO Military Committees as well as the Secretary General/High Representative and NATO Secretary General’. For full details, please see </w:t>
      </w:r>
      <w:r w:rsidR="003F656C">
        <w:rPr>
          <w:rFonts w:ascii="Times New Roman" w:hAnsi="Times New Roman" w:cs="Times New Roman"/>
          <w:sz w:val="24"/>
          <w:szCs w:val="24"/>
        </w:rPr>
        <w:t xml:space="preserve">European Council. 2003. </w:t>
      </w:r>
      <w:hyperlink r:id="rId1" w:tgtFrame="_blank" w:tooltip="Background on EU-NATO permanent arrangements (Berlin +)" w:history="1">
        <w:r w:rsidR="003F656C" w:rsidRPr="00916783">
          <w:rPr>
            <w:rStyle w:val="Hyperlink"/>
            <w:rFonts w:ascii="Times New Roman" w:hAnsi="Times New Roman" w:cs="Times New Roman"/>
            <w:sz w:val="24"/>
            <w:szCs w:val="24"/>
            <w:lang w:val="en-US"/>
          </w:rPr>
          <w:t>Background on EU-NATO permanent arrangements (Berlin +)</w:t>
        </w:r>
      </w:hyperlink>
    </w:p>
    <w:p w14:paraId="48DF619F" w14:textId="683F1D79" w:rsidR="00D71BE4" w:rsidRPr="00A860D7" w:rsidRDefault="00D71BE4">
      <w:pPr>
        <w:pStyle w:val="EndnoteText"/>
        <w:rPr>
          <w:lang w:val="en-US"/>
        </w:rPr>
      </w:pPr>
    </w:p>
  </w:endnote>
  <w:endnote w:id="4">
    <w:p w14:paraId="427A2692" w14:textId="0105AD0F"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Jørgensen (2004) reached a similar conclusion over a decade ago: “How different is intergovernmental cooperation in the CFSP from intergovernmental cooperation within NATO? Such a comparison, to my knowledge, has not been attempted by anyone. […] The absence of such comparative studies is unfortunate because we cannot reach general conclusions about intergovernmental cooperation or something about the specifics of each of the institutions mentioned” (p. 21).</w:t>
      </w:r>
    </w:p>
  </w:endnote>
  <w:endnote w:id="5">
    <w:p w14:paraId="346C83FB" w14:textId="2C094E51"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In the case of the NA</w:t>
      </w:r>
      <w:r>
        <w:rPr>
          <w:rFonts w:ascii="Times New Roman" w:hAnsi="Times New Roman" w:cs="Times New Roman"/>
          <w:sz w:val="22"/>
          <w:szCs w:val="22"/>
        </w:rPr>
        <w:t>C, this is an unspoken rule or “</w:t>
      </w:r>
      <w:r w:rsidRPr="00D37ADF">
        <w:rPr>
          <w:rFonts w:ascii="Times New Roman" w:hAnsi="Times New Roman" w:cs="Times New Roman"/>
          <w:sz w:val="22"/>
          <w:szCs w:val="22"/>
        </w:rPr>
        <w:t>gent</w:t>
      </w:r>
      <w:r>
        <w:rPr>
          <w:rFonts w:ascii="Times New Roman" w:hAnsi="Times New Roman" w:cs="Times New Roman"/>
          <w:sz w:val="22"/>
          <w:szCs w:val="22"/>
        </w:rPr>
        <w:t>lemen’s agreement”</w:t>
      </w:r>
      <w:r w:rsidRPr="00D37ADF">
        <w:rPr>
          <w:rFonts w:ascii="Times New Roman" w:hAnsi="Times New Roman" w:cs="Times New Roman"/>
          <w:sz w:val="22"/>
          <w:szCs w:val="22"/>
        </w:rPr>
        <w:t>; Article 10 of the North</w:t>
      </w:r>
      <w:r>
        <w:rPr>
          <w:rFonts w:ascii="Times New Roman" w:hAnsi="Times New Roman" w:cs="Times New Roman"/>
          <w:sz w:val="22"/>
          <w:szCs w:val="22"/>
        </w:rPr>
        <w:t xml:space="preserve"> Atlantic Treaty does refer to “unanimous agreement”</w:t>
      </w:r>
      <w:r w:rsidRPr="00D37ADF">
        <w:rPr>
          <w:rFonts w:ascii="Times New Roman" w:hAnsi="Times New Roman" w:cs="Times New Roman"/>
          <w:sz w:val="22"/>
          <w:szCs w:val="22"/>
        </w:rPr>
        <w:t xml:space="preserve"> but only in connection to NATO enlargement. Voting procedures in the PSC fall under Article 23 of the Treaty of the European Union (TEU) which states that decis</w:t>
      </w:r>
      <w:r>
        <w:rPr>
          <w:rFonts w:ascii="Times New Roman" w:hAnsi="Times New Roman" w:cs="Times New Roman"/>
          <w:sz w:val="22"/>
          <w:szCs w:val="22"/>
        </w:rPr>
        <w:t>ions “</w:t>
      </w:r>
      <w:r w:rsidRPr="00D37ADF">
        <w:rPr>
          <w:rFonts w:ascii="Times New Roman" w:hAnsi="Times New Roman" w:cs="Times New Roman"/>
          <w:sz w:val="22"/>
          <w:szCs w:val="22"/>
        </w:rPr>
        <w:t>shall be taken by</w:t>
      </w:r>
      <w:r>
        <w:rPr>
          <w:rFonts w:ascii="Times New Roman" w:hAnsi="Times New Roman" w:cs="Times New Roman"/>
          <w:sz w:val="22"/>
          <w:szCs w:val="22"/>
        </w:rPr>
        <w:t xml:space="preserve"> the Council acting unanimously”</w:t>
      </w:r>
      <w:r w:rsidRPr="00D37ADF">
        <w:rPr>
          <w:rFonts w:ascii="Times New Roman" w:hAnsi="Times New Roman" w:cs="Times New Roman"/>
          <w:sz w:val="22"/>
          <w:szCs w:val="22"/>
        </w:rPr>
        <w:t xml:space="preserve"> (Signatories to the Treaty of the European Union 1992 Title V, Article 23.1).  However, for some procedural matters as well as adopting joint actions and common positions, qualified majority voting is ap</w:t>
      </w:r>
      <w:r>
        <w:rPr>
          <w:rFonts w:ascii="Times New Roman" w:hAnsi="Times New Roman" w:cs="Times New Roman"/>
          <w:sz w:val="22"/>
          <w:szCs w:val="22"/>
        </w:rPr>
        <w:t>plicable with the exception of “</w:t>
      </w:r>
      <w:r w:rsidRPr="00D37ADF">
        <w:rPr>
          <w:rFonts w:ascii="Times New Roman" w:hAnsi="Times New Roman" w:cs="Times New Roman"/>
          <w:sz w:val="22"/>
          <w:szCs w:val="22"/>
        </w:rPr>
        <w:t>decisions having m</w:t>
      </w:r>
      <w:r>
        <w:rPr>
          <w:rFonts w:ascii="Times New Roman" w:hAnsi="Times New Roman" w:cs="Times New Roman"/>
          <w:sz w:val="22"/>
          <w:szCs w:val="22"/>
        </w:rPr>
        <w:t>ilitary or defence implications”</w:t>
      </w:r>
      <w:r w:rsidRPr="00D37ADF">
        <w:rPr>
          <w:rFonts w:ascii="Times New Roman" w:hAnsi="Times New Roman" w:cs="Times New Roman"/>
          <w:sz w:val="22"/>
          <w:szCs w:val="22"/>
        </w:rPr>
        <w:t xml:space="preserve"> (</w:t>
      </w:r>
      <w:r>
        <w:rPr>
          <w:rFonts w:ascii="Times New Roman" w:hAnsi="Times New Roman" w:cs="Times New Roman"/>
          <w:sz w:val="22"/>
          <w:szCs w:val="22"/>
        </w:rPr>
        <w:t>ibid.</w:t>
      </w:r>
      <w:r w:rsidRPr="00D37ADF">
        <w:rPr>
          <w:rFonts w:ascii="Times New Roman" w:hAnsi="Times New Roman" w:cs="Times New Roman"/>
          <w:sz w:val="22"/>
          <w:szCs w:val="22"/>
        </w:rPr>
        <w:t>, Article 23.2).</w:t>
      </w:r>
    </w:p>
  </w:endnote>
  <w:endnote w:id="6">
    <w:p w14:paraId="2AC8B837" w14:textId="3268A04C" w:rsidR="00B62C7E" w:rsidRPr="003553F7" w:rsidRDefault="00B62C7E" w:rsidP="003553F7">
      <w:pPr>
        <w:pStyle w:val="EndnoteText"/>
        <w:spacing w:line="480" w:lineRule="auto"/>
        <w:ind w:left="360" w:hanging="360"/>
        <w:rPr>
          <w:rFonts w:ascii="Times New Roman" w:hAnsi="Times New Roman" w:cs="Times New Roman"/>
        </w:rPr>
      </w:pPr>
      <w:r w:rsidRPr="003553F7">
        <w:rPr>
          <w:rStyle w:val="EndnoteReference"/>
          <w:rFonts w:ascii="Times New Roman" w:hAnsi="Times New Roman" w:cs="Times New Roman"/>
        </w:rPr>
        <w:endnoteRef/>
      </w:r>
      <w:r w:rsidRPr="003553F7">
        <w:rPr>
          <w:rFonts w:ascii="Times New Roman" w:hAnsi="Times New Roman" w:cs="Times New Roman"/>
        </w:rPr>
        <w:t xml:space="preserve"> </w:t>
      </w:r>
      <w:r w:rsidRPr="003553F7">
        <w:rPr>
          <w:rFonts w:ascii="Times New Roman" w:hAnsi="Times New Roman" w:cs="Times New Roman"/>
        </w:rPr>
        <w:tab/>
      </w:r>
      <w:r w:rsidRPr="00760BB0">
        <w:rPr>
          <w:rFonts w:ascii="Times New Roman" w:hAnsi="Times New Roman" w:cs="Times New Roman"/>
          <w:sz w:val="22"/>
        </w:rPr>
        <w:t>The labels for these conceptual categories were taken ad litteram from the interviews.</w:t>
      </w:r>
    </w:p>
  </w:endnote>
  <w:endnote w:id="7">
    <w:p w14:paraId="72C0ED46" w14:textId="35A47835" w:rsidR="00B62C7E" w:rsidRPr="00D37ADF" w:rsidRDefault="00B62C7E" w:rsidP="00E8251F">
      <w:pPr>
        <w:pStyle w:val="EndnoteText"/>
        <w:tabs>
          <w:tab w:val="left" w:pos="4410"/>
        </w:tabs>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Albania, Belgium, Bulgaria, Canada, Croatia, Czech Republic, Denmark, Estonia, France, Germany, Greece, Hungary, Iceland,</w:t>
      </w:r>
      <w:r w:rsidRPr="00D37ADF">
        <w:rPr>
          <w:rStyle w:val="flagicon"/>
          <w:rFonts w:ascii="Times New Roman" w:hAnsi="Times New Roman" w:cs="Times New Roman"/>
          <w:sz w:val="22"/>
          <w:szCs w:val="22"/>
        </w:rPr>
        <w:t> </w:t>
      </w:r>
      <w:r w:rsidRPr="00D37ADF">
        <w:rPr>
          <w:rFonts w:ascii="Times New Roman" w:hAnsi="Times New Roman" w:cs="Times New Roman"/>
          <w:sz w:val="22"/>
          <w:szCs w:val="22"/>
        </w:rPr>
        <w:t>Italy, Latvia, Lithuania, Luxembourg, Netherlands, Norway, Poland, Portugal, Romania, Slovakia,</w:t>
      </w:r>
      <w:r w:rsidRPr="00D37ADF">
        <w:rPr>
          <w:rStyle w:val="flagicon"/>
          <w:rFonts w:ascii="Times New Roman" w:hAnsi="Times New Roman" w:cs="Times New Roman"/>
          <w:sz w:val="22"/>
          <w:szCs w:val="22"/>
        </w:rPr>
        <w:t xml:space="preserve"> </w:t>
      </w:r>
      <w:r w:rsidRPr="00D37ADF">
        <w:rPr>
          <w:rFonts w:ascii="Times New Roman" w:hAnsi="Times New Roman" w:cs="Times New Roman"/>
          <w:sz w:val="22"/>
          <w:szCs w:val="22"/>
        </w:rPr>
        <w:t>Slovenia, Spain,</w:t>
      </w:r>
      <w:r w:rsidRPr="00D37ADF">
        <w:rPr>
          <w:rStyle w:val="flagicon"/>
          <w:rFonts w:ascii="Times New Roman" w:hAnsi="Times New Roman" w:cs="Times New Roman"/>
          <w:sz w:val="22"/>
          <w:szCs w:val="22"/>
        </w:rPr>
        <w:t> </w:t>
      </w:r>
      <w:r w:rsidRPr="00D37ADF">
        <w:rPr>
          <w:rFonts w:ascii="Times New Roman" w:hAnsi="Times New Roman" w:cs="Times New Roman"/>
          <w:sz w:val="22"/>
          <w:szCs w:val="22"/>
        </w:rPr>
        <w:t>Turkey, the United Kingdom, and the United States.</w:t>
      </w:r>
    </w:p>
  </w:endnote>
  <w:endnote w:id="8">
    <w:p w14:paraId="350ED4B1" w14:textId="01A45862" w:rsidR="00B62C7E" w:rsidRPr="003F6F66" w:rsidRDefault="00B62C7E" w:rsidP="00E8251F">
      <w:pPr>
        <w:autoSpaceDE w:val="0"/>
        <w:autoSpaceDN w:val="0"/>
        <w:adjustRightInd w:val="0"/>
        <w:spacing w:line="480" w:lineRule="auto"/>
        <w:ind w:left="360" w:hanging="360"/>
        <w:rPr>
          <w:rFonts w:ascii="Times New Roman" w:hAnsi="Times New Roman" w:cs="Times New Roman"/>
        </w:rPr>
      </w:pPr>
      <w:r w:rsidRPr="003F6F66">
        <w:rPr>
          <w:rStyle w:val="EndnoteReference"/>
          <w:rFonts w:ascii="Times New Roman" w:hAnsi="Times New Roman" w:cs="Times New Roman"/>
        </w:rPr>
        <w:endnoteRef/>
      </w:r>
      <w:r w:rsidRPr="003F6F66">
        <w:rPr>
          <w:rFonts w:ascii="Times New Roman" w:hAnsi="Times New Roman" w:cs="Times New Roman"/>
        </w:rPr>
        <w:t xml:space="preserve"> </w:t>
      </w:r>
      <w:r>
        <w:rPr>
          <w:rFonts w:ascii="Times New Roman" w:hAnsi="Times New Roman" w:cs="Times New Roman"/>
        </w:rPr>
        <w:tab/>
      </w:r>
      <w:r w:rsidRPr="003F6F66">
        <w:rPr>
          <w:rFonts w:ascii="Times New Roman" w:hAnsi="Times New Roman" w:cs="Times New Roman"/>
        </w:rPr>
        <w:t>In 2000 an interim Political and Security Committee was set up by Council Decision 2000/143/CFSP.</w:t>
      </w:r>
    </w:p>
  </w:endnote>
  <w:endnote w:id="9">
    <w:p w14:paraId="150268CA" w14:textId="18DF53E3" w:rsidR="00B62C7E" w:rsidRPr="003F6F66" w:rsidRDefault="00B62C7E" w:rsidP="00E8251F">
      <w:pPr>
        <w:pStyle w:val="EndnoteText"/>
        <w:spacing w:line="480" w:lineRule="auto"/>
        <w:ind w:left="360" w:hanging="360"/>
        <w:rPr>
          <w:rFonts w:ascii="Times New Roman" w:hAnsi="Times New Roman" w:cs="Times New Roman"/>
          <w:sz w:val="22"/>
          <w:szCs w:val="22"/>
        </w:rPr>
      </w:pPr>
      <w:r w:rsidRPr="003F6F66">
        <w:rPr>
          <w:rStyle w:val="EndnoteReference"/>
          <w:rFonts w:ascii="Times New Roman" w:hAnsi="Times New Roman" w:cs="Times New Roman"/>
          <w:sz w:val="22"/>
          <w:szCs w:val="22"/>
        </w:rPr>
        <w:endnoteRef/>
      </w:r>
      <w:r w:rsidRPr="003F6F66">
        <w:rPr>
          <w:rFonts w:ascii="Times New Roman" w:hAnsi="Times New Roman" w:cs="Times New Roman"/>
          <w:sz w:val="22"/>
          <w:szCs w:val="22"/>
        </w:rPr>
        <w:t xml:space="preserve"> </w:t>
      </w:r>
      <w:r>
        <w:rPr>
          <w:rFonts w:ascii="Times New Roman" w:hAnsi="Times New Roman" w:cs="Times New Roman"/>
          <w:sz w:val="22"/>
          <w:szCs w:val="22"/>
        </w:rPr>
        <w:tab/>
      </w:r>
      <w:r w:rsidRPr="003F6F66">
        <w:rPr>
          <w:rFonts w:ascii="Times New Roman" w:hAnsi="Times New Roman" w:cs="Times New Roman"/>
          <w:sz w:val="22"/>
          <w:szCs w:val="22"/>
        </w:rPr>
        <w:t xml:space="preserve">Austria, Belgium, Bulgaria, Croatia, </w:t>
      </w:r>
      <w:r w:rsidRPr="003F6F66">
        <w:rPr>
          <w:rStyle w:val="flagicon"/>
          <w:rFonts w:ascii="Times New Roman" w:hAnsi="Times New Roman" w:cs="Times New Roman"/>
          <w:sz w:val="22"/>
          <w:szCs w:val="22"/>
        </w:rPr>
        <w:t xml:space="preserve">Cyprus, </w:t>
      </w:r>
      <w:r w:rsidRPr="003F6F66">
        <w:rPr>
          <w:rFonts w:ascii="Times New Roman" w:hAnsi="Times New Roman" w:cs="Times New Roman"/>
          <w:sz w:val="22"/>
          <w:szCs w:val="22"/>
        </w:rPr>
        <w:t xml:space="preserve">Czech Republic, Denmark, Estonia, </w:t>
      </w:r>
      <w:r w:rsidRPr="003F6F66">
        <w:rPr>
          <w:rStyle w:val="flagicon"/>
          <w:rFonts w:ascii="Times New Roman" w:hAnsi="Times New Roman" w:cs="Times New Roman"/>
          <w:sz w:val="22"/>
          <w:szCs w:val="22"/>
        </w:rPr>
        <w:t xml:space="preserve">Finland, </w:t>
      </w:r>
      <w:r w:rsidRPr="003F6F66">
        <w:rPr>
          <w:rFonts w:ascii="Times New Roman" w:hAnsi="Times New Roman" w:cs="Times New Roman"/>
          <w:sz w:val="22"/>
          <w:szCs w:val="22"/>
        </w:rPr>
        <w:t xml:space="preserve">France, Germany, Greece, Hungary, </w:t>
      </w:r>
      <w:r w:rsidRPr="003F6F66">
        <w:rPr>
          <w:rStyle w:val="flagicon"/>
          <w:rFonts w:ascii="Times New Roman" w:hAnsi="Times New Roman" w:cs="Times New Roman"/>
          <w:sz w:val="22"/>
          <w:szCs w:val="22"/>
        </w:rPr>
        <w:t xml:space="preserve">Ireland, </w:t>
      </w:r>
      <w:r w:rsidRPr="003F6F66">
        <w:rPr>
          <w:rFonts w:ascii="Times New Roman" w:hAnsi="Times New Roman" w:cs="Times New Roman"/>
          <w:sz w:val="22"/>
          <w:szCs w:val="22"/>
        </w:rPr>
        <w:t>Italy, Latvia, Lithuania, Luxembourg, Malta, Netherlands, Poland, Portugal, Romania, Slovakia,</w:t>
      </w:r>
      <w:r w:rsidRPr="003F6F66">
        <w:rPr>
          <w:rStyle w:val="flagicon"/>
          <w:rFonts w:ascii="Times New Roman" w:hAnsi="Times New Roman" w:cs="Times New Roman"/>
          <w:sz w:val="22"/>
          <w:szCs w:val="22"/>
        </w:rPr>
        <w:t xml:space="preserve"> </w:t>
      </w:r>
      <w:r w:rsidRPr="003F6F66">
        <w:rPr>
          <w:rFonts w:ascii="Times New Roman" w:hAnsi="Times New Roman" w:cs="Times New Roman"/>
          <w:sz w:val="22"/>
          <w:szCs w:val="22"/>
        </w:rPr>
        <w:t>Slovenia, Spain, Sweden, and the United Kingdom</w:t>
      </w:r>
    </w:p>
  </w:endnote>
  <w:endnote w:id="10">
    <w:p w14:paraId="05FE3637" w14:textId="4AA1EC5B" w:rsidR="00B62C7E" w:rsidRPr="003F6F66" w:rsidRDefault="00B62C7E" w:rsidP="00E8251F">
      <w:pPr>
        <w:pStyle w:val="EndnoteText"/>
        <w:spacing w:line="480" w:lineRule="auto"/>
        <w:ind w:left="360" w:hanging="360"/>
        <w:rPr>
          <w:rFonts w:ascii="Times New Roman" w:hAnsi="Times New Roman" w:cs="Times New Roman"/>
          <w:sz w:val="22"/>
          <w:szCs w:val="22"/>
          <w:lang w:val="en-US"/>
        </w:rPr>
      </w:pPr>
      <w:r w:rsidRPr="003F6F66">
        <w:rPr>
          <w:rStyle w:val="EndnoteReference"/>
          <w:rFonts w:ascii="Times New Roman" w:hAnsi="Times New Roman" w:cs="Times New Roman"/>
          <w:sz w:val="22"/>
          <w:szCs w:val="22"/>
        </w:rPr>
        <w:endnoteRef/>
      </w:r>
      <w:r w:rsidRPr="003F6F66">
        <w:rPr>
          <w:rFonts w:ascii="Times New Roman" w:hAnsi="Times New Roman" w:cs="Times New Roman"/>
          <w:sz w:val="22"/>
          <w:szCs w:val="22"/>
        </w:rPr>
        <w:t xml:space="preserve"> </w:t>
      </w:r>
      <w:r>
        <w:rPr>
          <w:rFonts w:ascii="Times New Roman" w:hAnsi="Times New Roman" w:cs="Times New Roman"/>
          <w:sz w:val="22"/>
          <w:szCs w:val="22"/>
        </w:rPr>
        <w:tab/>
      </w:r>
      <w:r w:rsidRPr="003F6F66">
        <w:rPr>
          <w:rFonts w:ascii="Times New Roman" w:hAnsi="Times New Roman" w:cs="Times New Roman"/>
          <w:sz w:val="22"/>
          <w:szCs w:val="22"/>
        </w:rPr>
        <w:t>Prior to the creation of the European External Acti</w:t>
      </w:r>
      <w:r>
        <w:rPr>
          <w:rFonts w:ascii="Times New Roman" w:hAnsi="Times New Roman" w:cs="Times New Roman"/>
          <w:sz w:val="22"/>
          <w:szCs w:val="22"/>
        </w:rPr>
        <w:t>on Service, the PSC agenda was “</w:t>
      </w:r>
      <w:r w:rsidRPr="003F6F66">
        <w:rPr>
          <w:rFonts w:ascii="Times New Roman" w:hAnsi="Times New Roman" w:cs="Times New Roman"/>
          <w:sz w:val="22"/>
          <w:szCs w:val="22"/>
        </w:rPr>
        <w:t>agreed by the rotating Preside</w:t>
      </w:r>
      <w:r>
        <w:rPr>
          <w:rFonts w:ascii="Times New Roman" w:hAnsi="Times New Roman" w:cs="Times New Roman"/>
          <w:sz w:val="22"/>
          <w:szCs w:val="22"/>
        </w:rPr>
        <w:t>ncy and the Council Secretariat”</w:t>
      </w:r>
      <w:r w:rsidRPr="003F6F66">
        <w:rPr>
          <w:rFonts w:ascii="Times New Roman" w:hAnsi="Times New Roman" w:cs="Times New Roman"/>
          <w:sz w:val="22"/>
          <w:szCs w:val="22"/>
        </w:rPr>
        <w:t xml:space="preserve"> </w:t>
      </w:r>
      <w:r w:rsidRPr="003F6F66">
        <w:rPr>
          <w:rFonts w:ascii="Times New Roman" w:hAnsi="Times New Roman" w:cs="Times New Roman"/>
          <w:sz w:val="22"/>
          <w:szCs w:val="22"/>
        </w:rPr>
        <w:fldChar w:fldCharType="begin"/>
      </w:r>
      <w:r w:rsidRPr="003F6F66">
        <w:rPr>
          <w:rFonts w:ascii="Times New Roman" w:hAnsi="Times New Roman" w:cs="Times New Roman"/>
          <w:sz w:val="22"/>
          <w:szCs w:val="22"/>
        </w:rPr>
        <w:instrText xml:space="preserve"> ADDIN ZOTERO_ITEM CSL_CITATION {"citationID":"EtdlKiUx","properties":{"formattedCitation":"(Howorth 2007, p.71)","plainCitation":"(Howorth 2007, p.71)"},"citationItems":[{"id":99,"uris":["http://zotero.org/users/421806/items/E9TAT5G8"],"uri":["http://zotero.org/users/421806/items/E9TAT5G8"],"itemData":{"id":99,"type":"book","title":"Security and Defence Policy in the European Union","publisher":"Palgrave MacMillan","publisher-place":"New York","event-place":"New York","author":[{"family":"Howorth","given":"Jolyon"}],"issued":{"year":2007}},"locator":"71","label":"page"}],"schema":"https://github.com/citation-style-language/schema/raw/master/csl-citation.json"} </w:instrText>
      </w:r>
      <w:r w:rsidRPr="003F6F66">
        <w:rPr>
          <w:rFonts w:ascii="Times New Roman" w:hAnsi="Times New Roman" w:cs="Times New Roman"/>
          <w:sz w:val="22"/>
          <w:szCs w:val="22"/>
        </w:rPr>
        <w:fldChar w:fldCharType="separate"/>
      </w:r>
      <w:r w:rsidRPr="003F6F66">
        <w:rPr>
          <w:rFonts w:ascii="Times New Roman" w:hAnsi="Times New Roman" w:cs="Times New Roman"/>
          <w:sz w:val="22"/>
          <w:szCs w:val="22"/>
        </w:rPr>
        <w:t>(Howorth 2007, p.</w:t>
      </w:r>
      <w:r>
        <w:rPr>
          <w:rFonts w:ascii="Times New Roman" w:hAnsi="Times New Roman" w:cs="Times New Roman"/>
          <w:sz w:val="22"/>
          <w:szCs w:val="22"/>
        </w:rPr>
        <w:t xml:space="preserve"> </w:t>
      </w:r>
      <w:r w:rsidRPr="003F6F66">
        <w:rPr>
          <w:rFonts w:ascii="Times New Roman" w:hAnsi="Times New Roman" w:cs="Times New Roman"/>
          <w:sz w:val="22"/>
          <w:szCs w:val="22"/>
        </w:rPr>
        <w:t>71)</w:t>
      </w:r>
      <w:r w:rsidRPr="003F6F66">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3F6F66">
        <w:rPr>
          <w:rFonts w:ascii="Times New Roman" w:hAnsi="Times New Roman" w:cs="Times New Roman"/>
          <w:sz w:val="22"/>
          <w:szCs w:val="22"/>
        </w:rPr>
        <w:t>However, post-Lisbon the PSC has had a Permanent Chairman. From 2010 to mid 2013, the former Swedish Representative to the PSC, Olof Skoog, held the job.  Since 2013, the role has been undertaken by Walter Stevens.</w:t>
      </w:r>
    </w:p>
  </w:endnote>
  <w:endnote w:id="11">
    <w:p w14:paraId="3C38FA77" w14:textId="40F52993"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While the majority of published research on the EU and NATO is either atheoretical or using a deductive approac</w:t>
      </w:r>
      <w:r>
        <w:rPr>
          <w:rFonts w:ascii="Times New Roman" w:hAnsi="Times New Roman" w:cs="Times New Roman"/>
          <w:sz w:val="22"/>
          <w:szCs w:val="22"/>
        </w:rPr>
        <w:t>h, there have been attempts at “building bridges”</w:t>
      </w:r>
      <w:r w:rsidRPr="00D37ADF">
        <w:rPr>
          <w:rFonts w:ascii="Times New Roman" w:hAnsi="Times New Roman" w:cs="Times New Roman"/>
          <w:sz w:val="22"/>
          <w:szCs w:val="22"/>
        </w:rPr>
        <w:t xml:space="preserve"> through the use of abduction. Mérand (2012) used a combination of empirical observation, inductive theorising and hypothesis building, and a deductive comparison of Rational Choice and Historical Institutionalism to explain the emergence of the CSDP, effectively focusing more on the actual social practices found in the case than on theoretical premises about them.</w:t>
      </w:r>
    </w:p>
  </w:endnote>
  <w:endnote w:id="12">
    <w:p w14:paraId="6715D590" w14:textId="1848CBB7"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Style w:val="EndnoteReference"/>
          <w:rFonts w:ascii="Times New Roman" w:hAnsi="Times New Roman" w:cs="Times New Roman"/>
          <w:sz w:val="22"/>
          <w:szCs w:val="22"/>
        </w:rPr>
        <w:t xml:space="preserve"> </w:t>
      </w:r>
      <w:r>
        <w:rPr>
          <w:rStyle w:val="EndnoteReference"/>
          <w:rFonts w:ascii="Times New Roman" w:hAnsi="Times New Roman" w:cs="Times New Roman"/>
          <w:sz w:val="22"/>
          <w:szCs w:val="22"/>
        </w:rPr>
        <w:tab/>
      </w:r>
      <w:r w:rsidRPr="00D37ADF">
        <w:rPr>
          <w:rFonts w:ascii="Times New Roman" w:hAnsi="Times New Roman" w:cs="Times New Roman"/>
          <w:sz w:val="22"/>
          <w:szCs w:val="22"/>
        </w:rPr>
        <w:t>In the study of international security organisations, forms of data collection that involve direct participation or observation are not normally an option given the heightened levels of confidentiality.</w:t>
      </w:r>
    </w:p>
  </w:endnote>
  <w:endnote w:id="13">
    <w:p w14:paraId="4C069967" w14:textId="3BBBE0C1"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In this study, this translated into conducting several rounds of elite interviews. The interviewees can be the same or changed, and the approach allows for experimentation and variance in the targeted groups that are studied, which are “chosen in accordance with [the] emergent analytic framework.” (Glaser and Strauss 1967, p. 53).</w:t>
      </w:r>
    </w:p>
  </w:endnote>
  <w:endnote w:id="14">
    <w:p w14:paraId="649BCB90" w14:textId="31AA2B93"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Where GT inconveniently remains vague is the actual process of data analysis and writing of theory, which represents GT’s main limitation, as some cri</w:t>
      </w:r>
      <w:r>
        <w:rPr>
          <w:rFonts w:ascii="Times New Roman" w:hAnsi="Times New Roman" w:cs="Times New Roman"/>
          <w:sz w:val="22"/>
          <w:szCs w:val="22"/>
        </w:rPr>
        <w:t>tics duly point out (Allan 2003;</w:t>
      </w:r>
      <w:r w:rsidRPr="00D37ADF">
        <w:rPr>
          <w:rFonts w:ascii="Times New Roman" w:hAnsi="Times New Roman" w:cs="Times New Roman"/>
          <w:sz w:val="22"/>
          <w:szCs w:val="22"/>
        </w:rPr>
        <w:t xml:space="preserve"> Kelle 2005). Inductive inference still relies on intuition or what Glaser and Strauss refer to as “theoretical sensitivi</w:t>
      </w:r>
      <w:r>
        <w:rPr>
          <w:rFonts w:ascii="Times New Roman" w:hAnsi="Times New Roman" w:cs="Times New Roman"/>
          <w:sz w:val="22"/>
          <w:szCs w:val="22"/>
        </w:rPr>
        <w:t>ty” (i</w:t>
      </w:r>
      <w:r w:rsidRPr="00D37ADF">
        <w:rPr>
          <w:rFonts w:ascii="Times New Roman" w:hAnsi="Times New Roman" w:cs="Times New Roman"/>
          <w:sz w:val="22"/>
          <w:szCs w:val="22"/>
        </w:rPr>
        <w:t>bid., p. 46).</w:t>
      </w:r>
    </w:p>
  </w:endnote>
  <w:endnote w:id="15">
    <w:p w14:paraId="13E4475F" w14:textId="6ECF6609" w:rsidR="00B62C7E" w:rsidRPr="00D37ADF" w:rsidRDefault="00B62C7E" w:rsidP="00E8251F">
      <w:pPr>
        <w:pStyle w:val="EndnoteText"/>
        <w:spacing w:line="480" w:lineRule="auto"/>
        <w:ind w:left="360" w:hanging="360"/>
        <w:rPr>
          <w:rFonts w:ascii="Times New Roman" w:hAnsi="Times New Roman" w:cs="Times New Roman"/>
          <w:sz w:val="22"/>
          <w:szCs w:val="22"/>
          <w:lang w:val="en-US"/>
        </w:rPr>
      </w:pPr>
      <w:r w:rsidRPr="00D37ADF">
        <w:rPr>
          <w:rStyle w:val="EndnoteReference"/>
          <w:rFonts w:ascii="Times New Roman" w:hAnsi="Times New Roman" w:cs="Times New Roman"/>
          <w:sz w:val="22"/>
          <w:szCs w:val="22"/>
        </w:rPr>
        <w:endnoteRef/>
      </w:r>
      <w:r w:rsidRPr="00D37ADF">
        <w:rPr>
          <w:rStyle w:val="EndnoteReference"/>
          <w:rFonts w:ascii="Times New Roman" w:hAnsi="Times New Roman" w:cs="Times New Roman"/>
          <w:sz w:val="22"/>
          <w:szCs w:val="22"/>
        </w:rPr>
        <w:t xml:space="preserve"> </w:t>
      </w:r>
      <w:r>
        <w:rPr>
          <w:rStyle w:val="EndnoteReference"/>
          <w:rFonts w:ascii="Times New Roman" w:hAnsi="Times New Roman" w:cs="Times New Roman"/>
          <w:sz w:val="22"/>
          <w:szCs w:val="22"/>
        </w:rPr>
        <w:tab/>
      </w:r>
      <w:r w:rsidRPr="00D37ADF">
        <w:rPr>
          <w:rFonts w:ascii="Times New Roman" w:hAnsi="Times New Roman" w:cs="Times New Roman"/>
          <w:sz w:val="22"/>
          <w:szCs w:val="22"/>
          <w:lang w:val="en-US"/>
        </w:rPr>
        <w:t xml:space="preserve">Given the reliance of inductive reasoning on probability, we are aware that conclusions should draw on a dataset as large as possible. </w:t>
      </w:r>
      <w:r w:rsidR="002C2E46">
        <w:rPr>
          <w:rFonts w:ascii="Times New Roman" w:hAnsi="Times New Roman" w:cs="Times New Roman"/>
          <w:sz w:val="22"/>
          <w:szCs w:val="22"/>
          <w:lang w:val="en-US"/>
        </w:rPr>
        <w:t xml:space="preserve">However, due to the fixed size of membership within the organisations under investigation, the sample size was limited to 28 and 28 ambassadors.  </w:t>
      </w:r>
      <w:r w:rsidRPr="00D37ADF">
        <w:rPr>
          <w:rFonts w:ascii="Times New Roman" w:hAnsi="Times New Roman" w:cs="Times New Roman"/>
          <w:sz w:val="22"/>
          <w:szCs w:val="22"/>
          <w:lang w:val="en-US"/>
        </w:rPr>
        <w:t xml:space="preserve">The data collection consisted of a total of four rounds of interviewing with NAC and PSC ambassadors as well as </w:t>
      </w:r>
      <w:r w:rsidR="00D42EB7">
        <w:rPr>
          <w:rFonts w:ascii="Times New Roman" w:hAnsi="Times New Roman" w:cs="Times New Roman"/>
          <w:sz w:val="22"/>
          <w:szCs w:val="22"/>
          <w:lang w:val="en-US"/>
        </w:rPr>
        <w:t>deputies</w:t>
      </w:r>
      <w:r w:rsidRPr="00D37ADF">
        <w:rPr>
          <w:rFonts w:ascii="Times New Roman" w:hAnsi="Times New Roman" w:cs="Times New Roman"/>
          <w:sz w:val="22"/>
          <w:szCs w:val="22"/>
          <w:lang w:val="en-US"/>
        </w:rPr>
        <w:t xml:space="preserve"> within the permanent representations. The first three rounds were conducted within a relatively short time frame and were therefore treated as one round in the analysis. All direct quotations in the following empirical sections were attained from transcripts; they are numbered throughout to allow replication. Beyond this information, no details of our interlocutors can be disclosed</w:t>
      </w:r>
      <w:r w:rsidR="001D7426">
        <w:rPr>
          <w:rFonts w:ascii="Times New Roman" w:hAnsi="Times New Roman" w:cs="Times New Roman"/>
          <w:sz w:val="22"/>
          <w:szCs w:val="22"/>
          <w:lang w:val="en-US"/>
        </w:rPr>
        <w:t xml:space="preserve"> </w:t>
      </w:r>
      <w:r w:rsidRPr="00D37ADF">
        <w:rPr>
          <w:rFonts w:ascii="Times New Roman" w:hAnsi="Times New Roman" w:cs="Times New Roman"/>
          <w:sz w:val="22"/>
          <w:szCs w:val="22"/>
          <w:lang w:val="en-US"/>
        </w:rPr>
        <w:t>due to confidentiality.</w:t>
      </w:r>
    </w:p>
  </w:endnote>
  <w:endnote w:id="16">
    <w:p w14:paraId="329E8F5E" w14:textId="561E8340"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Style w:val="EndnoteReference"/>
          <w:rFonts w:ascii="Times New Roman" w:hAnsi="Times New Roman" w:cs="Times New Roman"/>
          <w:sz w:val="22"/>
          <w:szCs w:val="22"/>
        </w:rPr>
        <w:t xml:space="preserve"> </w:t>
      </w:r>
      <w:r>
        <w:rPr>
          <w:rStyle w:val="EndnoteReference"/>
          <w:rFonts w:ascii="Times New Roman" w:hAnsi="Times New Roman" w:cs="Times New Roman"/>
          <w:sz w:val="22"/>
          <w:szCs w:val="22"/>
        </w:rPr>
        <w:tab/>
      </w:r>
      <w:r w:rsidRPr="00D37ADF">
        <w:rPr>
          <w:rFonts w:ascii="Times New Roman" w:hAnsi="Times New Roman" w:cs="Times New Roman"/>
          <w:sz w:val="22"/>
          <w:szCs w:val="22"/>
        </w:rPr>
        <w:t>In the case of the NAC, the ambassadorial formation is the one meeting most frequently, which alongside with the direct comparability this ensures, was the main reason for targeting it in our data collection.</w:t>
      </w:r>
    </w:p>
  </w:endnote>
  <w:endnote w:id="17">
    <w:p w14:paraId="380E1084" w14:textId="452F7240"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In line with GT, the labels for each category were set in vivo, meaning that they were drawn from recurring phrases and expressions used by the interlocutors.</w:t>
      </w:r>
    </w:p>
  </w:endnote>
  <w:endnote w:id="18">
    <w:p w14:paraId="29542E0D" w14:textId="6B9E1892"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Style w:val="EndnoteReference"/>
          <w:rFonts w:ascii="Times New Roman" w:hAnsi="Times New Roman" w:cs="Times New Roman"/>
          <w:sz w:val="22"/>
          <w:szCs w:val="22"/>
        </w:rPr>
        <w:t xml:space="preserve"> </w:t>
      </w:r>
      <w:r>
        <w:rPr>
          <w:rStyle w:val="EndnoteReference"/>
          <w:rFonts w:ascii="Times New Roman" w:hAnsi="Times New Roman" w:cs="Times New Roman"/>
          <w:sz w:val="22"/>
          <w:szCs w:val="22"/>
        </w:rPr>
        <w:tab/>
      </w:r>
      <w:r>
        <w:rPr>
          <w:rFonts w:ascii="Times New Roman" w:hAnsi="Times New Roman" w:cs="Times New Roman"/>
          <w:sz w:val="22"/>
          <w:szCs w:val="22"/>
        </w:rPr>
        <w:t>“[T</w:t>
      </w:r>
      <w:r w:rsidRPr="00D37ADF">
        <w:rPr>
          <w:rFonts w:ascii="Times New Roman" w:hAnsi="Times New Roman" w:cs="Times New Roman"/>
          <w:sz w:val="22"/>
          <w:szCs w:val="22"/>
        </w:rPr>
        <w:t>he meetings] very much depend on the issue</w:t>
      </w:r>
      <w:r>
        <w:rPr>
          <w:rFonts w:ascii="Times New Roman" w:hAnsi="Times New Roman" w:cs="Times New Roman"/>
          <w:sz w:val="22"/>
          <w:szCs w:val="22"/>
        </w:rPr>
        <w:t xml:space="preserve"> and the established procedures”</w:t>
      </w:r>
      <w:r w:rsidRPr="00D37ADF">
        <w:rPr>
          <w:rFonts w:ascii="Times New Roman" w:hAnsi="Times New Roman" w:cs="Times New Roman"/>
          <w:sz w:val="22"/>
          <w:szCs w:val="22"/>
        </w:rPr>
        <w:t xml:space="preserve"> (Interview 5</w:t>
      </w:r>
      <w:r>
        <w:rPr>
          <w:rFonts w:ascii="Times New Roman" w:hAnsi="Times New Roman" w:cs="Times New Roman"/>
          <w:sz w:val="22"/>
          <w:szCs w:val="22"/>
        </w:rPr>
        <w:t>, 2012</w:t>
      </w:r>
      <w:r w:rsidRPr="00D37ADF">
        <w:rPr>
          <w:rFonts w:ascii="Times New Roman" w:hAnsi="Times New Roman" w:cs="Times New Roman"/>
          <w:sz w:val="22"/>
          <w:szCs w:val="22"/>
        </w:rPr>
        <w:t>)</w:t>
      </w:r>
      <w:r>
        <w:rPr>
          <w:rFonts w:ascii="Times New Roman" w:hAnsi="Times New Roman" w:cs="Times New Roman"/>
          <w:sz w:val="22"/>
          <w:szCs w:val="22"/>
        </w:rPr>
        <w:t>.</w:t>
      </w:r>
    </w:p>
  </w:endnote>
  <w:endnote w:id="19">
    <w:p w14:paraId="218298DE" w14:textId="2B218F94" w:rsidR="00B62C7E" w:rsidRPr="00D37ADF" w:rsidRDefault="00B62C7E" w:rsidP="00E8251F">
      <w:pPr>
        <w:pStyle w:val="EndnoteText"/>
        <w:spacing w:line="480" w:lineRule="auto"/>
        <w:ind w:left="360" w:hanging="360"/>
        <w:rPr>
          <w:rFonts w:ascii="Times New Roman" w:hAnsi="Times New Roman" w:cs="Times New Roman"/>
          <w:sz w:val="22"/>
          <w:szCs w:val="22"/>
          <w:lang w:val="en-US"/>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lang w:val="en-US"/>
        </w:rPr>
        <w:t>The same respondent suggested that the reduction in NAC meetings was due to pressure by then Sec/Gen Rasmussen, who thought there were to “too many” (</w:t>
      </w:r>
      <w:r>
        <w:rPr>
          <w:rFonts w:ascii="Times New Roman" w:hAnsi="Times New Roman" w:cs="Times New Roman"/>
          <w:sz w:val="22"/>
          <w:szCs w:val="22"/>
          <w:lang w:val="en-US"/>
        </w:rPr>
        <w:t>Interview 2, 2012</w:t>
      </w:r>
      <w:r w:rsidRPr="00D37ADF">
        <w:rPr>
          <w:rFonts w:ascii="Times New Roman" w:hAnsi="Times New Roman" w:cs="Times New Roman"/>
          <w:sz w:val="22"/>
          <w:szCs w:val="22"/>
          <w:lang w:val="en-US"/>
        </w:rPr>
        <w:t>).  This did not emerge from other interviews but there was a more subtle suggestion that the PSC and the NAC were going into opposite directions.  This may also be connected to the difference in size and scope of the PSC agenda (see below) compared to that of the NAC.</w:t>
      </w:r>
    </w:p>
  </w:endnote>
  <w:endnote w:id="20">
    <w:p w14:paraId="1877A95C" w14:textId="418DE207" w:rsidR="00B62C7E" w:rsidRPr="00D37ADF" w:rsidRDefault="00B62C7E" w:rsidP="00E8251F">
      <w:pPr>
        <w:pStyle w:val="EndnoteText"/>
        <w:spacing w:line="480" w:lineRule="auto"/>
        <w:ind w:left="360" w:hanging="360"/>
        <w:rPr>
          <w:rFonts w:ascii="Times New Roman" w:hAnsi="Times New Roman" w:cs="Times New Roman"/>
          <w:sz w:val="22"/>
          <w:szCs w:val="22"/>
          <w:lang w:val="en-US"/>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lang w:val="en-US"/>
        </w:rPr>
        <w:t>At the NAC, informal consultation among national representatives is internally understood as the “lifeline of the Alliance” (Interview 13, 2016).</w:t>
      </w:r>
    </w:p>
  </w:endnote>
  <w:endnote w:id="21">
    <w:p w14:paraId="68C7A099" w14:textId="716F2DBA" w:rsidR="00B62C7E" w:rsidRPr="005A0BAC" w:rsidRDefault="00B62C7E" w:rsidP="000E6369">
      <w:pPr>
        <w:spacing w:line="480" w:lineRule="auto"/>
        <w:ind w:left="426" w:hanging="426"/>
        <w:rPr>
          <w:rFonts w:ascii="Times New Roman" w:hAnsi="Times New Roman" w:cs="Times New Roman"/>
          <w:lang w:val="en-US"/>
        </w:rPr>
      </w:pPr>
      <w:r>
        <w:rPr>
          <w:rStyle w:val="EndnoteReference"/>
        </w:rPr>
        <w:endnoteRef/>
      </w:r>
      <w:r>
        <w:tab/>
      </w:r>
      <w:r w:rsidR="003F656C" w:rsidRPr="00F53D8E">
        <w:rPr>
          <w:rFonts w:ascii="Times New Roman" w:hAnsi="Times New Roman" w:cs="Times New Roman"/>
        </w:rPr>
        <w:t>A 2016 NATO ‘Fact Sheet’ states ‘</w:t>
      </w:r>
      <w:r w:rsidR="003F656C" w:rsidRPr="00F53D8E">
        <w:rPr>
          <w:rFonts w:ascii="Times New Roman" w:hAnsi="Times New Roman" w:cs="Times New Roman"/>
          <w:lang w:val="en-US"/>
        </w:rPr>
        <w:t xml:space="preserve">since 2003 the “Berlin Plus” arrangements provide the basis for NATO-EU cooperation in crisis management in the context of EU-led operations that make use of NATO’s collective assets and capabilities, including command arrangements and assistance in operational planning. In effect, the “Berlin Plus” arrangements allow the Alliance to support EU-led operations in which NATO as a whole is not engaged. </w:t>
      </w:r>
      <w:r w:rsidR="003F656C" w:rsidRPr="00FE5B93">
        <w:rPr>
          <w:rFonts w:ascii="Times New Roman" w:hAnsi="Times New Roman" w:cs="Times New Roman"/>
        </w:rPr>
        <w:t>According to Yost (2007, p. 12) “</w:t>
      </w:r>
      <w:r w:rsidR="003F656C" w:rsidRPr="00FE5B93">
        <w:rPr>
          <w:rFonts w:ascii="Times New Roman" w:hAnsi="Times New Roman" w:cs="Times New Roman"/>
          <w:lang w:val="en-US" w:eastAsia="en-US"/>
        </w:rPr>
        <w:t>Operation Althea is the only on-going EU-led operation under ‘Berlin Plus,’ and it alone can be considered in a formal NATO-EU format. Aside from capability development issues, Althea is the only agreed agenda subject that can be discussed without the presence of Cyprus.”</w:t>
      </w:r>
    </w:p>
  </w:endnote>
  <w:endnote w:id="22">
    <w:p w14:paraId="610B9935" w14:textId="3A00FC75" w:rsidR="00646C66" w:rsidRPr="00FE5B93" w:rsidRDefault="00646C66" w:rsidP="005A0BAC">
      <w:pPr>
        <w:pStyle w:val="EndnoteText"/>
        <w:spacing w:line="480" w:lineRule="auto"/>
        <w:ind w:left="426" w:hanging="426"/>
        <w:rPr>
          <w:rFonts w:ascii="Times New Roman" w:hAnsi="Times New Roman" w:cs="Times New Roman"/>
          <w:sz w:val="22"/>
          <w:szCs w:val="22"/>
          <w:lang w:val="en-US"/>
        </w:rPr>
      </w:pPr>
      <w:r w:rsidRPr="005A0BAC">
        <w:rPr>
          <w:rStyle w:val="EndnoteReference"/>
          <w:rFonts w:ascii="Times New Roman" w:hAnsi="Times New Roman" w:cs="Times New Roman"/>
        </w:rPr>
        <w:endnoteRef/>
      </w:r>
      <w:r w:rsidRPr="005A0BAC">
        <w:rPr>
          <w:rFonts w:ascii="Times New Roman" w:hAnsi="Times New Roman" w:cs="Times New Roman"/>
        </w:rPr>
        <w:t xml:space="preserve"> </w:t>
      </w:r>
      <w:r w:rsidR="00FE5B93">
        <w:rPr>
          <w:rFonts w:ascii="Times New Roman" w:hAnsi="Times New Roman" w:cs="Times New Roman"/>
        </w:rPr>
        <w:t xml:space="preserve">   </w:t>
      </w:r>
      <w:r w:rsidR="003F656C" w:rsidRPr="00FE5B93">
        <w:rPr>
          <w:rFonts w:ascii="Times New Roman" w:hAnsi="Times New Roman" w:cs="Times New Roman"/>
          <w:sz w:val="22"/>
          <w:szCs w:val="22"/>
        </w:rPr>
        <w:t>At the 2016 NATO Warsaw Summit, the President of the European Council, the President of the European Commission and the NATO Secretary General signed a Joint Declaration ‘</w:t>
      </w:r>
      <w:r w:rsidR="003F656C" w:rsidRPr="00FE5B93">
        <w:rPr>
          <w:rFonts w:ascii="Times New Roman" w:hAnsi="Times New Roman" w:cs="Times New Roman"/>
          <w:sz w:val="22"/>
          <w:szCs w:val="22"/>
          <w:lang w:val="en-US"/>
        </w:rPr>
        <w:t xml:space="preserve">to give new impetus and new substance to the NATO-EU strategic partnership in light of common challenges’. </w:t>
      </w:r>
    </w:p>
  </w:endnote>
  <w:endnote w:id="23">
    <w:p w14:paraId="4ADA7813" w14:textId="58688592" w:rsidR="00B62C7E" w:rsidRPr="00D37ADF" w:rsidRDefault="00B62C7E" w:rsidP="00E14478">
      <w:pPr>
        <w:pStyle w:val="NormalWeb"/>
        <w:shd w:val="clear" w:color="auto" w:fill="FFFFFF"/>
        <w:spacing w:before="0" w:beforeAutospacing="0" w:after="0" w:afterAutospacing="0" w:line="480" w:lineRule="auto"/>
        <w:ind w:left="360" w:hanging="360"/>
        <w:rPr>
          <w:color w:val="1D2129"/>
          <w:spacing w:val="-4"/>
          <w:sz w:val="22"/>
          <w:szCs w:val="22"/>
        </w:rPr>
      </w:pPr>
      <w:r w:rsidRPr="00D37ADF">
        <w:rPr>
          <w:rStyle w:val="EndnoteReference"/>
          <w:sz w:val="22"/>
          <w:szCs w:val="22"/>
        </w:rPr>
        <w:endnoteRef/>
      </w:r>
      <w:r w:rsidRPr="00D37ADF">
        <w:rPr>
          <w:sz w:val="22"/>
          <w:szCs w:val="22"/>
        </w:rPr>
        <w:t xml:space="preserve"> </w:t>
      </w:r>
      <w:r w:rsidR="00FE5B93">
        <w:rPr>
          <w:sz w:val="22"/>
          <w:szCs w:val="22"/>
        </w:rPr>
        <w:t xml:space="preserve">  </w:t>
      </w:r>
      <w:r>
        <w:rPr>
          <w:color w:val="1D2129"/>
          <w:spacing w:val="-4"/>
          <w:sz w:val="22"/>
          <w:szCs w:val="22"/>
        </w:rPr>
        <w:t>“C</w:t>
      </w:r>
      <w:r w:rsidRPr="00D37ADF">
        <w:rPr>
          <w:color w:val="1D2129"/>
          <w:spacing w:val="-4"/>
          <w:sz w:val="22"/>
          <w:szCs w:val="22"/>
        </w:rPr>
        <w:t xml:space="preserve">onsensus based and consensus driven that essentially influences to a large extent how things are negotiated; if you can be out voted than you start negotiating in a different way” </w:t>
      </w:r>
      <w:r>
        <w:rPr>
          <w:color w:val="1D2129"/>
          <w:spacing w:val="-4"/>
          <w:sz w:val="22"/>
          <w:szCs w:val="22"/>
        </w:rPr>
        <w:t>(</w:t>
      </w:r>
      <w:r w:rsidRPr="00D37ADF">
        <w:rPr>
          <w:color w:val="1D2129"/>
          <w:spacing w:val="-4"/>
          <w:sz w:val="22"/>
          <w:szCs w:val="22"/>
        </w:rPr>
        <w:t>Interview 3</w:t>
      </w:r>
      <w:r>
        <w:rPr>
          <w:color w:val="1D2129"/>
          <w:spacing w:val="-4"/>
          <w:sz w:val="22"/>
          <w:szCs w:val="22"/>
        </w:rPr>
        <w:t>, 2012)</w:t>
      </w:r>
    </w:p>
  </w:endnote>
  <w:endnote w:id="24">
    <w:p w14:paraId="642FBB8D" w14:textId="77777777" w:rsidR="00B62C7E" w:rsidRPr="00D37ADF" w:rsidRDefault="00B62C7E" w:rsidP="00405429">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t>“</w:t>
      </w:r>
      <w:r>
        <w:rPr>
          <w:rFonts w:ascii="Times New Roman" w:hAnsi="Times New Roman" w:cs="Times New Roman"/>
          <w:sz w:val="22"/>
          <w:szCs w:val="22"/>
          <w:lang w:val="en-US"/>
        </w:rPr>
        <w:t>T</w:t>
      </w:r>
      <w:r w:rsidRPr="00220C5B">
        <w:rPr>
          <w:rFonts w:ascii="Times New Roman" w:hAnsi="Times New Roman" w:cs="Times New Roman"/>
          <w:sz w:val="22"/>
          <w:szCs w:val="22"/>
          <w:lang w:val="en-US"/>
        </w:rPr>
        <w:t>he PSC was designed to reach consensus</w:t>
      </w:r>
      <w:r>
        <w:rPr>
          <w:rFonts w:ascii="Times New Roman" w:hAnsi="Times New Roman" w:cs="Times New Roman"/>
          <w:sz w:val="22"/>
          <w:szCs w:val="22"/>
          <w:lang w:val="en-US"/>
        </w:rPr>
        <w:t>”</w:t>
      </w:r>
      <w:r>
        <w:rPr>
          <w:rFonts w:ascii="Times New Roman" w:hAnsi="Times New Roman" w:cs="Times New Roman"/>
          <w:sz w:val="22"/>
          <w:szCs w:val="22"/>
        </w:rPr>
        <w:t xml:space="preserve"> (Interview 9, 2016).</w:t>
      </w:r>
    </w:p>
  </w:endnote>
  <w:endnote w:id="25">
    <w:p w14:paraId="5204E516" w14:textId="33FAB372"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Pr>
          <w:rFonts w:ascii="Times New Roman" w:hAnsi="Times New Roman" w:cs="Times New Roman"/>
          <w:sz w:val="22"/>
          <w:szCs w:val="22"/>
        </w:rPr>
        <w:t xml:space="preserve"> “W</w:t>
      </w:r>
      <w:r w:rsidRPr="00D37ADF">
        <w:rPr>
          <w:rFonts w:ascii="Times New Roman" w:hAnsi="Times New Roman" w:cs="Times New Roman"/>
          <w:sz w:val="22"/>
          <w:szCs w:val="22"/>
        </w:rPr>
        <w:t>e keep it informal here” (Interview 9</w:t>
      </w:r>
      <w:r>
        <w:rPr>
          <w:rFonts w:ascii="Times New Roman" w:hAnsi="Times New Roman" w:cs="Times New Roman"/>
          <w:sz w:val="22"/>
          <w:szCs w:val="22"/>
        </w:rPr>
        <w:t>, 2016</w:t>
      </w:r>
      <w:r w:rsidRPr="00D37ADF">
        <w:rPr>
          <w:rFonts w:ascii="Times New Roman" w:hAnsi="Times New Roman" w:cs="Times New Roman"/>
          <w:sz w:val="22"/>
          <w:szCs w:val="22"/>
        </w:rPr>
        <w:t>); “Informally, there are receptions, dinners, working lunches</w:t>
      </w:r>
      <w:r>
        <w:rPr>
          <w:rFonts w:ascii="Times New Roman" w:hAnsi="Times New Roman" w:cs="Times New Roman"/>
          <w:sz w:val="22"/>
          <w:szCs w:val="22"/>
        </w:rPr>
        <w:t xml:space="preserve"> [</w:t>
      </w:r>
      <w:r w:rsidRPr="00D37ADF">
        <w:rPr>
          <w:rFonts w:ascii="Times New Roman" w:hAnsi="Times New Roman" w:cs="Times New Roman"/>
          <w:sz w:val="22"/>
          <w:szCs w:val="22"/>
        </w:rPr>
        <w:t>…</w:t>
      </w:r>
      <w:r>
        <w:rPr>
          <w:rFonts w:ascii="Times New Roman" w:hAnsi="Times New Roman" w:cs="Times New Roman"/>
          <w:sz w:val="22"/>
          <w:szCs w:val="22"/>
        </w:rPr>
        <w:t>]</w:t>
      </w:r>
      <w:r w:rsidRPr="00D37ADF">
        <w:rPr>
          <w:rFonts w:ascii="Times New Roman" w:hAnsi="Times New Roman" w:cs="Times New Roman"/>
          <w:sz w:val="22"/>
          <w:szCs w:val="22"/>
        </w:rPr>
        <w:t xml:space="preserve"> so you meet your colleagues every day” (Interview 2</w:t>
      </w:r>
      <w:r>
        <w:rPr>
          <w:rFonts w:ascii="Times New Roman" w:hAnsi="Times New Roman" w:cs="Times New Roman"/>
          <w:sz w:val="22"/>
          <w:szCs w:val="22"/>
        </w:rPr>
        <w:t>, 2012).</w:t>
      </w:r>
    </w:p>
  </w:endnote>
  <w:endnote w:id="26">
    <w:p w14:paraId="20D56FC9" w14:textId="7B250865"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“New allies and new ambassadors</w:t>
      </w:r>
      <w:r>
        <w:rPr>
          <w:rFonts w:ascii="Times New Roman" w:hAnsi="Times New Roman" w:cs="Times New Roman"/>
          <w:sz w:val="22"/>
          <w:szCs w:val="22"/>
        </w:rPr>
        <w:t xml:space="preserve"> [</w:t>
      </w:r>
      <w:r w:rsidRPr="00D37ADF">
        <w:rPr>
          <w:rFonts w:ascii="Times New Roman" w:hAnsi="Times New Roman" w:cs="Times New Roman"/>
          <w:sz w:val="22"/>
          <w:szCs w:val="22"/>
        </w:rPr>
        <w:t>…</w:t>
      </w:r>
      <w:r>
        <w:rPr>
          <w:rFonts w:ascii="Times New Roman" w:hAnsi="Times New Roman" w:cs="Times New Roman"/>
          <w:sz w:val="22"/>
          <w:szCs w:val="22"/>
        </w:rPr>
        <w:t>]</w:t>
      </w:r>
      <w:r w:rsidRPr="00D37ADF">
        <w:rPr>
          <w:rFonts w:ascii="Times New Roman" w:hAnsi="Times New Roman" w:cs="Times New Roman"/>
          <w:sz w:val="22"/>
          <w:szCs w:val="22"/>
        </w:rPr>
        <w:t xml:space="preserve"> integrate into the various social and political occasions and meetings” (Interview 5</w:t>
      </w:r>
      <w:r>
        <w:rPr>
          <w:rFonts w:ascii="Times New Roman" w:hAnsi="Times New Roman" w:cs="Times New Roman"/>
          <w:sz w:val="22"/>
          <w:szCs w:val="22"/>
        </w:rPr>
        <w:t>, 2012</w:t>
      </w:r>
      <w:r w:rsidRPr="00D37ADF">
        <w:rPr>
          <w:rFonts w:ascii="Times New Roman" w:hAnsi="Times New Roman" w:cs="Times New Roman"/>
          <w:sz w:val="22"/>
          <w:szCs w:val="22"/>
        </w:rPr>
        <w:t>)</w:t>
      </w:r>
      <w:r>
        <w:rPr>
          <w:rFonts w:ascii="Times New Roman" w:hAnsi="Times New Roman" w:cs="Times New Roman"/>
          <w:sz w:val="22"/>
          <w:szCs w:val="22"/>
        </w:rPr>
        <w:t>.</w:t>
      </w:r>
    </w:p>
  </w:endnote>
  <w:endnote w:id="27">
    <w:p w14:paraId="554FA774" w14:textId="21B67632" w:rsidR="00B62C7E" w:rsidRPr="00D37ADF" w:rsidRDefault="00B62C7E" w:rsidP="00E8251F">
      <w:pPr>
        <w:pStyle w:val="EndnoteText"/>
        <w:spacing w:line="480" w:lineRule="auto"/>
        <w:ind w:left="360" w:hanging="360"/>
        <w:rPr>
          <w:rFonts w:ascii="Times New Roman" w:hAnsi="Times New Roman" w:cs="Times New Roman"/>
          <w:sz w:val="22"/>
          <w:szCs w:val="22"/>
          <w:lang w:val="en-US"/>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lang w:val="en-US"/>
        </w:rPr>
        <w:t>From the data, we can infer the following: PSC Ambassadors seem to work under the assumption that their remit is more “fun” due to a wider ranging scope and the amount of foreign policy instruments at their disposal. Some PSC Ambassadors see the EU as the “wave of the future”, whereas NATO is an Alliance that has “mapped out its territory quite well” but is not really an “organisation in development” (Interview 2, 2012). However, NAC Ambassadors assume that although the scope of the conversation in the NAC is more limited than in the PSC, the quality and the depth is much higher. The interviews suggest that NAC ambassadors believe they believe the PSC is only “scratching the surface” whereas they are “going in depth” (Interview 5, 2012).</w:t>
      </w:r>
    </w:p>
  </w:endnote>
  <w:endnote w:id="28">
    <w:p w14:paraId="25131B95" w14:textId="6FE13314" w:rsidR="00B62C7E" w:rsidRPr="00D37ADF" w:rsidRDefault="00B62C7E" w:rsidP="00E8251F">
      <w:pPr>
        <w:pStyle w:val="NormalWeb"/>
        <w:shd w:val="clear" w:color="auto" w:fill="FFFFFF"/>
        <w:spacing w:before="0" w:beforeAutospacing="0" w:after="0" w:afterAutospacing="0" w:line="480" w:lineRule="auto"/>
        <w:ind w:left="360" w:hanging="360"/>
        <w:rPr>
          <w:color w:val="1D2129"/>
          <w:spacing w:val="-4"/>
          <w:sz w:val="22"/>
          <w:szCs w:val="22"/>
        </w:rPr>
      </w:pPr>
      <w:r w:rsidRPr="00D37ADF">
        <w:rPr>
          <w:rStyle w:val="EndnoteReference"/>
          <w:sz w:val="22"/>
          <w:szCs w:val="22"/>
        </w:rPr>
        <w:endnoteRef/>
      </w:r>
      <w:r w:rsidRPr="00D37ADF">
        <w:rPr>
          <w:sz w:val="22"/>
          <w:szCs w:val="22"/>
        </w:rPr>
        <w:t xml:space="preserve"> </w:t>
      </w:r>
      <w:r>
        <w:rPr>
          <w:sz w:val="22"/>
          <w:szCs w:val="22"/>
        </w:rPr>
        <w:tab/>
      </w:r>
      <w:r>
        <w:rPr>
          <w:color w:val="1D2129"/>
          <w:spacing w:val="-4"/>
          <w:sz w:val="22"/>
          <w:szCs w:val="22"/>
        </w:rPr>
        <w:t>“</w:t>
      </w:r>
      <w:r w:rsidRPr="00D37ADF">
        <w:rPr>
          <w:color w:val="1D2129"/>
          <w:spacing w:val="-4"/>
          <w:sz w:val="22"/>
          <w:szCs w:val="22"/>
        </w:rPr>
        <w:t>Scheduling of meetings and the rhythm of</w:t>
      </w:r>
      <w:r>
        <w:rPr>
          <w:color w:val="1D2129"/>
          <w:spacing w:val="-4"/>
          <w:sz w:val="22"/>
          <w:szCs w:val="22"/>
        </w:rPr>
        <w:t xml:space="preserve"> work is very well established.”</w:t>
      </w:r>
      <w:r w:rsidRPr="00D37ADF">
        <w:rPr>
          <w:color w:val="1D2129"/>
          <w:spacing w:val="-4"/>
          <w:sz w:val="22"/>
          <w:szCs w:val="22"/>
        </w:rPr>
        <w:t xml:space="preserve"> (Interview 7</w:t>
      </w:r>
      <w:r>
        <w:rPr>
          <w:color w:val="1D2129"/>
          <w:spacing w:val="-4"/>
          <w:sz w:val="22"/>
          <w:szCs w:val="22"/>
        </w:rPr>
        <w:t>, 2016</w:t>
      </w:r>
      <w:r w:rsidRPr="00D37ADF">
        <w:rPr>
          <w:color w:val="1D2129"/>
          <w:spacing w:val="-4"/>
          <w:sz w:val="22"/>
          <w:szCs w:val="22"/>
        </w:rPr>
        <w:t>)</w:t>
      </w:r>
    </w:p>
  </w:endnote>
  <w:endnote w:id="29">
    <w:p w14:paraId="26538641" w14:textId="6E39858A" w:rsidR="00B62C7E" w:rsidRPr="00D37ADF" w:rsidRDefault="00B62C7E" w:rsidP="00E8251F">
      <w:pPr>
        <w:pStyle w:val="EndnoteText"/>
        <w:spacing w:line="480" w:lineRule="auto"/>
        <w:ind w:left="360" w:hanging="360"/>
        <w:rPr>
          <w:rFonts w:ascii="Times New Roman" w:hAnsi="Times New Roman" w:cs="Times New Roman"/>
          <w:sz w:val="22"/>
          <w:szCs w:val="22"/>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w:t>
      </w:r>
      <w:r w:rsidRPr="00D37ADF">
        <w:rPr>
          <w:rFonts w:ascii="Times New Roman" w:eastAsia="Calibri" w:hAnsi="Times New Roman" w:cs="Times New Roman"/>
          <w:sz w:val="22"/>
          <w:szCs w:val="22"/>
          <w:lang w:val="en-US" w:eastAsia="en-US"/>
        </w:rPr>
        <w:t>I have never experienced when an Ambassador was shouting or losing his or her temper.  They are professionals” (Interview 5</w:t>
      </w:r>
      <w:r>
        <w:rPr>
          <w:rFonts w:ascii="Times New Roman" w:eastAsia="Calibri" w:hAnsi="Times New Roman" w:cs="Times New Roman"/>
          <w:sz w:val="22"/>
          <w:szCs w:val="22"/>
          <w:lang w:val="en-US" w:eastAsia="en-US"/>
        </w:rPr>
        <w:t>, 2012</w:t>
      </w:r>
      <w:r w:rsidRPr="00D37ADF">
        <w:rPr>
          <w:rFonts w:ascii="Times New Roman" w:eastAsia="Calibri" w:hAnsi="Times New Roman" w:cs="Times New Roman"/>
          <w:sz w:val="22"/>
          <w:szCs w:val="22"/>
          <w:lang w:val="en-US" w:eastAsia="en-US"/>
        </w:rPr>
        <w:t>)</w:t>
      </w:r>
      <w:r>
        <w:rPr>
          <w:rFonts w:ascii="Times New Roman" w:eastAsia="Calibri" w:hAnsi="Times New Roman" w:cs="Times New Roman"/>
          <w:sz w:val="22"/>
          <w:szCs w:val="22"/>
          <w:lang w:val="en-US" w:eastAsia="en-US"/>
        </w:rPr>
        <w:t>.</w:t>
      </w:r>
    </w:p>
  </w:endnote>
  <w:endnote w:id="30">
    <w:p w14:paraId="4B2C2284" w14:textId="758B8EFF" w:rsidR="00B62C7E" w:rsidRPr="00D37ADF" w:rsidRDefault="00B62C7E" w:rsidP="00E8251F">
      <w:pPr>
        <w:pStyle w:val="EndnoteText"/>
        <w:spacing w:line="480" w:lineRule="auto"/>
        <w:ind w:left="360" w:hanging="360"/>
        <w:rPr>
          <w:rFonts w:ascii="Times New Roman" w:hAnsi="Times New Roman" w:cs="Times New Roman"/>
          <w:sz w:val="22"/>
          <w:szCs w:val="22"/>
          <w:lang w:val="en-US"/>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w:t>
      </w:r>
      <w:r w:rsidRPr="00D37ADF">
        <w:rPr>
          <w:rFonts w:ascii="Times New Roman" w:eastAsia="Calibri" w:hAnsi="Times New Roman" w:cs="Times New Roman"/>
          <w:sz w:val="22"/>
          <w:szCs w:val="22"/>
          <w:lang w:val="en-US" w:eastAsia="en-US"/>
        </w:rPr>
        <w:t xml:space="preserve">Not all states have the expertise or a strong interest in all issues” </w:t>
      </w:r>
      <w:r>
        <w:rPr>
          <w:rFonts w:ascii="Times New Roman" w:eastAsia="Calibri" w:hAnsi="Times New Roman" w:cs="Times New Roman"/>
          <w:sz w:val="22"/>
          <w:szCs w:val="22"/>
          <w:lang w:val="en-US" w:eastAsia="en-US"/>
        </w:rPr>
        <w:t>(</w:t>
      </w:r>
      <w:r w:rsidRPr="00D37ADF">
        <w:rPr>
          <w:rFonts w:ascii="Times New Roman" w:eastAsia="Calibri" w:hAnsi="Times New Roman" w:cs="Times New Roman"/>
          <w:sz w:val="22"/>
          <w:szCs w:val="22"/>
          <w:lang w:val="en-US" w:eastAsia="en-US"/>
        </w:rPr>
        <w:t>Interview 11</w:t>
      </w:r>
      <w:r>
        <w:rPr>
          <w:rFonts w:ascii="Times New Roman" w:eastAsia="Calibri" w:hAnsi="Times New Roman" w:cs="Times New Roman"/>
          <w:sz w:val="22"/>
          <w:szCs w:val="22"/>
          <w:lang w:val="en-US" w:eastAsia="en-US"/>
        </w:rPr>
        <w:t>, 2016).</w:t>
      </w:r>
    </w:p>
  </w:endnote>
  <w:endnote w:id="31">
    <w:p w14:paraId="2A778DCD" w14:textId="049BF603" w:rsidR="00B62C7E" w:rsidRPr="00D37ADF" w:rsidRDefault="00B62C7E" w:rsidP="00E8251F">
      <w:pPr>
        <w:pStyle w:val="EndnoteText"/>
        <w:spacing w:line="480" w:lineRule="auto"/>
        <w:ind w:left="360" w:hanging="360"/>
        <w:rPr>
          <w:rFonts w:ascii="Times New Roman" w:hAnsi="Times New Roman" w:cs="Times New Roman"/>
          <w:sz w:val="22"/>
          <w:szCs w:val="22"/>
          <w:lang w:val="en-US"/>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rPr>
        <w:t>“</w:t>
      </w:r>
      <w:r>
        <w:rPr>
          <w:rFonts w:ascii="Times New Roman" w:eastAsia="Calibri" w:hAnsi="Times New Roman" w:cs="Times New Roman"/>
          <w:sz w:val="22"/>
          <w:szCs w:val="22"/>
          <w:lang w:val="en-US" w:eastAsia="en-US"/>
        </w:rPr>
        <w:t>T</w:t>
      </w:r>
      <w:r w:rsidRPr="00D37ADF">
        <w:rPr>
          <w:rFonts w:ascii="Times New Roman" w:eastAsia="Calibri" w:hAnsi="Times New Roman" w:cs="Times New Roman"/>
          <w:sz w:val="22"/>
          <w:szCs w:val="22"/>
          <w:lang w:val="en-US" w:eastAsia="en-US"/>
        </w:rPr>
        <w:t>his gives him a huge weight vis-à-vis his own administration and huge freedom of man</w:t>
      </w:r>
      <w:r>
        <w:rPr>
          <w:rFonts w:ascii="Times New Roman" w:eastAsia="Calibri" w:hAnsi="Times New Roman" w:cs="Times New Roman"/>
          <w:sz w:val="22"/>
          <w:szCs w:val="22"/>
          <w:lang w:val="en-US" w:eastAsia="en-US"/>
        </w:rPr>
        <w:t>o</w:t>
      </w:r>
      <w:r w:rsidRPr="00D37ADF">
        <w:rPr>
          <w:rFonts w:ascii="Times New Roman" w:eastAsia="Calibri" w:hAnsi="Times New Roman" w:cs="Times New Roman"/>
          <w:sz w:val="22"/>
          <w:szCs w:val="22"/>
          <w:lang w:val="en-US" w:eastAsia="en-US"/>
        </w:rPr>
        <w:t xml:space="preserve">euver” </w:t>
      </w:r>
      <w:r>
        <w:rPr>
          <w:rFonts w:ascii="Times New Roman" w:eastAsia="Calibri" w:hAnsi="Times New Roman" w:cs="Times New Roman"/>
          <w:sz w:val="22"/>
          <w:szCs w:val="22"/>
          <w:lang w:val="en-US" w:eastAsia="en-US"/>
        </w:rPr>
        <w:t>(</w:t>
      </w:r>
      <w:r w:rsidRPr="00D37ADF">
        <w:rPr>
          <w:rFonts w:ascii="Times New Roman" w:eastAsia="Calibri" w:hAnsi="Times New Roman" w:cs="Times New Roman"/>
          <w:sz w:val="22"/>
          <w:szCs w:val="22"/>
          <w:lang w:val="en-US" w:eastAsia="en-US"/>
        </w:rPr>
        <w:t>Interview 5</w:t>
      </w:r>
      <w:r>
        <w:rPr>
          <w:rFonts w:ascii="Times New Roman" w:eastAsia="Calibri" w:hAnsi="Times New Roman" w:cs="Times New Roman"/>
          <w:sz w:val="22"/>
          <w:szCs w:val="22"/>
          <w:lang w:val="en-US" w:eastAsia="en-US"/>
        </w:rPr>
        <w:t>, 2012).</w:t>
      </w:r>
    </w:p>
  </w:endnote>
  <w:endnote w:id="32">
    <w:p w14:paraId="743317D2" w14:textId="123B8379" w:rsidR="00B62C7E" w:rsidRPr="00D37ADF" w:rsidRDefault="00B62C7E" w:rsidP="00E8251F">
      <w:pPr>
        <w:pStyle w:val="EndnoteText"/>
        <w:spacing w:line="480" w:lineRule="auto"/>
        <w:ind w:left="360" w:hanging="360"/>
        <w:rPr>
          <w:rFonts w:ascii="Times New Roman" w:hAnsi="Times New Roman" w:cs="Times New Roman"/>
          <w:sz w:val="22"/>
          <w:szCs w:val="22"/>
          <w:lang w:val="en-US"/>
        </w:rPr>
      </w:pPr>
      <w:r w:rsidRPr="00D37ADF">
        <w:rPr>
          <w:rStyle w:val="EndnoteReference"/>
          <w:rFonts w:ascii="Times New Roman" w:hAnsi="Times New Roman" w:cs="Times New Roman"/>
          <w:sz w:val="22"/>
          <w:szCs w:val="22"/>
        </w:rPr>
        <w:endnoteRef/>
      </w:r>
      <w:r w:rsidRPr="00D37ADF">
        <w:rPr>
          <w:rFonts w:ascii="Times New Roman" w:hAnsi="Times New Roman" w:cs="Times New Roman"/>
          <w:sz w:val="22"/>
          <w:szCs w:val="22"/>
        </w:rPr>
        <w:t xml:space="preserve"> </w:t>
      </w:r>
      <w:r>
        <w:rPr>
          <w:rFonts w:ascii="Times New Roman" w:hAnsi="Times New Roman" w:cs="Times New Roman"/>
          <w:sz w:val="22"/>
          <w:szCs w:val="22"/>
        </w:rPr>
        <w:tab/>
      </w:r>
      <w:r w:rsidRPr="00D37ADF">
        <w:rPr>
          <w:rFonts w:ascii="Times New Roman" w:hAnsi="Times New Roman" w:cs="Times New Roman"/>
          <w:sz w:val="22"/>
          <w:szCs w:val="22"/>
          <w:lang w:val="en-US"/>
        </w:rPr>
        <w:t>“</w:t>
      </w:r>
      <w:r w:rsidRPr="00D37ADF">
        <w:rPr>
          <w:rFonts w:ascii="Times New Roman" w:eastAsia="Calibri" w:hAnsi="Times New Roman" w:cs="Times New Roman"/>
          <w:color w:val="000000"/>
          <w:sz w:val="22"/>
          <w:szCs w:val="22"/>
          <w:lang w:eastAsia="en-US"/>
        </w:rPr>
        <w:t xml:space="preserve">I think it is much more the personality of the individual” </w:t>
      </w:r>
      <w:r>
        <w:rPr>
          <w:rFonts w:ascii="Times New Roman" w:eastAsia="Calibri" w:hAnsi="Times New Roman" w:cs="Times New Roman"/>
          <w:color w:val="000000"/>
          <w:sz w:val="22"/>
          <w:szCs w:val="22"/>
          <w:lang w:eastAsia="en-US"/>
        </w:rPr>
        <w:t>(</w:t>
      </w:r>
      <w:r w:rsidRPr="00D37ADF">
        <w:rPr>
          <w:rFonts w:ascii="Times New Roman" w:eastAsia="Calibri" w:hAnsi="Times New Roman" w:cs="Times New Roman"/>
          <w:color w:val="000000"/>
          <w:sz w:val="22"/>
          <w:szCs w:val="22"/>
          <w:lang w:eastAsia="en-US"/>
        </w:rPr>
        <w:t>Interview 7</w:t>
      </w:r>
      <w:r>
        <w:rPr>
          <w:rFonts w:ascii="Times New Roman" w:eastAsia="Calibri" w:hAnsi="Times New Roman" w:cs="Times New Roman"/>
          <w:color w:val="000000"/>
          <w:sz w:val="22"/>
          <w:szCs w:val="22"/>
          <w:lang w:eastAsia="en-US"/>
        </w:rPr>
        <w:t>, 2016)</w:t>
      </w:r>
    </w:p>
  </w:endnote>
  <w:endnote w:id="33">
    <w:p w14:paraId="16E992B8" w14:textId="5A588943" w:rsidR="00347FD1" w:rsidRDefault="00347FD1" w:rsidP="00347FD1">
      <w:pPr>
        <w:pStyle w:val="EndnoteText"/>
        <w:ind w:left="851" w:hanging="851"/>
        <w:rPr>
          <w:rFonts w:ascii="Times New Roman" w:hAnsi="Times New Roman" w:cs="Times New Roman"/>
          <w:sz w:val="22"/>
          <w:szCs w:val="22"/>
        </w:rPr>
      </w:pPr>
      <w:r>
        <w:rPr>
          <w:rStyle w:val="EndnoteReference"/>
        </w:rPr>
        <w:endnoteRef/>
      </w:r>
      <w:r>
        <w:t xml:space="preserve">    </w:t>
      </w:r>
      <w:r w:rsidRPr="00347FD1">
        <w:rPr>
          <w:rFonts w:ascii="Times New Roman" w:hAnsi="Times New Roman" w:cs="Times New Roman"/>
          <w:sz w:val="22"/>
          <w:szCs w:val="22"/>
        </w:rPr>
        <w:t>For a discussion on supranational features of the PSC, see Howorth (2012)</w:t>
      </w:r>
    </w:p>
    <w:p w14:paraId="1196ABE1" w14:textId="77777777" w:rsidR="00347FD1" w:rsidRPr="00347FD1" w:rsidRDefault="00347FD1" w:rsidP="00347FD1">
      <w:pPr>
        <w:pStyle w:val="EndnoteText"/>
        <w:ind w:left="851" w:hanging="851"/>
        <w:rPr>
          <w:rFonts w:ascii="Times New Roman" w:hAnsi="Times New Roman" w:cs="Times New Roman"/>
          <w:sz w:val="22"/>
          <w:szCs w:val="22"/>
        </w:rPr>
      </w:pPr>
    </w:p>
  </w:endnote>
  <w:endnote w:id="34">
    <w:p w14:paraId="00292AE5" w14:textId="102F75CD" w:rsidR="00B62C7E" w:rsidRPr="00D37ADF" w:rsidRDefault="00B62C7E" w:rsidP="00E8251F">
      <w:pPr>
        <w:spacing w:line="480" w:lineRule="auto"/>
        <w:ind w:left="360" w:hanging="360"/>
        <w:rPr>
          <w:rFonts w:ascii="Times New Roman" w:hAnsi="Times New Roman" w:cs="Times New Roman"/>
          <w:lang w:val="en-US" w:eastAsia="en-US"/>
        </w:rPr>
      </w:pPr>
      <w:r w:rsidRPr="00D37ADF">
        <w:rPr>
          <w:rStyle w:val="EndnoteReference"/>
          <w:rFonts w:ascii="Times New Roman" w:hAnsi="Times New Roman" w:cs="Times New Roman"/>
        </w:rPr>
        <w:endnoteRef/>
      </w:r>
      <w:r w:rsidRPr="00D37ADF">
        <w:rPr>
          <w:rFonts w:ascii="Times New Roman" w:hAnsi="Times New Roman" w:cs="Times New Roman"/>
        </w:rPr>
        <w:t xml:space="preserve"> </w:t>
      </w:r>
      <w:r>
        <w:rPr>
          <w:rFonts w:ascii="Times New Roman" w:hAnsi="Times New Roman" w:cs="Times New Roman"/>
        </w:rPr>
        <w:tab/>
      </w:r>
      <w:r w:rsidRPr="00D37ADF">
        <w:rPr>
          <w:rFonts w:ascii="Times New Roman" w:hAnsi="Times New Roman" w:cs="Times New Roman"/>
          <w:color w:val="222222"/>
          <w:shd w:val="clear" w:color="auto" w:fill="FFFFFF"/>
          <w:lang w:val="en-US" w:eastAsia="en-US"/>
        </w:rPr>
        <w:t>The official residence of the President of France.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New Roman,Times New Roman">
    <w:altName w:val="Times"/>
    <w:charset w:val="00"/>
    <w:family w:val="auto"/>
    <w:pitch w:val="variable"/>
    <w:sig w:usb0="00000003" w:usb1="00000000" w:usb2="00000000" w:usb3="00000000" w:csb0="00000001" w:csb1="00000000"/>
  </w:font>
  <w:font w:name="Times New Roman,ＭＳ ゴシック">
    <w:altName w:val="Times"/>
    <w:charset w:val="00"/>
    <w:family w:val="auto"/>
    <w:pitch w:val="variable"/>
    <w:sig w:usb0="00000003" w:usb1="00000000" w:usb2="00000000" w:usb3="00000000" w:csb0="00000001" w:csb1="00000000"/>
  </w:font>
  <w:font w:name="Times,Times New Roman">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2E86" w14:textId="77777777" w:rsidR="00B62C7E" w:rsidRDefault="00B62C7E" w:rsidP="00946F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6B30F" w14:textId="77777777" w:rsidR="00B62C7E" w:rsidRDefault="00B62C7E" w:rsidP="00374A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2033" w14:textId="77777777" w:rsidR="00B62C7E" w:rsidRDefault="00B62C7E" w:rsidP="00374A7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673B" w14:textId="77777777" w:rsidR="00710D97" w:rsidRDefault="00710D97" w:rsidP="00470FC4">
      <w:r>
        <w:separator/>
      </w:r>
    </w:p>
  </w:footnote>
  <w:footnote w:type="continuationSeparator" w:id="0">
    <w:p w14:paraId="3E2CDA58" w14:textId="77777777" w:rsidR="00710D97" w:rsidRDefault="00710D97" w:rsidP="00470FC4">
      <w:r>
        <w:continuationSeparator/>
      </w:r>
    </w:p>
  </w:footnote>
  <w:footnote w:type="continuationNotice" w:id="1">
    <w:p w14:paraId="625A45D0" w14:textId="77777777" w:rsidR="00710D97" w:rsidRDefault="00710D9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7687" w14:textId="49E0C266" w:rsidR="00B62C7E" w:rsidRPr="00062379" w:rsidRDefault="00B62C7E" w:rsidP="00470FC4">
    <w:pPr>
      <w:pStyle w:val="Header"/>
      <w:jc w:val="both"/>
      <w:rPr>
        <w:rFonts w:ascii="Times New Roman" w:hAnsi="Times New Roman" w:cs="Times New Roman"/>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0706B"/>
    <w:multiLevelType w:val="hybridMultilevel"/>
    <w:tmpl w:val="0F50D4AE"/>
    <w:lvl w:ilvl="0" w:tplc="E81C3AA2">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5148D"/>
    <w:multiLevelType w:val="hybridMultilevel"/>
    <w:tmpl w:val="2556C8BA"/>
    <w:lvl w:ilvl="0" w:tplc="796CB65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42DFB"/>
    <w:multiLevelType w:val="hybridMultilevel"/>
    <w:tmpl w:val="5FBABBF8"/>
    <w:lvl w:ilvl="0" w:tplc="E81C3AA2">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94ABC"/>
    <w:multiLevelType w:val="hybridMultilevel"/>
    <w:tmpl w:val="876C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06FD0"/>
    <w:multiLevelType w:val="hybridMultilevel"/>
    <w:tmpl w:val="709449C0"/>
    <w:lvl w:ilvl="0" w:tplc="52C85E12">
      <w:start w:val="5"/>
      <w:numFmt w:val="bullet"/>
      <w:lvlText w:val=""/>
      <w:lvlJc w:val="left"/>
      <w:pPr>
        <w:ind w:left="720" w:hanging="360"/>
      </w:pPr>
      <w:rPr>
        <w:rFonts w:ascii="Symbol" w:eastAsiaTheme="maj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A75D1"/>
    <w:multiLevelType w:val="hybridMultilevel"/>
    <w:tmpl w:val="DADCC21A"/>
    <w:lvl w:ilvl="0" w:tplc="E81C3AA2">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260DE"/>
    <w:multiLevelType w:val="hybridMultilevel"/>
    <w:tmpl w:val="ECA41446"/>
    <w:lvl w:ilvl="0" w:tplc="796CB65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740A7C"/>
    <w:multiLevelType w:val="hybridMultilevel"/>
    <w:tmpl w:val="B57AAA48"/>
    <w:lvl w:ilvl="0" w:tplc="796CB65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10144"/>
    <w:multiLevelType w:val="hybridMultilevel"/>
    <w:tmpl w:val="9384B00A"/>
    <w:lvl w:ilvl="0" w:tplc="796CB65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76545"/>
    <w:multiLevelType w:val="hybridMultilevel"/>
    <w:tmpl w:val="1388AE9A"/>
    <w:lvl w:ilvl="0" w:tplc="67EE9100">
      <w:start w:val="5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7"/>
  </w:num>
  <w:num w:numId="5">
    <w:abstractNumId w:val="6"/>
  </w:num>
  <w:num w:numId="6">
    <w:abstractNumId w:val="5"/>
  </w:num>
  <w:num w:numId="7">
    <w:abstractNumId w:val="2"/>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C4"/>
    <w:rsid w:val="00000170"/>
    <w:rsid w:val="000034FF"/>
    <w:rsid w:val="00005768"/>
    <w:rsid w:val="0000715D"/>
    <w:rsid w:val="00012DD2"/>
    <w:rsid w:val="00012F76"/>
    <w:rsid w:val="000150F4"/>
    <w:rsid w:val="00015576"/>
    <w:rsid w:val="00015C2F"/>
    <w:rsid w:val="000171C3"/>
    <w:rsid w:val="0001732E"/>
    <w:rsid w:val="000178EB"/>
    <w:rsid w:val="000206A8"/>
    <w:rsid w:val="00021156"/>
    <w:rsid w:val="0002207B"/>
    <w:rsid w:val="00022DAF"/>
    <w:rsid w:val="0002347F"/>
    <w:rsid w:val="00025962"/>
    <w:rsid w:val="00025EA6"/>
    <w:rsid w:val="000277D6"/>
    <w:rsid w:val="00027FE4"/>
    <w:rsid w:val="00031D33"/>
    <w:rsid w:val="00031F65"/>
    <w:rsid w:val="00032256"/>
    <w:rsid w:val="00032C7C"/>
    <w:rsid w:val="000333E8"/>
    <w:rsid w:val="0003361C"/>
    <w:rsid w:val="00036BC9"/>
    <w:rsid w:val="00037D63"/>
    <w:rsid w:val="00040855"/>
    <w:rsid w:val="00040A84"/>
    <w:rsid w:val="00041366"/>
    <w:rsid w:val="00041950"/>
    <w:rsid w:val="00042789"/>
    <w:rsid w:val="0004293E"/>
    <w:rsid w:val="00042D86"/>
    <w:rsid w:val="000438C6"/>
    <w:rsid w:val="00046A31"/>
    <w:rsid w:val="00046B1F"/>
    <w:rsid w:val="0004725A"/>
    <w:rsid w:val="00051BBB"/>
    <w:rsid w:val="000529D4"/>
    <w:rsid w:val="00054D2A"/>
    <w:rsid w:val="00055524"/>
    <w:rsid w:val="00056E0A"/>
    <w:rsid w:val="000576E5"/>
    <w:rsid w:val="00060E6D"/>
    <w:rsid w:val="00062379"/>
    <w:rsid w:val="0006280B"/>
    <w:rsid w:val="000637CC"/>
    <w:rsid w:val="00064696"/>
    <w:rsid w:val="00065BB1"/>
    <w:rsid w:val="0007001E"/>
    <w:rsid w:val="000700D5"/>
    <w:rsid w:val="00070DFA"/>
    <w:rsid w:val="000715FE"/>
    <w:rsid w:val="000716A4"/>
    <w:rsid w:val="00073825"/>
    <w:rsid w:val="00074843"/>
    <w:rsid w:val="00074FB5"/>
    <w:rsid w:val="0007604D"/>
    <w:rsid w:val="0007637A"/>
    <w:rsid w:val="000818B9"/>
    <w:rsid w:val="000821BA"/>
    <w:rsid w:val="00083210"/>
    <w:rsid w:val="00083C16"/>
    <w:rsid w:val="00084F04"/>
    <w:rsid w:val="0008571A"/>
    <w:rsid w:val="0008635E"/>
    <w:rsid w:val="00086F34"/>
    <w:rsid w:val="000878FB"/>
    <w:rsid w:val="00087D2A"/>
    <w:rsid w:val="000900DA"/>
    <w:rsid w:val="00090ADA"/>
    <w:rsid w:val="0009189F"/>
    <w:rsid w:val="00091F07"/>
    <w:rsid w:val="000930F5"/>
    <w:rsid w:val="00093118"/>
    <w:rsid w:val="00097274"/>
    <w:rsid w:val="00097EB9"/>
    <w:rsid w:val="000A117E"/>
    <w:rsid w:val="000A1B06"/>
    <w:rsid w:val="000A36D9"/>
    <w:rsid w:val="000A4005"/>
    <w:rsid w:val="000A4881"/>
    <w:rsid w:val="000A4BB4"/>
    <w:rsid w:val="000A59BA"/>
    <w:rsid w:val="000A5D97"/>
    <w:rsid w:val="000A6C0F"/>
    <w:rsid w:val="000A6ED0"/>
    <w:rsid w:val="000A7052"/>
    <w:rsid w:val="000A722D"/>
    <w:rsid w:val="000A72D6"/>
    <w:rsid w:val="000B0235"/>
    <w:rsid w:val="000B0CED"/>
    <w:rsid w:val="000B11C3"/>
    <w:rsid w:val="000B2F20"/>
    <w:rsid w:val="000B322D"/>
    <w:rsid w:val="000B41BD"/>
    <w:rsid w:val="000B7257"/>
    <w:rsid w:val="000B73BF"/>
    <w:rsid w:val="000C001B"/>
    <w:rsid w:val="000C04AC"/>
    <w:rsid w:val="000C04FF"/>
    <w:rsid w:val="000C081A"/>
    <w:rsid w:val="000C1A41"/>
    <w:rsid w:val="000C5947"/>
    <w:rsid w:val="000C6247"/>
    <w:rsid w:val="000D0125"/>
    <w:rsid w:val="000D1F43"/>
    <w:rsid w:val="000D29BC"/>
    <w:rsid w:val="000D33EB"/>
    <w:rsid w:val="000D547F"/>
    <w:rsid w:val="000D594D"/>
    <w:rsid w:val="000D5A34"/>
    <w:rsid w:val="000D60D4"/>
    <w:rsid w:val="000D6C47"/>
    <w:rsid w:val="000D761C"/>
    <w:rsid w:val="000D7770"/>
    <w:rsid w:val="000E0267"/>
    <w:rsid w:val="000E03F3"/>
    <w:rsid w:val="000E042F"/>
    <w:rsid w:val="000E1BD8"/>
    <w:rsid w:val="000E2350"/>
    <w:rsid w:val="000E3552"/>
    <w:rsid w:val="000E3D0C"/>
    <w:rsid w:val="000E425B"/>
    <w:rsid w:val="000E4584"/>
    <w:rsid w:val="000E6369"/>
    <w:rsid w:val="000E6529"/>
    <w:rsid w:val="000F2103"/>
    <w:rsid w:val="000F2AA3"/>
    <w:rsid w:val="000F3468"/>
    <w:rsid w:val="000F34B3"/>
    <w:rsid w:val="000F3F3E"/>
    <w:rsid w:val="000F4325"/>
    <w:rsid w:val="000F5C1F"/>
    <w:rsid w:val="000F68A5"/>
    <w:rsid w:val="000F7378"/>
    <w:rsid w:val="00101395"/>
    <w:rsid w:val="00101E99"/>
    <w:rsid w:val="001032BC"/>
    <w:rsid w:val="00103DD0"/>
    <w:rsid w:val="001044F6"/>
    <w:rsid w:val="00104619"/>
    <w:rsid w:val="00104EC6"/>
    <w:rsid w:val="00105056"/>
    <w:rsid w:val="00107783"/>
    <w:rsid w:val="001119FF"/>
    <w:rsid w:val="00114157"/>
    <w:rsid w:val="0011492D"/>
    <w:rsid w:val="00115D3A"/>
    <w:rsid w:val="001170CF"/>
    <w:rsid w:val="00120122"/>
    <w:rsid w:val="001211CA"/>
    <w:rsid w:val="00121A2F"/>
    <w:rsid w:val="001260A1"/>
    <w:rsid w:val="00126197"/>
    <w:rsid w:val="0012623E"/>
    <w:rsid w:val="00126BF6"/>
    <w:rsid w:val="00127393"/>
    <w:rsid w:val="001274B2"/>
    <w:rsid w:val="001300B9"/>
    <w:rsid w:val="00130878"/>
    <w:rsid w:val="001325B3"/>
    <w:rsid w:val="0013292C"/>
    <w:rsid w:val="00132C9C"/>
    <w:rsid w:val="00133D2C"/>
    <w:rsid w:val="00135291"/>
    <w:rsid w:val="00135AE1"/>
    <w:rsid w:val="00136694"/>
    <w:rsid w:val="0013703E"/>
    <w:rsid w:val="00143735"/>
    <w:rsid w:val="001463E8"/>
    <w:rsid w:val="001472A2"/>
    <w:rsid w:val="00147351"/>
    <w:rsid w:val="00147A75"/>
    <w:rsid w:val="00147F8C"/>
    <w:rsid w:val="001540C9"/>
    <w:rsid w:val="00161605"/>
    <w:rsid w:val="00161CAF"/>
    <w:rsid w:val="0016391D"/>
    <w:rsid w:val="00164A76"/>
    <w:rsid w:val="00165CDE"/>
    <w:rsid w:val="001661C1"/>
    <w:rsid w:val="00166FFA"/>
    <w:rsid w:val="0016711A"/>
    <w:rsid w:val="0016764C"/>
    <w:rsid w:val="0016792E"/>
    <w:rsid w:val="00167D79"/>
    <w:rsid w:val="00170336"/>
    <w:rsid w:val="001715AB"/>
    <w:rsid w:val="001716DF"/>
    <w:rsid w:val="00171CBA"/>
    <w:rsid w:val="0017268A"/>
    <w:rsid w:val="001726CB"/>
    <w:rsid w:val="00174B64"/>
    <w:rsid w:val="001752FE"/>
    <w:rsid w:val="00175C89"/>
    <w:rsid w:val="00175E99"/>
    <w:rsid w:val="00176FBB"/>
    <w:rsid w:val="001807BC"/>
    <w:rsid w:val="00182190"/>
    <w:rsid w:val="001824AF"/>
    <w:rsid w:val="001830F1"/>
    <w:rsid w:val="00183A56"/>
    <w:rsid w:val="001859B6"/>
    <w:rsid w:val="00187C01"/>
    <w:rsid w:val="00187F14"/>
    <w:rsid w:val="00190F6A"/>
    <w:rsid w:val="001940C1"/>
    <w:rsid w:val="001942F8"/>
    <w:rsid w:val="0019457C"/>
    <w:rsid w:val="00194767"/>
    <w:rsid w:val="00194803"/>
    <w:rsid w:val="00195B6C"/>
    <w:rsid w:val="00197802"/>
    <w:rsid w:val="00197C7D"/>
    <w:rsid w:val="001A0AE3"/>
    <w:rsid w:val="001A29A4"/>
    <w:rsid w:val="001A2D9E"/>
    <w:rsid w:val="001A3CC5"/>
    <w:rsid w:val="001A44F9"/>
    <w:rsid w:val="001B075B"/>
    <w:rsid w:val="001B174E"/>
    <w:rsid w:val="001B248F"/>
    <w:rsid w:val="001B2A39"/>
    <w:rsid w:val="001B34C7"/>
    <w:rsid w:val="001B3BFB"/>
    <w:rsid w:val="001B5026"/>
    <w:rsid w:val="001B51A2"/>
    <w:rsid w:val="001B5513"/>
    <w:rsid w:val="001B56E8"/>
    <w:rsid w:val="001B5D88"/>
    <w:rsid w:val="001B6568"/>
    <w:rsid w:val="001C1AB4"/>
    <w:rsid w:val="001C36E6"/>
    <w:rsid w:val="001C67A1"/>
    <w:rsid w:val="001C7994"/>
    <w:rsid w:val="001D0680"/>
    <w:rsid w:val="001D169C"/>
    <w:rsid w:val="001D1BE4"/>
    <w:rsid w:val="001D1E40"/>
    <w:rsid w:val="001D2DA7"/>
    <w:rsid w:val="001D3858"/>
    <w:rsid w:val="001D3A62"/>
    <w:rsid w:val="001D3CE7"/>
    <w:rsid w:val="001D4066"/>
    <w:rsid w:val="001D52CB"/>
    <w:rsid w:val="001D7426"/>
    <w:rsid w:val="001D7FB5"/>
    <w:rsid w:val="001E0DFB"/>
    <w:rsid w:val="001E0EB0"/>
    <w:rsid w:val="001E1527"/>
    <w:rsid w:val="001E17F1"/>
    <w:rsid w:val="001E1F55"/>
    <w:rsid w:val="001E2736"/>
    <w:rsid w:val="001E2844"/>
    <w:rsid w:val="001E2B89"/>
    <w:rsid w:val="001E30C5"/>
    <w:rsid w:val="001E41A6"/>
    <w:rsid w:val="001E61A4"/>
    <w:rsid w:val="001E7446"/>
    <w:rsid w:val="001E7F1C"/>
    <w:rsid w:val="001F0775"/>
    <w:rsid w:val="001F1952"/>
    <w:rsid w:val="001F1B4B"/>
    <w:rsid w:val="001F2105"/>
    <w:rsid w:val="001F23E7"/>
    <w:rsid w:val="001F5710"/>
    <w:rsid w:val="001F5F59"/>
    <w:rsid w:val="001F73CB"/>
    <w:rsid w:val="0020230D"/>
    <w:rsid w:val="00202994"/>
    <w:rsid w:val="0020328F"/>
    <w:rsid w:val="00203ACB"/>
    <w:rsid w:val="002050D1"/>
    <w:rsid w:val="00205254"/>
    <w:rsid w:val="0020533B"/>
    <w:rsid w:val="00205FBD"/>
    <w:rsid w:val="002100D1"/>
    <w:rsid w:val="002107BD"/>
    <w:rsid w:val="00210C71"/>
    <w:rsid w:val="002112E8"/>
    <w:rsid w:val="00211958"/>
    <w:rsid w:val="00211F9C"/>
    <w:rsid w:val="00215D77"/>
    <w:rsid w:val="00216F17"/>
    <w:rsid w:val="002209CD"/>
    <w:rsid w:val="00220C5B"/>
    <w:rsid w:val="00224B6B"/>
    <w:rsid w:val="002265A3"/>
    <w:rsid w:val="00226CA4"/>
    <w:rsid w:val="00230113"/>
    <w:rsid w:val="002301CD"/>
    <w:rsid w:val="00231F8A"/>
    <w:rsid w:val="002327ED"/>
    <w:rsid w:val="00232CE3"/>
    <w:rsid w:val="00232DEB"/>
    <w:rsid w:val="00233706"/>
    <w:rsid w:val="002337F4"/>
    <w:rsid w:val="00233FA1"/>
    <w:rsid w:val="00234097"/>
    <w:rsid w:val="00235837"/>
    <w:rsid w:val="00236727"/>
    <w:rsid w:val="002378B8"/>
    <w:rsid w:val="00237C25"/>
    <w:rsid w:val="00237D56"/>
    <w:rsid w:val="002419D4"/>
    <w:rsid w:val="00244F1B"/>
    <w:rsid w:val="0024510A"/>
    <w:rsid w:val="00245A6D"/>
    <w:rsid w:val="002502BA"/>
    <w:rsid w:val="00251120"/>
    <w:rsid w:val="002512EF"/>
    <w:rsid w:val="00252395"/>
    <w:rsid w:val="00253128"/>
    <w:rsid w:val="002541BE"/>
    <w:rsid w:val="00255269"/>
    <w:rsid w:val="0025568B"/>
    <w:rsid w:val="002614C5"/>
    <w:rsid w:val="00261B0B"/>
    <w:rsid w:val="00262C7B"/>
    <w:rsid w:val="00262D0D"/>
    <w:rsid w:val="002631BD"/>
    <w:rsid w:val="00263C54"/>
    <w:rsid w:val="002663BC"/>
    <w:rsid w:val="0026762E"/>
    <w:rsid w:val="00271681"/>
    <w:rsid w:val="0027174F"/>
    <w:rsid w:val="00271E9F"/>
    <w:rsid w:val="00272401"/>
    <w:rsid w:val="00272499"/>
    <w:rsid w:val="0027285E"/>
    <w:rsid w:val="00275743"/>
    <w:rsid w:val="00277BB9"/>
    <w:rsid w:val="00277D91"/>
    <w:rsid w:val="002823BE"/>
    <w:rsid w:val="00284CA6"/>
    <w:rsid w:val="002866D8"/>
    <w:rsid w:val="00286CD2"/>
    <w:rsid w:val="00286D25"/>
    <w:rsid w:val="002901C5"/>
    <w:rsid w:val="00290712"/>
    <w:rsid w:val="00291489"/>
    <w:rsid w:val="002924C2"/>
    <w:rsid w:val="0029341F"/>
    <w:rsid w:val="00293A87"/>
    <w:rsid w:val="002947F3"/>
    <w:rsid w:val="0029504B"/>
    <w:rsid w:val="00296BAC"/>
    <w:rsid w:val="002973B6"/>
    <w:rsid w:val="002A2BFC"/>
    <w:rsid w:val="002A3B61"/>
    <w:rsid w:val="002A3FB6"/>
    <w:rsid w:val="002A41D9"/>
    <w:rsid w:val="002A4594"/>
    <w:rsid w:val="002A7EDE"/>
    <w:rsid w:val="002B05FA"/>
    <w:rsid w:val="002B16F6"/>
    <w:rsid w:val="002B1708"/>
    <w:rsid w:val="002B28FD"/>
    <w:rsid w:val="002B2FBE"/>
    <w:rsid w:val="002B3691"/>
    <w:rsid w:val="002B3D92"/>
    <w:rsid w:val="002B4552"/>
    <w:rsid w:val="002B5BCC"/>
    <w:rsid w:val="002B5ED3"/>
    <w:rsid w:val="002B6CA5"/>
    <w:rsid w:val="002C2204"/>
    <w:rsid w:val="002C287A"/>
    <w:rsid w:val="002C2923"/>
    <w:rsid w:val="002C2A17"/>
    <w:rsid w:val="002C2C91"/>
    <w:rsid w:val="002C2E46"/>
    <w:rsid w:val="002C2ECE"/>
    <w:rsid w:val="002C300A"/>
    <w:rsid w:val="002C30D4"/>
    <w:rsid w:val="002C3834"/>
    <w:rsid w:val="002C445E"/>
    <w:rsid w:val="002C5E7D"/>
    <w:rsid w:val="002C6347"/>
    <w:rsid w:val="002C6F98"/>
    <w:rsid w:val="002C766F"/>
    <w:rsid w:val="002D017B"/>
    <w:rsid w:val="002D2C1C"/>
    <w:rsid w:val="002D5BF1"/>
    <w:rsid w:val="002D5C1D"/>
    <w:rsid w:val="002D5DD6"/>
    <w:rsid w:val="002D73A3"/>
    <w:rsid w:val="002E388C"/>
    <w:rsid w:val="002E3CBA"/>
    <w:rsid w:val="002E41E8"/>
    <w:rsid w:val="002E430F"/>
    <w:rsid w:val="002E6FFF"/>
    <w:rsid w:val="002E72E9"/>
    <w:rsid w:val="002E750A"/>
    <w:rsid w:val="002E78B1"/>
    <w:rsid w:val="002F35EB"/>
    <w:rsid w:val="002F4390"/>
    <w:rsid w:val="002F4F0B"/>
    <w:rsid w:val="002F794B"/>
    <w:rsid w:val="002F7B43"/>
    <w:rsid w:val="003029C7"/>
    <w:rsid w:val="0030358D"/>
    <w:rsid w:val="00304D7D"/>
    <w:rsid w:val="0030582B"/>
    <w:rsid w:val="00307A9E"/>
    <w:rsid w:val="00307F21"/>
    <w:rsid w:val="00310DF4"/>
    <w:rsid w:val="00313D5F"/>
    <w:rsid w:val="00313D96"/>
    <w:rsid w:val="0031438D"/>
    <w:rsid w:val="00314B59"/>
    <w:rsid w:val="00315802"/>
    <w:rsid w:val="00315AE2"/>
    <w:rsid w:val="0031602E"/>
    <w:rsid w:val="00317024"/>
    <w:rsid w:val="0031762D"/>
    <w:rsid w:val="0031763A"/>
    <w:rsid w:val="00320856"/>
    <w:rsid w:val="00322940"/>
    <w:rsid w:val="00323345"/>
    <w:rsid w:val="00323FCA"/>
    <w:rsid w:val="00324B5B"/>
    <w:rsid w:val="00324BEF"/>
    <w:rsid w:val="0032503F"/>
    <w:rsid w:val="0032524E"/>
    <w:rsid w:val="003262E5"/>
    <w:rsid w:val="00326DF7"/>
    <w:rsid w:val="0032712E"/>
    <w:rsid w:val="0033008C"/>
    <w:rsid w:val="00331628"/>
    <w:rsid w:val="00332BE7"/>
    <w:rsid w:val="00332E7F"/>
    <w:rsid w:val="0033348A"/>
    <w:rsid w:val="00333645"/>
    <w:rsid w:val="003339D4"/>
    <w:rsid w:val="00334FCA"/>
    <w:rsid w:val="00336418"/>
    <w:rsid w:val="00337E87"/>
    <w:rsid w:val="00340AC9"/>
    <w:rsid w:val="003425E4"/>
    <w:rsid w:val="00343546"/>
    <w:rsid w:val="00343A47"/>
    <w:rsid w:val="0034690A"/>
    <w:rsid w:val="003475DF"/>
    <w:rsid w:val="00347621"/>
    <w:rsid w:val="003476DF"/>
    <w:rsid w:val="00347FD1"/>
    <w:rsid w:val="003506F1"/>
    <w:rsid w:val="00350898"/>
    <w:rsid w:val="0035094F"/>
    <w:rsid w:val="003520D3"/>
    <w:rsid w:val="00352779"/>
    <w:rsid w:val="003535DB"/>
    <w:rsid w:val="003542B8"/>
    <w:rsid w:val="00354DD2"/>
    <w:rsid w:val="003553F7"/>
    <w:rsid w:val="00355B95"/>
    <w:rsid w:val="00355CFE"/>
    <w:rsid w:val="00355D62"/>
    <w:rsid w:val="003561D6"/>
    <w:rsid w:val="00356E3B"/>
    <w:rsid w:val="00360896"/>
    <w:rsid w:val="00360A1E"/>
    <w:rsid w:val="00361B64"/>
    <w:rsid w:val="00362472"/>
    <w:rsid w:val="00362C30"/>
    <w:rsid w:val="00362EB6"/>
    <w:rsid w:val="00363F6A"/>
    <w:rsid w:val="00364F88"/>
    <w:rsid w:val="003658EE"/>
    <w:rsid w:val="00367269"/>
    <w:rsid w:val="00370598"/>
    <w:rsid w:val="003711A3"/>
    <w:rsid w:val="0037231E"/>
    <w:rsid w:val="003723D2"/>
    <w:rsid w:val="003727E7"/>
    <w:rsid w:val="00372952"/>
    <w:rsid w:val="00372ADA"/>
    <w:rsid w:val="003743C6"/>
    <w:rsid w:val="00374A74"/>
    <w:rsid w:val="00374D22"/>
    <w:rsid w:val="00375D7A"/>
    <w:rsid w:val="00376D3E"/>
    <w:rsid w:val="00377035"/>
    <w:rsid w:val="003770F7"/>
    <w:rsid w:val="0037716B"/>
    <w:rsid w:val="003813F9"/>
    <w:rsid w:val="00381929"/>
    <w:rsid w:val="003865AB"/>
    <w:rsid w:val="00387E8B"/>
    <w:rsid w:val="00387E9B"/>
    <w:rsid w:val="003914FB"/>
    <w:rsid w:val="003927F4"/>
    <w:rsid w:val="003928D8"/>
    <w:rsid w:val="0039320B"/>
    <w:rsid w:val="00395158"/>
    <w:rsid w:val="0039571F"/>
    <w:rsid w:val="003A0E38"/>
    <w:rsid w:val="003A24FA"/>
    <w:rsid w:val="003A2645"/>
    <w:rsid w:val="003A26C9"/>
    <w:rsid w:val="003A2A4D"/>
    <w:rsid w:val="003A2B2B"/>
    <w:rsid w:val="003A46D3"/>
    <w:rsid w:val="003A4750"/>
    <w:rsid w:val="003A487D"/>
    <w:rsid w:val="003A4BEA"/>
    <w:rsid w:val="003A5AD5"/>
    <w:rsid w:val="003A66DA"/>
    <w:rsid w:val="003A7B76"/>
    <w:rsid w:val="003B00AF"/>
    <w:rsid w:val="003B0554"/>
    <w:rsid w:val="003B08B0"/>
    <w:rsid w:val="003B0E7D"/>
    <w:rsid w:val="003B2ACA"/>
    <w:rsid w:val="003B3E40"/>
    <w:rsid w:val="003B44D0"/>
    <w:rsid w:val="003B4F41"/>
    <w:rsid w:val="003B6ED2"/>
    <w:rsid w:val="003B74A6"/>
    <w:rsid w:val="003B7CFA"/>
    <w:rsid w:val="003C1009"/>
    <w:rsid w:val="003C134A"/>
    <w:rsid w:val="003C2B9D"/>
    <w:rsid w:val="003C30F3"/>
    <w:rsid w:val="003C3157"/>
    <w:rsid w:val="003C341F"/>
    <w:rsid w:val="003C3A01"/>
    <w:rsid w:val="003C42A3"/>
    <w:rsid w:val="003C43A7"/>
    <w:rsid w:val="003C4601"/>
    <w:rsid w:val="003C55AF"/>
    <w:rsid w:val="003C58AC"/>
    <w:rsid w:val="003C60E2"/>
    <w:rsid w:val="003C69C7"/>
    <w:rsid w:val="003C7188"/>
    <w:rsid w:val="003C7272"/>
    <w:rsid w:val="003C768F"/>
    <w:rsid w:val="003C7B2F"/>
    <w:rsid w:val="003D05D6"/>
    <w:rsid w:val="003D1D6A"/>
    <w:rsid w:val="003D2683"/>
    <w:rsid w:val="003D5922"/>
    <w:rsid w:val="003E1200"/>
    <w:rsid w:val="003E25DC"/>
    <w:rsid w:val="003E4113"/>
    <w:rsid w:val="003E558E"/>
    <w:rsid w:val="003E602B"/>
    <w:rsid w:val="003E6305"/>
    <w:rsid w:val="003F092F"/>
    <w:rsid w:val="003F2087"/>
    <w:rsid w:val="003F2495"/>
    <w:rsid w:val="003F3E81"/>
    <w:rsid w:val="003F56E8"/>
    <w:rsid w:val="003F5A8C"/>
    <w:rsid w:val="003F5E04"/>
    <w:rsid w:val="003F656C"/>
    <w:rsid w:val="003F69E9"/>
    <w:rsid w:val="003F6F66"/>
    <w:rsid w:val="00400520"/>
    <w:rsid w:val="00402031"/>
    <w:rsid w:val="004025EC"/>
    <w:rsid w:val="00405429"/>
    <w:rsid w:val="00405F11"/>
    <w:rsid w:val="0040639B"/>
    <w:rsid w:val="00406ED8"/>
    <w:rsid w:val="004072A7"/>
    <w:rsid w:val="00407386"/>
    <w:rsid w:val="00411D74"/>
    <w:rsid w:val="004125CB"/>
    <w:rsid w:val="0041336D"/>
    <w:rsid w:val="00416128"/>
    <w:rsid w:val="004164A2"/>
    <w:rsid w:val="0041678B"/>
    <w:rsid w:val="00416F35"/>
    <w:rsid w:val="00422A6C"/>
    <w:rsid w:val="00422BB5"/>
    <w:rsid w:val="00422BCB"/>
    <w:rsid w:val="00425C85"/>
    <w:rsid w:val="00427C1C"/>
    <w:rsid w:val="004305EA"/>
    <w:rsid w:val="00430C40"/>
    <w:rsid w:val="0043193D"/>
    <w:rsid w:val="00431E38"/>
    <w:rsid w:val="0043376E"/>
    <w:rsid w:val="0043444C"/>
    <w:rsid w:val="00434950"/>
    <w:rsid w:val="00435117"/>
    <w:rsid w:val="00436E0C"/>
    <w:rsid w:val="0043719C"/>
    <w:rsid w:val="004438E3"/>
    <w:rsid w:val="00445655"/>
    <w:rsid w:val="00446476"/>
    <w:rsid w:val="0044655E"/>
    <w:rsid w:val="00447B92"/>
    <w:rsid w:val="00453184"/>
    <w:rsid w:val="00453207"/>
    <w:rsid w:val="00453F5A"/>
    <w:rsid w:val="00454361"/>
    <w:rsid w:val="00454ED5"/>
    <w:rsid w:val="00454F0F"/>
    <w:rsid w:val="004557D7"/>
    <w:rsid w:val="00456866"/>
    <w:rsid w:val="00457B99"/>
    <w:rsid w:val="00460318"/>
    <w:rsid w:val="0046048D"/>
    <w:rsid w:val="0046319D"/>
    <w:rsid w:val="004643A6"/>
    <w:rsid w:val="00465FFE"/>
    <w:rsid w:val="00467CA0"/>
    <w:rsid w:val="00470FC4"/>
    <w:rsid w:val="0047105F"/>
    <w:rsid w:val="00472308"/>
    <w:rsid w:val="00472501"/>
    <w:rsid w:val="00472A21"/>
    <w:rsid w:val="00474956"/>
    <w:rsid w:val="00475035"/>
    <w:rsid w:val="00475796"/>
    <w:rsid w:val="004763FB"/>
    <w:rsid w:val="00476D24"/>
    <w:rsid w:val="00477313"/>
    <w:rsid w:val="00477842"/>
    <w:rsid w:val="00480998"/>
    <w:rsid w:val="00482024"/>
    <w:rsid w:val="00482D97"/>
    <w:rsid w:val="00482DD5"/>
    <w:rsid w:val="00484E9D"/>
    <w:rsid w:val="00486ED6"/>
    <w:rsid w:val="00487521"/>
    <w:rsid w:val="00490E46"/>
    <w:rsid w:val="00491D6F"/>
    <w:rsid w:val="0049242B"/>
    <w:rsid w:val="00492744"/>
    <w:rsid w:val="00492F26"/>
    <w:rsid w:val="004937B1"/>
    <w:rsid w:val="00495348"/>
    <w:rsid w:val="00495635"/>
    <w:rsid w:val="004A05F0"/>
    <w:rsid w:val="004A0C2A"/>
    <w:rsid w:val="004A0EC9"/>
    <w:rsid w:val="004A2006"/>
    <w:rsid w:val="004A20F3"/>
    <w:rsid w:val="004A251C"/>
    <w:rsid w:val="004A2ECD"/>
    <w:rsid w:val="004A5ECB"/>
    <w:rsid w:val="004A673B"/>
    <w:rsid w:val="004A7021"/>
    <w:rsid w:val="004A7F7C"/>
    <w:rsid w:val="004B2135"/>
    <w:rsid w:val="004B26D5"/>
    <w:rsid w:val="004B2A98"/>
    <w:rsid w:val="004B44B1"/>
    <w:rsid w:val="004B5D39"/>
    <w:rsid w:val="004B6255"/>
    <w:rsid w:val="004B6A10"/>
    <w:rsid w:val="004B6F68"/>
    <w:rsid w:val="004B7759"/>
    <w:rsid w:val="004C0375"/>
    <w:rsid w:val="004C05FF"/>
    <w:rsid w:val="004C166B"/>
    <w:rsid w:val="004C1DB1"/>
    <w:rsid w:val="004C2A89"/>
    <w:rsid w:val="004C3BF4"/>
    <w:rsid w:val="004C3E3F"/>
    <w:rsid w:val="004C40DF"/>
    <w:rsid w:val="004C4230"/>
    <w:rsid w:val="004C5C5F"/>
    <w:rsid w:val="004C6407"/>
    <w:rsid w:val="004D2947"/>
    <w:rsid w:val="004D2B3B"/>
    <w:rsid w:val="004D45F6"/>
    <w:rsid w:val="004D49A4"/>
    <w:rsid w:val="004D568A"/>
    <w:rsid w:val="004D693B"/>
    <w:rsid w:val="004D6FF8"/>
    <w:rsid w:val="004D740F"/>
    <w:rsid w:val="004D76E6"/>
    <w:rsid w:val="004D7E90"/>
    <w:rsid w:val="004D7FE8"/>
    <w:rsid w:val="004E120E"/>
    <w:rsid w:val="004E1606"/>
    <w:rsid w:val="004E1827"/>
    <w:rsid w:val="004E2F40"/>
    <w:rsid w:val="004E3786"/>
    <w:rsid w:val="004E4144"/>
    <w:rsid w:val="004E4254"/>
    <w:rsid w:val="004E44A1"/>
    <w:rsid w:val="004E47E7"/>
    <w:rsid w:val="004E6612"/>
    <w:rsid w:val="004E770E"/>
    <w:rsid w:val="004E7846"/>
    <w:rsid w:val="004F0F91"/>
    <w:rsid w:val="004F1E87"/>
    <w:rsid w:val="004F25F0"/>
    <w:rsid w:val="004F5C8D"/>
    <w:rsid w:val="005008FB"/>
    <w:rsid w:val="0050172A"/>
    <w:rsid w:val="005022B3"/>
    <w:rsid w:val="0050308C"/>
    <w:rsid w:val="005033B7"/>
    <w:rsid w:val="00503DB0"/>
    <w:rsid w:val="00504D3D"/>
    <w:rsid w:val="00505B8A"/>
    <w:rsid w:val="00505D37"/>
    <w:rsid w:val="00506299"/>
    <w:rsid w:val="00507A7E"/>
    <w:rsid w:val="00510043"/>
    <w:rsid w:val="0051084B"/>
    <w:rsid w:val="00510F8C"/>
    <w:rsid w:val="00512428"/>
    <w:rsid w:val="00513C1F"/>
    <w:rsid w:val="005140CA"/>
    <w:rsid w:val="00514833"/>
    <w:rsid w:val="0051529F"/>
    <w:rsid w:val="00515F4D"/>
    <w:rsid w:val="0051633B"/>
    <w:rsid w:val="0051708A"/>
    <w:rsid w:val="005172ED"/>
    <w:rsid w:val="005219EA"/>
    <w:rsid w:val="005230D1"/>
    <w:rsid w:val="005236F0"/>
    <w:rsid w:val="00527877"/>
    <w:rsid w:val="0052796D"/>
    <w:rsid w:val="00530186"/>
    <w:rsid w:val="00531B62"/>
    <w:rsid w:val="00532132"/>
    <w:rsid w:val="005334F3"/>
    <w:rsid w:val="00534898"/>
    <w:rsid w:val="005348D3"/>
    <w:rsid w:val="00535A85"/>
    <w:rsid w:val="00535C7B"/>
    <w:rsid w:val="00535DCA"/>
    <w:rsid w:val="005360AF"/>
    <w:rsid w:val="00536522"/>
    <w:rsid w:val="00540F0A"/>
    <w:rsid w:val="0054196A"/>
    <w:rsid w:val="00542537"/>
    <w:rsid w:val="00542681"/>
    <w:rsid w:val="00542783"/>
    <w:rsid w:val="00542F50"/>
    <w:rsid w:val="00543164"/>
    <w:rsid w:val="00543222"/>
    <w:rsid w:val="005466FA"/>
    <w:rsid w:val="005479CC"/>
    <w:rsid w:val="00547BEE"/>
    <w:rsid w:val="00550E6F"/>
    <w:rsid w:val="0055122E"/>
    <w:rsid w:val="005513A8"/>
    <w:rsid w:val="0055214E"/>
    <w:rsid w:val="00553128"/>
    <w:rsid w:val="0055391D"/>
    <w:rsid w:val="005541B3"/>
    <w:rsid w:val="00554897"/>
    <w:rsid w:val="00555C21"/>
    <w:rsid w:val="0055716E"/>
    <w:rsid w:val="0055792C"/>
    <w:rsid w:val="00561744"/>
    <w:rsid w:val="005636EA"/>
    <w:rsid w:val="00563824"/>
    <w:rsid w:val="0056551A"/>
    <w:rsid w:val="005665B7"/>
    <w:rsid w:val="00566BD8"/>
    <w:rsid w:val="00567011"/>
    <w:rsid w:val="0056757F"/>
    <w:rsid w:val="00567B32"/>
    <w:rsid w:val="00570474"/>
    <w:rsid w:val="00570493"/>
    <w:rsid w:val="00570D50"/>
    <w:rsid w:val="0057139F"/>
    <w:rsid w:val="0057247F"/>
    <w:rsid w:val="005724A0"/>
    <w:rsid w:val="005734DE"/>
    <w:rsid w:val="00573CF0"/>
    <w:rsid w:val="00574235"/>
    <w:rsid w:val="00574D33"/>
    <w:rsid w:val="00575406"/>
    <w:rsid w:val="005769B6"/>
    <w:rsid w:val="00576F4A"/>
    <w:rsid w:val="00577F02"/>
    <w:rsid w:val="00582CCD"/>
    <w:rsid w:val="00583139"/>
    <w:rsid w:val="00583B3C"/>
    <w:rsid w:val="00584518"/>
    <w:rsid w:val="00585850"/>
    <w:rsid w:val="005865E8"/>
    <w:rsid w:val="00587AF4"/>
    <w:rsid w:val="00587DC0"/>
    <w:rsid w:val="00592E95"/>
    <w:rsid w:val="00595E30"/>
    <w:rsid w:val="005970B7"/>
    <w:rsid w:val="005A046E"/>
    <w:rsid w:val="005A0BAC"/>
    <w:rsid w:val="005A1276"/>
    <w:rsid w:val="005A1422"/>
    <w:rsid w:val="005A1905"/>
    <w:rsid w:val="005A28F9"/>
    <w:rsid w:val="005A3772"/>
    <w:rsid w:val="005A3E3B"/>
    <w:rsid w:val="005A4103"/>
    <w:rsid w:val="005A4743"/>
    <w:rsid w:val="005A5180"/>
    <w:rsid w:val="005A5F12"/>
    <w:rsid w:val="005A5F5F"/>
    <w:rsid w:val="005B0DBD"/>
    <w:rsid w:val="005B15FA"/>
    <w:rsid w:val="005B19B0"/>
    <w:rsid w:val="005B1AF4"/>
    <w:rsid w:val="005B2784"/>
    <w:rsid w:val="005B48D5"/>
    <w:rsid w:val="005B4D3E"/>
    <w:rsid w:val="005B55A5"/>
    <w:rsid w:val="005B63CF"/>
    <w:rsid w:val="005B63D7"/>
    <w:rsid w:val="005B657C"/>
    <w:rsid w:val="005B73EE"/>
    <w:rsid w:val="005C0029"/>
    <w:rsid w:val="005C002A"/>
    <w:rsid w:val="005C037E"/>
    <w:rsid w:val="005C0583"/>
    <w:rsid w:val="005C0693"/>
    <w:rsid w:val="005C072F"/>
    <w:rsid w:val="005C205D"/>
    <w:rsid w:val="005C26D7"/>
    <w:rsid w:val="005C3AE2"/>
    <w:rsid w:val="005C4342"/>
    <w:rsid w:val="005C435A"/>
    <w:rsid w:val="005C44F8"/>
    <w:rsid w:val="005C4B9A"/>
    <w:rsid w:val="005C4C79"/>
    <w:rsid w:val="005C5742"/>
    <w:rsid w:val="005C5E03"/>
    <w:rsid w:val="005C738A"/>
    <w:rsid w:val="005C7B3F"/>
    <w:rsid w:val="005C7F4F"/>
    <w:rsid w:val="005D0720"/>
    <w:rsid w:val="005D0D87"/>
    <w:rsid w:val="005D430D"/>
    <w:rsid w:val="005D46DC"/>
    <w:rsid w:val="005D53CD"/>
    <w:rsid w:val="005D5C0E"/>
    <w:rsid w:val="005D603E"/>
    <w:rsid w:val="005D65CB"/>
    <w:rsid w:val="005D6C68"/>
    <w:rsid w:val="005D764D"/>
    <w:rsid w:val="005E013E"/>
    <w:rsid w:val="005E1015"/>
    <w:rsid w:val="005E28C4"/>
    <w:rsid w:val="005E2BDD"/>
    <w:rsid w:val="005E398B"/>
    <w:rsid w:val="005E4249"/>
    <w:rsid w:val="005E65FF"/>
    <w:rsid w:val="005F1DE7"/>
    <w:rsid w:val="005F1E80"/>
    <w:rsid w:val="005F24D1"/>
    <w:rsid w:val="005F274E"/>
    <w:rsid w:val="005F3D61"/>
    <w:rsid w:val="005F43E0"/>
    <w:rsid w:val="005F4447"/>
    <w:rsid w:val="005F4C80"/>
    <w:rsid w:val="005F4EEA"/>
    <w:rsid w:val="005F59DD"/>
    <w:rsid w:val="005F6E30"/>
    <w:rsid w:val="005F738A"/>
    <w:rsid w:val="005F7C60"/>
    <w:rsid w:val="006001B7"/>
    <w:rsid w:val="006012B6"/>
    <w:rsid w:val="006022BB"/>
    <w:rsid w:val="006034B5"/>
    <w:rsid w:val="0060420A"/>
    <w:rsid w:val="00604E32"/>
    <w:rsid w:val="006055AF"/>
    <w:rsid w:val="00605913"/>
    <w:rsid w:val="006068FC"/>
    <w:rsid w:val="00607E3B"/>
    <w:rsid w:val="00610101"/>
    <w:rsid w:val="006109FC"/>
    <w:rsid w:val="00612B16"/>
    <w:rsid w:val="00617296"/>
    <w:rsid w:val="00617782"/>
    <w:rsid w:val="00620253"/>
    <w:rsid w:val="00623BBB"/>
    <w:rsid w:val="0062470A"/>
    <w:rsid w:val="00625341"/>
    <w:rsid w:val="0062606D"/>
    <w:rsid w:val="00626AB3"/>
    <w:rsid w:val="00627C66"/>
    <w:rsid w:val="00630CBD"/>
    <w:rsid w:val="0063133A"/>
    <w:rsid w:val="00632326"/>
    <w:rsid w:val="00632D41"/>
    <w:rsid w:val="00633723"/>
    <w:rsid w:val="00633B92"/>
    <w:rsid w:val="00634B17"/>
    <w:rsid w:val="00635272"/>
    <w:rsid w:val="00636EDD"/>
    <w:rsid w:val="0064005D"/>
    <w:rsid w:val="00640742"/>
    <w:rsid w:val="00640743"/>
    <w:rsid w:val="0064088F"/>
    <w:rsid w:val="00640895"/>
    <w:rsid w:val="00641ACE"/>
    <w:rsid w:val="00642360"/>
    <w:rsid w:val="00643F6F"/>
    <w:rsid w:val="006445B1"/>
    <w:rsid w:val="00644FCD"/>
    <w:rsid w:val="0064576D"/>
    <w:rsid w:val="006457B1"/>
    <w:rsid w:val="00646C66"/>
    <w:rsid w:val="00647023"/>
    <w:rsid w:val="00651DA3"/>
    <w:rsid w:val="00652097"/>
    <w:rsid w:val="00652379"/>
    <w:rsid w:val="0065308A"/>
    <w:rsid w:val="006531D8"/>
    <w:rsid w:val="0065387D"/>
    <w:rsid w:val="00653D1B"/>
    <w:rsid w:val="0065456C"/>
    <w:rsid w:val="006548B9"/>
    <w:rsid w:val="0065500B"/>
    <w:rsid w:val="006553C0"/>
    <w:rsid w:val="00660377"/>
    <w:rsid w:val="0066058C"/>
    <w:rsid w:val="00660649"/>
    <w:rsid w:val="0066119D"/>
    <w:rsid w:val="006617A8"/>
    <w:rsid w:val="00662023"/>
    <w:rsid w:val="00662F5B"/>
    <w:rsid w:val="00663463"/>
    <w:rsid w:val="00663489"/>
    <w:rsid w:val="006642EF"/>
    <w:rsid w:val="006647AB"/>
    <w:rsid w:val="006651FE"/>
    <w:rsid w:val="006659CE"/>
    <w:rsid w:val="0066628C"/>
    <w:rsid w:val="006664A3"/>
    <w:rsid w:val="006665AB"/>
    <w:rsid w:val="00673CAA"/>
    <w:rsid w:val="006758AB"/>
    <w:rsid w:val="00677185"/>
    <w:rsid w:val="00682796"/>
    <w:rsid w:val="00682EDC"/>
    <w:rsid w:val="006840E7"/>
    <w:rsid w:val="006841EF"/>
    <w:rsid w:val="0068433B"/>
    <w:rsid w:val="0068476C"/>
    <w:rsid w:val="00684FD5"/>
    <w:rsid w:val="00685F57"/>
    <w:rsid w:val="00687C2B"/>
    <w:rsid w:val="00692CFF"/>
    <w:rsid w:val="00694973"/>
    <w:rsid w:val="006959A8"/>
    <w:rsid w:val="00696A62"/>
    <w:rsid w:val="006A06B6"/>
    <w:rsid w:val="006A090D"/>
    <w:rsid w:val="006A1999"/>
    <w:rsid w:val="006A19BB"/>
    <w:rsid w:val="006A2E17"/>
    <w:rsid w:val="006A3A63"/>
    <w:rsid w:val="006A3F98"/>
    <w:rsid w:val="006A46A5"/>
    <w:rsid w:val="006A4816"/>
    <w:rsid w:val="006A60CC"/>
    <w:rsid w:val="006A61C8"/>
    <w:rsid w:val="006B0636"/>
    <w:rsid w:val="006B0739"/>
    <w:rsid w:val="006B09B1"/>
    <w:rsid w:val="006B232E"/>
    <w:rsid w:val="006B404F"/>
    <w:rsid w:val="006B535D"/>
    <w:rsid w:val="006B53BD"/>
    <w:rsid w:val="006C15E3"/>
    <w:rsid w:val="006C1F88"/>
    <w:rsid w:val="006C221A"/>
    <w:rsid w:val="006C3F95"/>
    <w:rsid w:val="006C425B"/>
    <w:rsid w:val="006C56F8"/>
    <w:rsid w:val="006C65F1"/>
    <w:rsid w:val="006C69D4"/>
    <w:rsid w:val="006C7162"/>
    <w:rsid w:val="006C731F"/>
    <w:rsid w:val="006C75F2"/>
    <w:rsid w:val="006C788F"/>
    <w:rsid w:val="006D45AA"/>
    <w:rsid w:val="006D4BD9"/>
    <w:rsid w:val="006D5324"/>
    <w:rsid w:val="006D5C42"/>
    <w:rsid w:val="006D6175"/>
    <w:rsid w:val="006D747C"/>
    <w:rsid w:val="006D763D"/>
    <w:rsid w:val="006E16B2"/>
    <w:rsid w:val="006E1761"/>
    <w:rsid w:val="006E1875"/>
    <w:rsid w:val="006E198A"/>
    <w:rsid w:val="006E1C34"/>
    <w:rsid w:val="006E5B04"/>
    <w:rsid w:val="006E7748"/>
    <w:rsid w:val="006E7968"/>
    <w:rsid w:val="006F15B4"/>
    <w:rsid w:val="006F17AA"/>
    <w:rsid w:val="006F3537"/>
    <w:rsid w:val="006F3A3B"/>
    <w:rsid w:val="006F3A8E"/>
    <w:rsid w:val="00700AE6"/>
    <w:rsid w:val="0070319F"/>
    <w:rsid w:val="0070352D"/>
    <w:rsid w:val="007044EB"/>
    <w:rsid w:val="00705B8A"/>
    <w:rsid w:val="00706E69"/>
    <w:rsid w:val="00710D97"/>
    <w:rsid w:val="00711878"/>
    <w:rsid w:val="00716457"/>
    <w:rsid w:val="0072030C"/>
    <w:rsid w:val="00720E6B"/>
    <w:rsid w:val="00721D83"/>
    <w:rsid w:val="007229C8"/>
    <w:rsid w:val="00723DC3"/>
    <w:rsid w:val="00724932"/>
    <w:rsid w:val="00724F8B"/>
    <w:rsid w:val="007255CB"/>
    <w:rsid w:val="00725F05"/>
    <w:rsid w:val="00726A42"/>
    <w:rsid w:val="00730037"/>
    <w:rsid w:val="00730C01"/>
    <w:rsid w:val="00730DFC"/>
    <w:rsid w:val="00732445"/>
    <w:rsid w:val="0073387B"/>
    <w:rsid w:val="00733B6E"/>
    <w:rsid w:val="007345DF"/>
    <w:rsid w:val="007378DA"/>
    <w:rsid w:val="0074027A"/>
    <w:rsid w:val="00744537"/>
    <w:rsid w:val="00745E23"/>
    <w:rsid w:val="007466E4"/>
    <w:rsid w:val="00747303"/>
    <w:rsid w:val="0075028A"/>
    <w:rsid w:val="007502EA"/>
    <w:rsid w:val="00750D30"/>
    <w:rsid w:val="00750E08"/>
    <w:rsid w:val="0075132F"/>
    <w:rsid w:val="007515DE"/>
    <w:rsid w:val="007520C2"/>
    <w:rsid w:val="00752E0C"/>
    <w:rsid w:val="007531E4"/>
    <w:rsid w:val="00755A13"/>
    <w:rsid w:val="007561EE"/>
    <w:rsid w:val="0075674B"/>
    <w:rsid w:val="00760BB0"/>
    <w:rsid w:val="00761DE0"/>
    <w:rsid w:val="00762A36"/>
    <w:rsid w:val="00762B13"/>
    <w:rsid w:val="007659BB"/>
    <w:rsid w:val="00766F05"/>
    <w:rsid w:val="0076705E"/>
    <w:rsid w:val="007707C0"/>
    <w:rsid w:val="0077092F"/>
    <w:rsid w:val="00770B93"/>
    <w:rsid w:val="0077103B"/>
    <w:rsid w:val="0077162D"/>
    <w:rsid w:val="007716AA"/>
    <w:rsid w:val="007729DB"/>
    <w:rsid w:val="00772BE2"/>
    <w:rsid w:val="00772EED"/>
    <w:rsid w:val="00774DF6"/>
    <w:rsid w:val="007752DA"/>
    <w:rsid w:val="00775DE1"/>
    <w:rsid w:val="00775DF0"/>
    <w:rsid w:val="007760A0"/>
    <w:rsid w:val="00780EEF"/>
    <w:rsid w:val="00781B9E"/>
    <w:rsid w:val="00782011"/>
    <w:rsid w:val="00782369"/>
    <w:rsid w:val="00783225"/>
    <w:rsid w:val="00783467"/>
    <w:rsid w:val="0078402B"/>
    <w:rsid w:val="00785D15"/>
    <w:rsid w:val="007870E9"/>
    <w:rsid w:val="00787582"/>
    <w:rsid w:val="0078797C"/>
    <w:rsid w:val="0079019C"/>
    <w:rsid w:val="00790B9E"/>
    <w:rsid w:val="007915B5"/>
    <w:rsid w:val="00792D54"/>
    <w:rsid w:val="00793817"/>
    <w:rsid w:val="00793921"/>
    <w:rsid w:val="00794011"/>
    <w:rsid w:val="0079509D"/>
    <w:rsid w:val="00796816"/>
    <w:rsid w:val="007A0150"/>
    <w:rsid w:val="007A0909"/>
    <w:rsid w:val="007A0A65"/>
    <w:rsid w:val="007A156C"/>
    <w:rsid w:val="007A25D3"/>
    <w:rsid w:val="007A260D"/>
    <w:rsid w:val="007A3A11"/>
    <w:rsid w:val="007A3AC4"/>
    <w:rsid w:val="007A4B01"/>
    <w:rsid w:val="007A7A42"/>
    <w:rsid w:val="007B17E1"/>
    <w:rsid w:val="007B3ADA"/>
    <w:rsid w:val="007B3B16"/>
    <w:rsid w:val="007B705F"/>
    <w:rsid w:val="007C096A"/>
    <w:rsid w:val="007C1348"/>
    <w:rsid w:val="007C1B6F"/>
    <w:rsid w:val="007C1D88"/>
    <w:rsid w:val="007C39F6"/>
    <w:rsid w:val="007C4037"/>
    <w:rsid w:val="007C56B1"/>
    <w:rsid w:val="007C5E17"/>
    <w:rsid w:val="007C5F2E"/>
    <w:rsid w:val="007C7B98"/>
    <w:rsid w:val="007D04C7"/>
    <w:rsid w:val="007D20D7"/>
    <w:rsid w:val="007D2697"/>
    <w:rsid w:val="007D2C88"/>
    <w:rsid w:val="007D3AB9"/>
    <w:rsid w:val="007D42B1"/>
    <w:rsid w:val="007D6D58"/>
    <w:rsid w:val="007D71FC"/>
    <w:rsid w:val="007E0D55"/>
    <w:rsid w:val="007E194B"/>
    <w:rsid w:val="007E1998"/>
    <w:rsid w:val="007E1DD6"/>
    <w:rsid w:val="007E2E31"/>
    <w:rsid w:val="007E366B"/>
    <w:rsid w:val="007E433B"/>
    <w:rsid w:val="007E5017"/>
    <w:rsid w:val="007E6BAC"/>
    <w:rsid w:val="007E728C"/>
    <w:rsid w:val="007E7CF8"/>
    <w:rsid w:val="007F02A7"/>
    <w:rsid w:val="007F03F7"/>
    <w:rsid w:val="007F0B4D"/>
    <w:rsid w:val="007F0F85"/>
    <w:rsid w:val="007F204C"/>
    <w:rsid w:val="007F3ED6"/>
    <w:rsid w:val="007F4620"/>
    <w:rsid w:val="007F6578"/>
    <w:rsid w:val="008008D9"/>
    <w:rsid w:val="00802040"/>
    <w:rsid w:val="008039A9"/>
    <w:rsid w:val="00812D36"/>
    <w:rsid w:val="00814010"/>
    <w:rsid w:val="00814829"/>
    <w:rsid w:val="00815857"/>
    <w:rsid w:val="008163A3"/>
    <w:rsid w:val="00820A94"/>
    <w:rsid w:val="00821A0B"/>
    <w:rsid w:val="00822E2D"/>
    <w:rsid w:val="008235F1"/>
    <w:rsid w:val="00824678"/>
    <w:rsid w:val="00825881"/>
    <w:rsid w:val="008261C2"/>
    <w:rsid w:val="0082632A"/>
    <w:rsid w:val="00826DFB"/>
    <w:rsid w:val="00827BCB"/>
    <w:rsid w:val="00831942"/>
    <w:rsid w:val="00831A4E"/>
    <w:rsid w:val="00832780"/>
    <w:rsid w:val="00832E6D"/>
    <w:rsid w:val="00832EF9"/>
    <w:rsid w:val="008333FC"/>
    <w:rsid w:val="00833688"/>
    <w:rsid w:val="0083386F"/>
    <w:rsid w:val="00833CA4"/>
    <w:rsid w:val="00834145"/>
    <w:rsid w:val="008345E1"/>
    <w:rsid w:val="0083630F"/>
    <w:rsid w:val="00836CCE"/>
    <w:rsid w:val="00836F25"/>
    <w:rsid w:val="0084105A"/>
    <w:rsid w:val="008411E5"/>
    <w:rsid w:val="0084343D"/>
    <w:rsid w:val="00843C7A"/>
    <w:rsid w:val="00844150"/>
    <w:rsid w:val="00844219"/>
    <w:rsid w:val="0084538D"/>
    <w:rsid w:val="008453F2"/>
    <w:rsid w:val="0084562B"/>
    <w:rsid w:val="00845939"/>
    <w:rsid w:val="008477F5"/>
    <w:rsid w:val="00850829"/>
    <w:rsid w:val="008517E4"/>
    <w:rsid w:val="00852B02"/>
    <w:rsid w:val="00853201"/>
    <w:rsid w:val="00853375"/>
    <w:rsid w:val="00855949"/>
    <w:rsid w:val="008560C5"/>
    <w:rsid w:val="00857B45"/>
    <w:rsid w:val="008601A3"/>
    <w:rsid w:val="00862060"/>
    <w:rsid w:val="00862735"/>
    <w:rsid w:val="008631E1"/>
    <w:rsid w:val="00863B65"/>
    <w:rsid w:val="00864ADE"/>
    <w:rsid w:val="00864B5B"/>
    <w:rsid w:val="00864D7D"/>
    <w:rsid w:val="008651B0"/>
    <w:rsid w:val="00865681"/>
    <w:rsid w:val="008662B7"/>
    <w:rsid w:val="00866A62"/>
    <w:rsid w:val="0086756F"/>
    <w:rsid w:val="00867F09"/>
    <w:rsid w:val="00870521"/>
    <w:rsid w:val="0087161B"/>
    <w:rsid w:val="00871EA5"/>
    <w:rsid w:val="0087225E"/>
    <w:rsid w:val="00872541"/>
    <w:rsid w:val="00872F1A"/>
    <w:rsid w:val="00873966"/>
    <w:rsid w:val="00873B3C"/>
    <w:rsid w:val="00873CDA"/>
    <w:rsid w:val="00873F12"/>
    <w:rsid w:val="00875187"/>
    <w:rsid w:val="00877118"/>
    <w:rsid w:val="00877EDD"/>
    <w:rsid w:val="00880944"/>
    <w:rsid w:val="008814E4"/>
    <w:rsid w:val="0088282C"/>
    <w:rsid w:val="00882EB9"/>
    <w:rsid w:val="00882F3E"/>
    <w:rsid w:val="008833D5"/>
    <w:rsid w:val="0088463A"/>
    <w:rsid w:val="008852CD"/>
    <w:rsid w:val="008863C7"/>
    <w:rsid w:val="00887FF0"/>
    <w:rsid w:val="00891BCE"/>
    <w:rsid w:val="00893EB0"/>
    <w:rsid w:val="008953DA"/>
    <w:rsid w:val="008A04C6"/>
    <w:rsid w:val="008A07AE"/>
    <w:rsid w:val="008A08D1"/>
    <w:rsid w:val="008A09F3"/>
    <w:rsid w:val="008A1B47"/>
    <w:rsid w:val="008A2EAC"/>
    <w:rsid w:val="008A3C88"/>
    <w:rsid w:val="008A3EBA"/>
    <w:rsid w:val="008A4B91"/>
    <w:rsid w:val="008A4E0C"/>
    <w:rsid w:val="008A4F7E"/>
    <w:rsid w:val="008A6B57"/>
    <w:rsid w:val="008A7466"/>
    <w:rsid w:val="008A7BA6"/>
    <w:rsid w:val="008A7CDD"/>
    <w:rsid w:val="008B06EB"/>
    <w:rsid w:val="008B30A6"/>
    <w:rsid w:val="008B3867"/>
    <w:rsid w:val="008B4CA6"/>
    <w:rsid w:val="008B4DF8"/>
    <w:rsid w:val="008B5AFE"/>
    <w:rsid w:val="008B5B00"/>
    <w:rsid w:val="008B62D5"/>
    <w:rsid w:val="008B6F1C"/>
    <w:rsid w:val="008B7424"/>
    <w:rsid w:val="008C080A"/>
    <w:rsid w:val="008C2E94"/>
    <w:rsid w:val="008C3147"/>
    <w:rsid w:val="008C40F3"/>
    <w:rsid w:val="008C41E7"/>
    <w:rsid w:val="008C45E5"/>
    <w:rsid w:val="008C47F4"/>
    <w:rsid w:val="008C49F4"/>
    <w:rsid w:val="008C52EF"/>
    <w:rsid w:val="008C53D0"/>
    <w:rsid w:val="008C60CD"/>
    <w:rsid w:val="008C62AC"/>
    <w:rsid w:val="008D064C"/>
    <w:rsid w:val="008D27F3"/>
    <w:rsid w:val="008D2B90"/>
    <w:rsid w:val="008D2D8F"/>
    <w:rsid w:val="008D32B6"/>
    <w:rsid w:val="008D7E2C"/>
    <w:rsid w:val="008E0039"/>
    <w:rsid w:val="008E0701"/>
    <w:rsid w:val="008E078E"/>
    <w:rsid w:val="008E0915"/>
    <w:rsid w:val="008E1BA6"/>
    <w:rsid w:val="008E253A"/>
    <w:rsid w:val="008E26B1"/>
    <w:rsid w:val="008E2B49"/>
    <w:rsid w:val="008E5A5F"/>
    <w:rsid w:val="008E5FFA"/>
    <w:rsid w:val="008E63F2"/>
    <w:rsid w:val="008E6BF8"/>
    <w:rsid w:val="008E6EFC"/>
    <w:rsid w:val="008F09DA"/>
    <w:rsid w:val="008F6014"/>
    <w:rsid w:val="008F6189"/>
    <w:rsid w:val="008F6321"/>
    <w:rsid w:val="008F758F"/>
    <w:rsid w:val="008F7829"/>
    <w:rsid w:val="008F7C44"/>
    <w:rsid w:val="008F7DF2"/>
    <w:rsid w:val="0090023D"/>
    <w:rsid w:val="00901004"/>
    <w:rsid w:val="009026E3"/>
    <w:rsid w:val="00902DEA"/>
    <w:rsid w:val="009031B5"/>
    <w:rsid w:val="00904071"/>
    <w:rsid w:val="00904D87"/>
    <w:rsid w:val="00906EB8"/>
    <w:rsid w:val="00907020"/>
    <w:rsid w:val="009077F6"/>
    <w:rsid w:val="00907A08"/>
    <w:rsid w:val="009102BF"/>
    <w:rsid w:val="009120D9"/>
    <w:rsid w:val="009159C9"/>
    <w:rsid w:val="0091657A"/>
    <w:rsid w:val="00921F14"/>
    <w:rsid w:val="00922294"/>
    <w:rsid w:val="0092277C"/>
    <w:rsid w:val="00922CD5"/>
    <w:rsid w:val="00922DA6"/>
    <w:rsid w:val="009230ED"/>
    <w:rsid w:val="00923371"/>
    <w:rsid w:val="00923C0F"/>
    <w:rsid w:val="00924339"/>
    <w:rsid w:val="009247BC"/>
    <w:rsid w:val="0092498C"/>
    <w:rsid w:val="00924C4F"/>
    <w:rsid w:val="00924D98"/>
    <w:rsid w:val="00927AD7"/>
    <w:rsid w:val="009310A5"/>
    <w:rsid w:val="00931AA2"/>
    <w:rsid w:val="00931D10"/>
    <w:rsid w:val="009338B3"/>
    <w:rsid w:val="00934316"/>
    <w:rsid w:val="009367AB"/>
    <w:rsid w:val="00936944"/>
    <w:rsid w:val="00937628"/>
    <w:rsid w:val="0093775A"/>
    <w:rsid w:val="009377E8"/>
    <w:rsid w:val="0093797F"/>
    <w:rsid w:val="00942859"/>
    <w:rsid w:val="009460D6"/>
    <w:rsid w:val="00946A7A"/>
    <w:rsid w:val="00946F82"/>
    <w:rsid w:val="0094700B"/>
    <w:rsid w:val="00950CDE"/>
    <w:rsid w:val="00951584"/>
    <w:rsid w:val="00951969"/>
    <w:rsid w:val="00951B28"/>
    <w:rsid w:val="00953667"/>
    <w:rsid w:val="0095373D"/>
    <w:rsid w:val="00955A99"/>
    <w:rsid w:val="00956CAE"/>
    <w:rsid w:val="009571C0"/>
    <w:rsid w:val="00957B5F"/>
    <w:rsid w:val="00963AC5"/>
    <w:rsid w:val="00964B86"/>
    <w:rsid w:val="00965566"/>
    <w:rsid w:val="00965F7F"/>
    <w:rsid w:val="009676D3"/>
    <w:rsid w:val="00967C24"/>
    <w:rsid w:val="009704F3"/>
    <w:rsid w:val="009712A4"/>
    <w:rsid w:val="0097194F"/>
    <w:rsid w:val="0097260E"/>
    <w:rsid w:val="00972E11"/>
    <w:rsid w:val="009735B8"/>
    <w:rsid w:val="00975938"/>
    <w:rsid w:val="00975B0E"/>
    <w:rsid w:val="00980848"/>
    <w:rsid w:val="009808FB"/>
    <w:rsid w:val="00980DEE"/>
    <w:rsid w:val="00981E4B"/>
    <w:rsid w:val="0098224D"/>
    <w:rsid w:val="00982CD3"/>
    <w:rsid w:val="009859A5"/>
    <w:rsid w:val="009866DD"/>
    <w:rsid w:val="00986C52"/>
    <w:rsid w:val="00986FAE"/>
    <w:rsid w:val="00987BB2"/>
    <w:rsid w:val="00991F30"/>
    <w:rsid w:val="00993817"/>
    <w:rsid w:val="00993E24"/>
    <w:rsid w:val="009A09CC"/>
    <w:rsid w:val="009A1594"/>
    <w:rsid w:val="009A312D"/>
    <w:rsid w:val="009A392A"/>
    <w:rsid w:val="009A3C18"/>
    <w:rsid w:val="009A4A8E"/>
    <w:rsid w:val="009A5273"/>
    <w:rsid w:val="009A74E3"/>
    <w:rsid w:val="009B149B"/>
    <w:rsid w:val="009B153E"/>
    <w:rsid w:val="009B16D0"/>
    <w:rsid w:val="009B260E"/>
    <w:rsid w:val="009B3539"/>
    <w:rsid w:val="009B37A1"/>
    <w:rsid w:val="009B3DD1"/>
    <w:rsid w:val="009B57ED"/>
    <w:rsid w:val="009B58BF"/>
    <w:rsid w:val="009B5CF6"/>
    <w:rsid w:val="009B6370"/>
    <w:rsid w:val="009B68BC"/>
    <w:rsid w:val="009B78CD"/>
    <w:rsid w:val="009C00FE"/>
    <w:rsid w:val="009C1789"/>
    <w:rsid w:val="009C224E"/>
    <w:rsid w:val="009C3C0D"/>
    <w:rsid w:val="009C3EE6"/>
    <w:rsid w:val="009C5B2B"/>
    <w:rsid w:val="009C7B12"/>
    <w:rsid w:val="009D0A7A"/>
    <w:rsid w:val="009D1FA4"/>
    <w:rsid w:val="009D29E3"/>
    <w:rsid w:val="009D3446"/>
    <w:rsid w:val="009D559F"/>
    <w:rsid w:val="009D5A34"/>
    <w:rsid w:val="009D679D"/>
    <w:rsid w:val="009D77D2"/>
    <w:rsid w:val="009D7966"/>
    <w:rsid w:val="009E0338"/>
    <w:rsid w:val="009E152B"/>
    <w:rsid w:val="009E1E8F"/>
    <w:rsid w:val="009E27FE"/>
    <w:rsid w:val="009E2F41"/>
    <w:rsid w:val="009E3AAB"/>
    <w:rsid w:val="009E57E1"/>
    <w:rsid w:val="009E5B69"/>
    <w:rsid w:val="009E6586"/>
    <w:rsid w:val="009E6B76"/>
    <w:rsid w:val="009E725C"/>
    <w:rsid w:val="009E7874"/>
    <w:rsid w:val="009F05D7"/>
    <w:rsid w:val="009F20CF"/>
    <w:rsid w:val="009F2906"/>
    <w:rsid w:val="009F3A86"/>
    <w:rsid w:val="009F4AB2"/>
    <w:rsid w:val="009F5E8D"/>
    <w:rsid w:val="009F7369"/>
    <w:rsid w:val="00A00729"/>
    <w:rsid w:val="00A020E9"/>
    <w:rsid w:val="00A03A19"/>
    <w:rsid w:val="00A04CBA"/>
    <w:rsid w:val="00A05AE3"/>
    <w:rsid w:val="00A06722"/>
    <w:rsid w:val="00A06BE5"/>
    <w:rsid w:val="00A06E2C"/>
    <w:rsid w:val="00A079AE"/>
    <w:rsid w:val="00A10086"/>
    <w:rsid w:val="00A10827"/>
    <w:rsid w:val="00A10E56"/>
    <w:rsid w:val="00A11AD0"/>
    <w:rsid w:val="00A11B2F"/>
    <w:rsid w:val="00A131E2"/>
    <w:rsid w:val="00A13659"/>
    <w:rsid w:val="00A13B39"/>
    <w:rsid w:val="00A14E85"/>
    <w:rsid w:val="00A16FEF"/>
    <w:rsid w:val="00A20C12"/>
    <w:rsid w:val="00A20EA2"/>
    <w:rsid w:val="00A22336"/>
    <w:rsid w:val="00A23529"/>
    <w:rsid w:val="00A23AE5"/>
    <w:rsid w:val="00A25272"/>
    <w:rsid w:val="00A253D5"/>
    <w:rsid w:val="00A25BFD"/>
    <w:rsid w:val="00A275C5"/>
    <w:rsid w:val="00A33C46"/>
    <w:rsid w:val="00A33FEF"/>
    <w:rsid w:val="00A3588F"/>
    <w:rsid w:val="00A378DF"/>
    <w:rsid w:val="00A40CED"/>
    <w:rsid w:val="00A40DA0"/>
    <w:rsid w:val="00A411C7"/>
    <w:rsid w:val="00A42ED6"/>
    <w:rsid w:val="00A43AF0"/>
    <w:rsid w:val="00A445DC"/>
    <w:rsid w:val="00A452F9"/>
    <w:rsid w:val="00A453A8"/>
    <w:rsid w:val="00A466E0"/>
    <w:rsid w:val="00A509E5"/>
    <w:rsid w:val="00A50ED6"/>
    <w:rsid w:val="00A514C8"/>
    <w:rsid w:val="00A52FCC"/>
    <w:rsid w:val="00A53EE1"/>
    <w:rsid w:val="00A55145"/>
    <w:rsid w:val="00A615C6"/>
    <w:rsid w:val="00A61952"/>
    <w:rsid w:val="00A619CA"/>
    <w:rsid w:val="00A625B3"/>
    <w:rsid w:val="00A63319"/>
    <w:rsid w:val="00A64FDD"/>
    <w:rsid w:val="00A662D1"/>
    <w:rsid w:val="00A674FA"/>
    <w:rsid w:val="00A71A10"/>
    <w:rsid w:val="00A72603"/>
    <w:rsid w:val="00A72E03"/>
    <w:rsid w:val="00A75237"/>
    <w:rsid w:val="00A75558"/>
    <w:rsid w:val="00A75BC7"/>
    <w:rsid w:val="00A762E1"/>
    <w:rsid w:val="00A76A92"/>
    <w:rsid w:val="00A76C73"/>
    <w:rsid w:val="00A76E08"/>
    <w:rsid w:val="00A76F41"/>
    <w:rsid w:val="00A7702F"/>
    <w:rsid w:val="00A77AB0"/>
    <w:rsid w:val="00A81593"/>
    <w:rsid w:val="00A81A1A"/>
    <w:rsid w:val="00A83D8D"/>
    <w:rsid w:val="00A85087"/>
    <w:rsid w:val="00A85713"/>
    <w:rsid w:val="00A85B55"/>
    <w:rsid w:val="00A860D7"/>
    <w:rsid w:val="00A90751"/>
    <w:rsid w:val="00A90AD5"/>
    <w:rsid w:val="00A90C68"/>
    <w:rsid w:val="00A90CED"/>
    <w:rsid w:val="00A914A5"/>
    <w:rsid w:val="00A92414"/>
    <w:rsid w:val="00A9285F"/>
    <w:rsid w:val="00A92B18"/>
    <w:rsid w:val="00A95130"/>
    <w:rsid w:val="00A955A3"/>
    <w:rsid w:val="00A955C2"/>
    <w:rsid w:val="00A960D5"/>
    <w:rsid w:val="00A96AF3"/>
    <w:rsid w:val="00A96D66"/>
    <w:rsid w:val="00AA3CD5"/>
    <w:rsid w:val="00AA40AB"/>
    <w:rsid w:val="00AA5DE5"/>
    <w:rsid w:val="00AA5FC9"/>
    <w:rsid w:val="00AB0885"/>
    <w:rsid w:val="00AB098E"/>
    <w:rsid w:val="00AB2430"/>
    <w:rsid w:val="00AB2976"/>
    <w:rsid w:val="00AB3926"/>
    <w:rsid w:val="00AB3956"/>
    <w:rsid w:val="00AB417F"/>
    <w:rsid w:val="00AB4DDF"/>
    <w:rsid w:val="00AB50B7"/>
    <w:rsid w:val="00AB61F8"/>
    <w:rsid w:val="00AB70DF"/>
    <w:rsid w:val="00AB73D7"/>
    <w:rsid w:val="00AC14C7"/>
    <w:rsid w:val="00AC1D05"/>
    <w:rsid w:val="00AC1DA5"/>
    <w:rsid w:val="00AC2659"/>
    <w:rsid w:val="00AC2F03"/>
    <w:rsid w:val="00AC4F96"/>
    <w:rsid w:val="00AC6528"/>
    <w:rsid w:val="00AC6A46"/>
    <w:rsid w:val="00AC73D9"/>
    <w:rsid w:val="00AD1CCD"/>
    <w:rsid w:val="00AD2560"/>
    <w:rsid w:val="00AD2F83"/>
    <w:rsid w:val="00AD39E8"/>
    <w:rsid w:val="00AD4CF9"/>
    <w:rsid w:val="00AD4F03"/>
    <w:rsid w:val="00AD65D3"/>
    <w:rsid w:val="00AD7BBA"/>
    <w:rsid w:val="00AE1987"/>
    <w:rsid w:val="00AE1F7B"/>
    <w:rsid w:val="00AE21E7"/>
    <w:rsid w:val="00AE22C3"/>
    <w:rsid w:val="00AE2917"/>
    <w:rsid w:val="00AE2E8F"/>
    <w:rsid w:val="00AE3FD6"/>
    <w:rsid w:val="00AE583E"/>
    <w:rsid w:val="00AE61A7"/>
    <w:rsid w:val="00AE75A2"/>
    <w:rsid w:val="00AE794B"/>
    <w:rsid w:val="00AE7C37"/>
    <w:rsid w:val="00AF020B"/>
    <w:rsid w:val="00AF112F"/>
    <w:rsid w:val="00AF2280"/>
    <w:rsid w:val="00AF23D8"/>
    <w:rsid w:val="00AF2D26"/>
    <w:rsid w:val="00AF32EF"/>
    <w:rsid w:val="00AF4804"/>
    <w:rsid w:val="00AF5306"/>
    <w:rsid w:val="00AF56DE"/>
    <w:rsid w:val="00AF5D91"/>
    <w:rsid w:val="00AF6B5C"/>
    <w:rsid w:val="00B0225B"/>
    <w:rsid w:val="00B02AA4"/>
    <w:rsid w:val="00B03F54"/>
    <w:rsid w:val="00B04954"/>
    <w:rsid w:val="00B060EB"/>
    <w:rsid w:val="00B0736A"/>
    <w:rsid w:val="00B1012D"/>
    <w:rsid w:val="00B108A3"/>
    <w:rsid w:val="00B11335"/>
    <w:rsid w:val="00B11EB9"/>
    <w:rsid w:val="00B13A9F"/>
    <w:rsid w:val="00B14130"/>
    <w:rsid w:val="00B148ED"/>
    <w:rsid w:val="00B14D3F"/>
    <w:rsid w:val="00B14ED8"/>
    <w:rsid w:val="00B164C5"/>
    <w:rsid w:val="00B17256"/>
    <w:rsid w:val="00B17B7D"/>
    <w:rsid w:val="00B17EAB"/>
    <w:rsid w:val="00B21C8C"/>
    <w:rsid w:val="00B220E0"/>
    <w:rsid w:val="00B2328A"/>
    <w:rsid w:val="00B23684"/>
    <w:rsid w:val="00B23D3E"/>
    <w:rsid w:val="00B252A9"/>
    <w:rsid w:val="00B25951"/>
    <w:rsid w:val="00B26306"/>
    <w:rsid w:val="00B26364"/>
    <w:rsid w:val="00B27388"/>
    <w:rsid w:val="00B27F3F"/>
    <w:rsid w:val="00B30CCE"/>
    <w:rsid w:val="00B31514"/>
    <w:rsid w:val="00B325FE"/>
    <w:rsid w:val="00B33CEF"/>
    <w:rsid w:val="00B3739A"/>
    <w:rsid w:val="00B374A3"/>
    <w:rsid w:val="00B4033D"/>
    <w:rsid w:val="00B4106B"/>
    <w:rsid w:val="00B423DE"/>
    <w:rsid w:val="00B42E07"/>
    <w:rsid w:val="00B43C57"/>
    <w:rsid w:val="00B43D6D"/>
    <w:rsid w:val="00B44EE8"/>
    <w:rsid w:val="00B460C6"/>
    <w:rsid w:val="00B47F75"/>
    <w:rsid w:val="00B5022B"/>
    <w:rsid w:val="00B50A88"/>
    <w:rsid w:val="00B513EE"/>
    <w:rsid w:val="00B516D0"/>
    <w:rsid w:val="00B547FE"/>
    <w:rsid w:val="00B547FF"/>
    <w:rsid w:val="00B56049"/>
    <w:rsid w:val="00B576EC"/>
    <w:rsid w:val="00B57A62"/>
    <w:rsid w:val="00B57B72"/>
    <w:rsid w:val="00B60413"/>
    <w:rsid w:val="00B61826"/>
    <w:rsid w:val="00B619E4"/>
    <w:rsid w:val="00B626FE"/>
    <w:rsid w:val="00B62B6B"/>
    <w:rsid w:val="00B62C7E"/>
    <w:rsid w:val="00B64DF7"/>
    <w:rsid w:val="00B662A2"/>
    <w:rsid w:val="00B665BC"/>
    <w:rsid w:val="00B67D16"/>
    <w:rsid w:val="00B7250D"/>
    <w:rsid w:val="00B72B3F"/>
    <w:rsid w:val="00B73915"/>
    <w:rsid w:val="00B746D6"/>
    <w:rsid w:val="00B76ADA"/>
    <w:rsid w:val="00B76E08"/>
    <w:rsid w:val="00B76FE9"/>
    <w:rsid w:val="00B773BE"/>
    <w:rsid w:val="00B810C2"/>
    <w:rsid w:val="00B820CE"/>
    <w:rsid w:val="00B82505"/>
    <w:rsid w:val="00B8375F"/>
    <w:rsid w:val="00B840C4"/>
    <w:rsid w:val="00B85346"/>
    <w:rsid w:val="00B85D4E"/>
    <w:rsid w:val="00B87494"/>
    <w:rsid w:val="00B92A8D"/>
    <w:rsid w:val="00B95C77"/>
    <w:rsid w:val="00BA02F1"/>
    <w:rsid w:val="00BA0F81"/>
    <w:rsid w:val="00BA1DA6"/>
    <w:rsid w:val="00BA2CBE"/>
    <w:rsid w:val="00BA444E"/>
    <w:rsid w:val="00BA57A4"/>
    <w:rsid w:val="00BA7816"/>
    <w:rsid w:val="00BB0BA3"/>
    <w:rsid w:val="00BB234A"/>
    <w:rsid w:val="00BB2588"/>
    <w:rsid w:val="00BB2642"/>
    <w:rsid w:val="00BB2D5C"/>
    <w:rsid w:val="00BB344D"/>
    <w:rsid w:val="00BB3561"/>
    <w:rsid w:val="00BB39BF"/>
    <w:rsid w:val="00BC1BF4"/>
    <w:rsid w:val="00BC1EA0"/>
    <w:rsid w:val="00BC2D18"/>
    <w:rsid w:val="00BC327C"/>
    <w:rsid w:val="00BC36ED"/>
    <w:rsid w:val="00BC4391"/>
    <w:rsid w:val="00BC5040"/>
    <w:rsid w:val="00BC5FE5"/>
    <w:rsid w:val="00BC6A4B"/>
    <w:rsid w:val="00BC6CEE"/>
    <w:rsid w:val="00BD0168"/>
    <w:rsid w:val="00BD0378"/>
    <w:rsid w:val="00BD1CCD"/>
    <w:rsid w:val="00BD47B7"/>
    <w:rsid w:val="00BD4E5E"/>
    <w:rsid w:val="00BD6396"/>
    <w:rsid w:val="00BD68B9"/>
    <w:rsid w:val="00BD7536"/>
    <w:rsid w:val="00BE0966"/>
    <w:rsid w:val="00BE127E"/>
    <w:rsid w:val="00BE23EC"/>
    <w:rsid w:val="00BE2D9E"/>
    <w:rsid w:val="00BE2FE4"/>
    <w:rsid w:val="00BE4061"/>
    <w:rsid w:val="00BE5CBC"/>
    <w:rsid w:val="00BF151B"/>
    <w:rsid w:val="00BF1D07"/>
    <w:rsid w:val="00BF1DF1"/>
    <w:rsid w:val="00BF2A6C"/>
    <w:rsid w:val="00BF38BF"/>
    <w:rsid w:val="00BF3D3D"/>
    <w:rsid w:val="00BF43C8"/>
    <w:rsid w:val="00BF57C2"/>
    <w:rsid w:val="00BF59C4"/>
    <w:rsid w:val="00BF6CCF"/>
    <w:rsid w:val="00C00255"/>
    <w:rsid w:val="00C0053E"/>
    <w:rsid w:val="00C00A86"/>
    <w:rsid w:val="00C0239E"/>
    <w:rsid w:val="00C02CC8"/>
    <w:rsid w:val="00C03953"/>
    <w:rsid w:val="00C03ACB"/>
    <w:rsid w:val="00C04079"/>
    <w:rsid w:val="00C05E97"/>
    <w:rsid w:val="00C07D2D"/>
    <w:rsid w:val="00C10343"/>
    <w:rsid w:val="00C104AF"/>
    <w:rsid w:val="00C10647"/>
    <w:rsid w:val="00C1326D"/>
    <w:rsid w:val="00C13487"/>
    <w:rsid w:val="00C14E85"/>
    <w:rsid w:val="00C1579C"/>
    <w:rsid w:val="00C15CF6"/>
    <w:rsid w:val="00C2173D"/>
    <w:rsid w:val="00C230C0"/>
    <w:rsid w:val="00C231D1"/>
    <w:rsid w:val="00C24280"/>
    <w:rsid w:val="00C24355"/>
    <w:rsid w:val="00C24888"/>
    <w:rsid w:val="00C25404"/>
    <w:rsid w:val="00C260C6"/>
    <w:rsid w:val="00C26244"/>
    <w:rsid w:val="00C26669"/>
    <w:rsid w:val="00C26886"/>
    <w:rsid w:val="00C27608"/>
    <w:rsid w:val="00C3157B"/>
    <w:rsid w:val="00C31CF3"/>
    <w:rsid w:val="00C329DB"/>
    <w:rsid w:val="00C3366A"/>
    <w:rsid w:val="00C340BE"/>
    <w:rsid w:val="00C347BA"/>
    <w:rsid w:val="00C348DE"/>
    <w:rsid w:val="00C34D85"/>
    <w:rsid w:val="00C36B18"/>
    <w:rsid w:val="00C41A23"/>
    <w:rsid w:val="00C41C7A"/>
    <w:rsid w:val="00C420EF"/>
    <w:rsid w:val="00C4522B"/>
    <w:rsid w:val="00C45E69"/>
    <w:rsid w:val="00C4661A"/>
    <w:rsid w:val="00C4678A"/>
    <w:rsid w:val="00C467A6"/>
    <w:rsid w:val="00C468AB"/>
    <w:rsid w:val="00C47AE8"/>
    <w:rsid w:val="00C51FC5"/>
    <w:rsid w:val="00C53370"/>
    <w:rsid w:val="00C542F8"/>
    <w:rsid w:val="00C55457"/>
    <w:rsid w:val="00C5567A"/>
    <w:rsid w:val="00C56150"/>
    <w:rsid w:val="00C56172"/>
    <w:rsid w:val="00C6000F"/>
    <w:rsid w:val="00C6100B"/>
    <w:rsid w:val="00C612C5"/>
    <w:rsid w:val="00C622B9"/>
    <w:rsid w:val="00C63469"/>
    <w:rsid w:val="00C635EC"/>
    <w:rsid w:val="00C64269"/>
    <w:rsid w:val="00C64289"/>
    <w:rsid w:val="00C648E2"/>
    <w:rsid w:val="00C657BA"/>
    <w:rsid w:val="00C66C8A"/>
    <w:rsid w:val="00C66FF5"/>
    <w:rsid w:val="00C67559"/>
    <w:rsid w:val="00C705FF"/>
    <w:rsid w:val="00C71EB4"/>
    <w:rsid w:val="00C720D2"/>
    <w:rsid w:val="00C72F16"/>
    <w:rsid w:val="00C736F3"/>
    <w:rsid w:val="00C73B93"/>
    <w:rsid w:val="00C746F4"/>
    <w:rsid w:val="00C74BDF"/>
    <w:rsid w:val="00C750B8"/>
    <w:rsid w:val="00C75543"/>
    <w:rsid w:val="00C76C33"/>
    <w:rsid w:val="00C80001"/>
    <w:rsid w:val="00C813F6"/>
    <w:rsid w:val="00C83E1C"/>
    <w:rsid w:val="00C84759"/>
    <w:rsid w:val="00C856AC"/>
    <w:rsid w:val="00C86D78"/>
    <w:rsid w:val="00C908E0"/>
    <w:rsid w:val="00C9180A"/>
    <w:rsid w:val="00C92377"/>
    <w:rsid w:val="00C93193"/>
    <w:rsid w:val="00C938B1"/>
    <w:rsid w:val="00C93AE0"/>
    <w:rsid w:val="00C948DA"/>
    <w:rsid w:val="00C94C89"/>
    <w:rsid w:val="00C94F79"/>
    <w:rsid w:val="00C958B6"/>
    <w:rsid w:val="00C95C38"/>
    <w:rsid w:val="00C97690"/>
    <w:rsid w:val="00CA112D"/>
    <w:rsid w:val="00CA1621"/>
    <w:rsid w:val="00CA1BF4"/>
    <w:rsid w:val="00CA1D0D"/>
    <w:rsid w:val="00CA1E4D"/>
    <w:rsid w:val="00CA4C40"/>
    <w:rsid w:val="00CA4DF7"/>
    <w:rsid w:val="00CB05F1"/>
    <w:rsid w:val="00CB075D"/>
    <w:rsid w:val="00CB1258"/>
    <w:rsid w:val="00CB1D87"/>
    <w:rsid w:val="00CB266C"/>
    <w:rsid w:val="00CB5C55"/>
    <w:rsid w:val="00CB6B4D"/>
    <w:rsid w:val="00CB7AA8"/>
    <w:rsid w:val="00CC0239"/>
    <w:rsid w:val="00CC11A1"/>
    <w:rsid w:val="00CC204E"/>
    <w:rsid w:val="00CC2278"/>
    <w:rsid w:val="00CC34F2"/>
    <w:rsid w:val="00CC4059"/>
    <w:rsid w:val="00CC4ABE"/>
    <w:rsid w:val="00CC536C"/>
    <w:rsid w:val="00CC5D4B"/>
    <w:rsid w:val="00CC6E3D"/>
    <w:rsid w:val="00CD0273"/>
    <w:rsid w:val="00CD0AA4"/>
    <w:rsid w:val="00CD0E78"/>
    <w:rsid w:val="00CD0E99"/>
    <w:rsid w:val="00CD11A9"/>
    <w:rsid w:val="00CD142D"/>
    <w:rsid w:val="00CD1829"/>
    <w:rsid w:val="00CD342C"/>
    <w:rsid w:val="00CD511B"/>
    <w:rsid w:val="00CD5568"/>
    <w:rsid w:val="00CD5CE4"/>
    <w:rsid w:val="00CE05DD"/>
    <w:rsid w:val="00CE173E"/>
    <w:rsid w:val="00CE5D55"/>
    <w:rsid w:val="00CE76A1"/>
    <w:rsid w:val="00CE7F29"/>
    <w:rsid w:val="00CF28A3"/>
    <w:rsid w:val="00CF44CC"/>
    <w:rsid w:val="00CF5B07"/>
    <w:rsid w:val="00CF7824"/>
    <w:rsid w:val="00D0049B"/>
    <w:rsid w:val="00D00E8A"/>
    <w:rsid w:val="00D0438D"/>
    <w:rsid w:val="00D04BDB"/>
    <w:rsid w:val="00D0572C"/>
    <w:rsid w:val="00D058D8"/>
    <w:rsid w:val="00D06737"/>
    <w:rsid w:val="00D06F02"/>
    <w:rsid w:val="00D079E8"/>
    <w:rsid w:val="00D07D21"/>
    <w:rsid w:val="00D10A37"/>
    <w:rsid w:val="00D121FF"/>
    <w:rsid w:val="00D126C7"/>
    <w:rsid w:val="00D13E93"/>
    <w:rsid w:val="00D13FC9"/>
    <w:rsid w:val="00D14FBD"/>
    <w:rsid w:val="00D15CF2"/>
    <w:rsid w:val="00D16451"/>
    <w:rsid w:val="00D17458"/>
    <w:rsid w:val="00D177A4"/>
    <w:rsid w:val="00D177DE"/>
    <w:rsid w:val="00D17CD9"/>
    <w:rsid w:val="00D17F74"/>
    <w:rsid w:val="00D200DE"/>
    <w:rsid w:val="00D20365"/>
    <w:rsid w:val="00D20AEE"/>
    <w:rsid w:val="00D221F3"/>
    <w:rsid w:val="00D22738"/>
    <w:rsid w:val="00D230A7"/>
    <w:rsid w:val="00D24A6D"/>
    <w:rsid w:val="00D24ED1"/>
    <w:rsid w:val="00D254F1"/>
    <w:rsid w:val="00D27A62"/>
    <w:rsid w:val="00D3079B"/>
    <w:rsid w:val="00D310AC"/>
    <w:rsid w:val="00D315B9"/>
    <w:rsid w:val="00D318D4"/>
    <w:rsid w:val="00D321B7"/>
    <w:rsid w:val="00D3307F"/>
    <w:rsid w:val="00D332B5"/>
    <w:rsid w:val="00D341E2"/>
    <w:rsid w:val="00D35039"/>
    <w:rsid w:val="00D373B9"/>
    <w:rsid w:val="00D37ADF"/>
    <w:rsid w:val="00D37DA7"/>
    <w:rsid w:val="00D37FA4"/>
    <w:rsid w:val="00D40778"/>
    <w:rsid w:val="00D40DC3"/>
    <w:rsid w:val="00D42EB7"/>
    <w:rsid w:val="00D43E06"/>
    <w:rsid w:val="00D442AF"/>
    <w:rsid w:val="00D44755"/>
    <w:rsid w:val="00D4531E"/>
    <w:rsid w:val="00D45672"/>
    <w:rsid w:val="00D4575C"/>
    <w:rsid w:val="00D45AFE"/>
    <w:rsid w:val="00D462F3"/>
    <w:rsid w:val="00D46A73"/>
    <w:rsid w:val="00D46E20"/>
    <w:rsid w:val="00D470CA"/>
    <w:rsid w:val="00D50915"/>
    <w:rsid w:val="00D50A00"/>
    <w:rsid w:val="00D50C38"/>
    <w:rsid w:val="00D50D40"/>
    <w:rsid w:val="00D50E5F"/>
    <w:rsid w:val="00D50ED2"/>
    <w:rsid w:val="00D51436"/>
    <w:rsid w:val="00D52426"/>
    <w:rsid w:val="00D524EE"/>
    <w:rsid w:val="00D529EA"/>
    <w:rsid w:val="00D53017"/>
    <w:rsid w:val="00D54BB3"/>
    <w:rsid w:val="00D5538A"/>
    <w:rsid w:val="00D55564"/>
    <w:rsid w:val="00D55C60"/>
    <w:rsid w:val="00D5698B"/>
    <w:rsid w:val="00D57D5C"/>
    <w:rsid w:val="00D60067"/>
    <w:rsid w:val="00D605EE"/>
    <w:rsid w:val="00D60DAB"/>
    <w:rsid w:val="00D61BE5"/>
    <w:rsid w:val="00D62277"/>
    <w:rsid w:val="00D62DC7"/>
    <w:rsid w:val="00D712C9"/>
    <w:rsid w:val="00D7133E"/>
    <w:rsid w:val="00D71BE4"/>
    <w:rsid w:val="00D71F79"/>
    <w:rsid w:val="00D7248C"/>
    <w:rsid w:val="00D72926"/>
    <w:rsid w:val="00D756D5"/>
    <w:rsid w:val="00D7661D"/>
    <w:rsid w:val="00D76E2E"/>
    <w:rsid w:val="00D80C46"/>
    <w:rsid w:val="00D81800"/>
    <w:rsid w:val="00D81F95"/>
    <w:rsid w:val="00D822C9"/>
    <w:rsid w:val="00D83BE7"/>
    <w:rsid w:val="00D83E3B"/>
    <w:rsid w:val="00D849B8"/>
    <w:rsid w:val="00D87B25"/>
    <w:rsid w:val="00D9038F"/>
    <w:rsid w:val="00D9050E"/>
    <w:rsid w:val="00D90E1D"/>
    <w:rsid w:val="00D91755"/>
    <w:rsid w:val="00D91DA7"/>
    <w:rsid w:val="00D920DB"/>
    <w:rsid w:val="00D9305A"/>
    <w:rsid w:val="00D94966"/>
    <w:rsid w:val="00D94B47"/>
    <w:rsid w:val="00D9659B"/>
    <w:rsid w:val="00DA0778"/>
    <w:rsid w:val="00DA2A80"/>
    <w:rsid w:val="00DA30A0"/>
    <w:rsid w:val="00DA3F00"/>
    <w:rsid w:val="00DA447D"/>
    <w:rsid w:val="00DA4EF4"/>
    <w:rsid w:val="00DA554A"/>
    <w:rsid w:val="00DA63CD"/>
    <w:rsid w:val="00DB1796"/>
    <w:rsid w:val="00DB1836"/>
    <w:rsid w:val="00DB1CAC"/>
    <w:rsid w:val="00DB3123"/>
    <w:rsid w:val="00DB655E"/>
    <w:rsid w:val="00DB7F58"/>
    <w:rsid w:val="00DC06B4"/>
    <w:rsid w:val="00DC16C7"/>
    <w:rsid w:val="00DC16C8"/>
    <w:rsid w:val="00DC2315"/>
    <w:rsid w:val="00DC28BF"/>
    <w:rsid w:val="00DC36EB"/>
    <w:rsid w:val="00DC3ABC"/>
    <w:rsid w:val="00DC4E2B"/>
    <w:rsid w:val="00DC7A79"/>
    <w:rsid w:val="00DD022F"/>
    <w:rsid w:val="00DD02FE"/>
    <w:rsid w:val="00DD037C"/>
    <w:rsid w:val="00DD0A53"/>
    <w:rsid w:val="00DD0F36"/>
    <w:rsid w:val="00DD13DF"/>
    <w:rsid w:val="00DD2965"/>
    <w:rsid w:val="00DD310F"/>
    <w:rsid w:val="00DD4213"/>
    <w:rsid w:val="00DD5AB4"/>
    <w:rsid w:val="00DD5B6A"/>
    <w:rsid w:val="00DE07B3"/>
    <w:rsid w:val="00DE189D"/>
    <w:rsid w:val="00DE1DCC"/>
    <w:rsid w:val="00DE2440"/>
    <w:rsid w:val="00DE2F48"/>
    <w:rsid w:val="00DE3A04"/>
    <w:rsid w:val="00DE49B4"/>
    <w:rsid w:val="00DE4E1A"/>
    <w:rsid w:val="00DE50F9"/>
    <w:rsid w:val="00DE51DE"/>
    <w:rsid w:val="00DE536A"/>
    <w:rsid w:val="00DE5434"/>
    <w:rsid w:val="00DE7129"/>
    <w:rsid w:val="00DE71D2"/>
    <w:rsid w:val="00DE7A47"/>
    <w:rsid w:val="00DF1297"/>
    <w:rsid w:val="00DF3487"/>
    <w:rsid w:val="00DF3EAB"/>
    <w:rsid w:val="00DF4305"/>
    <w:rsid w:val="00DF4334"/>
    <w:rsid w:val="00DF4EAE"/>
    <w:rsid w:val="00DF7320"/>
    <w:rsid w:val="00DF75DE"/>
    <w:rsid w:val="00E00B40"/>
    <w:rsid w:val="00E01159"/>
    <w:rsid w:val="00E013CF"/>
    <w:rsid w:val="00E01EDF"/>
    <w:rsid w:val="00E0223F"/>
    <w:rsid w:val="00E02A0F"/>
    <w:rsid w:val="00E02BD7"/>
    <w:rsid w:val="00E02CFD"/>
    <w:rsid w:val="00E02EE3"/>
    <w:rsid w:val="00E03A82"/>
    <w:rsid w:val="00E06EA5"/>
    <w:rsid w:val="00E076B4"/>
    <w:rsid w:val="00E07EF6"/>
    <w:rsid w:val="00E10B8C"/>
    <w:rsid w:val="00E1118D"/>
    <w:rsid w:val="00E11494"/>
    <w:rsid w:val="00E121BC"/>
    <w:rsid w:val="00E13BA2"/>
    <w:rsid w:val="00E14129"/>
    <w:rsid w:val="00E14478"/>
    <w:rsid w:val="00E1545E"/>
    <w:rsid w:val="00E15F95"/>
    <w:rsid w:val="00E17399"/>
    <w:rsid w:val="00E17CBE"/>
    <w:rsid w:val="00E21614"/>
    <w:rsid w:val="00E217F1"/>
    <w:rsid w:val="00E218FA"/>
    <w:rsid w:val="00E21FE5"/>
    <w:rsid w:val="00E259C6"/>
    <w:rsid w:val="00E262E7"/>
    <w:rsid w:val="00E2697B"/>
    <w:rsid w:val="00E26B7C"/>
    <w:rsid w:val="00E26E4A"/>
    <w:rsid w:val="00E277D7"/>
    <w:rsid w:val="00E27DAC"/>
    <w:rsid w:val="00E3065F"/>
    <w:rsid w:val="00E3133F"/>
    <w:rsid w:val="00E33C97"/>
    <w:rsid w:val="00E3430D"/>
    <w:rsid w:val="00E37A4B"/>
    <w:rsid w:val="00E41853"/>
    <w:rsid w:val="00E41B35"/>
    <w:rsid w:val="00E44E7F"/>
    <w:rsid w:val="00E470F3"/>
    <w:rsid w:val="00E4754D"/>
    <w:rsid w:val="00E47A3A"/>
    <w:rsid w:val="00E50144"/>
    <w:rsid w:val="00E50F12"/>
    <w:rsid w:val="00E513F7"/>
    <w:rsid w:val="00E52D29"/>
    <w:rsid w:val="00E55B31"/>
    <w:rsid w:val="00E55F14"/>
    <w:rsid w:val="00E56B2F"/>
    <w:rsid w:val="00E57D46"/>
    <w:rsid w:val="00E57E99"/>
    <w:rsid w:val="00E60914"/>
    <w:rsid w:val="00E60B8E"/>
    <w:rsid w:val="00E6123A"/>
    <w:rsid w:val="00E63D5B"/>
    <w:rsid w:val="00E653FA"/>
    <w:rsid w:val="00E67AD1"/>
    <w:rsid w:val="00E67E6F"/>
    <w:rsid w:val="00E70086"/>
    <w:rsid w:val="00E70158"/>
    <w:rsid w:val="00E71C11"/>
    <w:rsid w:val="00E7364E"/>
    <w:rsid w:val="00E750B0"/>
    <w:rsid w:val="00E76A30"/>
    <w:rsid w:val="00E76B48"/>
    <w:rsid w:val="00E76DC5"/>
    <w:rsid w:val="00E77AAB"/>
    <w:rsid w:val="00E81AC1"/>
    <w:rsid w:val="00E8251F"/>
    <w:rsid w:val="00E8257B"/>
    <w:rsid w:val="00E82636"/>
    <w:rsid w:val="00E85379"/>
    <w:rsid w:val="00E85F4B"/>
    <w:rsid w:val="00E86B59"/>
    <w:rsid w:val="00E86CF4"/>
    <w:rsid w:val="00E86E9F"/>
    <w:rsid w:val="00E870D9"/>
    <w:rsid w:val="00E87EF0"/>
    <w:rsid w:val="00E91826"/>
    <w:rsid w:val="00E93B7C"/>
    <w:rsid w:val="00E95323"/>
    <w:rsid w:val="00E9662B"/>
    <w:rsid w:val="00E96F08"/>
    <w:rsid w:val="00E97760"/>
    <w:rsid w:val="00EA0073"/>
    <w:rsid w:val="00EA35EB"/>
    <w:rsid w:val="00EA7CAB"/>
    <w:rsid w:val="00EB00FD"/>
    <w:rsid w:val="00EB074A"/>
    <w:rsid w:val="00EB0CDA"/>
    <w:rsid w:val="00EB0CF6"/>
    <w:rsid w:val="00EB4E21"/>
    <w:rsid w:val="00EB610B"/>
    <w:rsid w:val="00EB6A84"/>
    <w:rsid w:val="00EB72FE"/>
    <w:rsid w:val="00EB7D08"/>
    <w:rsid w:val="00EC0233"/>
    <w:rsid w:val="00EC0FAF"/>
    <w:rsid w:val="00EC19B4"/>
    <w:rsid w:val="00EC1E8B"/>
    <w:rsid w:val="00EC435A"/>
    <w:rsid w:val="00EC4837"/>
    <w:rsid w:val="00EC5372"/>
    <w:rsid w:val="00EC53A2"/>
    <w:rsid w:val="00EC6053"/>
    <w:rsid w:val="00EC75DC"/>
    <w:rsid w:val="00ED08CA"/>
    <w:rsid w:val="00ED0B7D"/>
    <w:rsid w:val="00ED0C0C"/>
    <w:rsid w:val="00ED1F6F"/>
    <w:rsid w:val="00ED296A"/>
    <w:rsid w:val="00ED4700"/>
    <w:rsid w:val="00ED6285"/>
    <w:rsid w:val="00ED6930"/>
    <w:rsid w:val="00ED6B99"/>
    <w:rsid w:val="00EE2254"/>
    <w:rsid w:val="00EE231C"/>
    <w:rsid w:val="00EE265E"/>
    <w:rsid w:val="00EE419C"/>
    <w:rsid w:val="00EE57E8"/>
    <w:rsid w:val="00EE5F9E"/>
    <w:rsid w:val="00EE727A"/>
    <w:rsid w:val="00EF08A5"/>
    <w:rsid w:val="00EF1B01"/>
    <w:rsid w:val="00EF2E6B"/>
    <w:rsid w:val="00EF55BA"/>
    <w:rsid w:val="00EF6A57"/>
    <w:rsid w:val="00F01236"/>
    <w:rsid w:val="00F0125B"/>
    <w:rsid w:val="00F027C0"/>
    <w:rsid w:val="00F02ECD"/>
    <w:rsid w:val="00F06B32"/>
    <w:rsid w:val="00F07179"/>
    <w:rsid w:val="00F103B7"/>
    <w:rsid w:val="00F10829"/>
    <w:rsid w:val="00F116F1"/>
    <w:rsid w:val="00F1228B"/>
    <w:rsid w:val="00F12FC1"/>
    <w:rsid w:val="00F13AAA"/>
    <w:rsid w:val="00F13AC9"/>
    <w:rsid w:val="00F15010"/>
    <w:rsid w:val="00F15387"/>
    <w:rsid w:val="00F154F3"/>
    <w:rsid w:val="00F21075"/>
    <w:rsid w:val="00F219CC"/>
    <w:rsid w:val="00F227D9"/>
    <w:rsid w:val="00F22D15"/>
    <w:rsid w:val="00F25D3C"/>
    <w:rsid w:val="00F25E9A"/>
    <w:rsid w:val="00F266CE"/>
    <w:rsid w:val="00F26B09"/>
    <w:rsid w:val="00F26E94"/>
    <w:rsid w:val="00F26E99"/>
    <w:rsid w:val="00F27207"/>
    <w:rsid w:val="00F27B97"/>
    <w:rsid w:val="00F27FA8"/>
    <w:rsid w:val="00F30BC2"/>
    <w:rsid w:val="00F312E6"/>
    <w:rsid w:val="00F3132C"/>
    <w:rsid w:val="00F3231C"/>
    <w:rsid w:val="00F32674"/>
    <w:rsid w:val="00F32D53"/>
    <w:rsid w:val="00F3480A"/>
    <w:rsid w:val="00F34A4F"/>
    <w:rsid w:val="00F367BC"/>
    <w:rsid w:val="00F36ED8"/>
    <w:rsid w:val="00F36F9B"/>
    <w:rsid w:val="00F4060E"/>
    <w:rsid w:val="00F40D73"/>
    <w:rsid w:val="00F42386"/>
    <w:rsid w:val="00F423AE"/>
    <w:rsid w:val="00F44C41"/>
    <w:rsid w:val="00F45FF7"/>
    <w:rsid w:val="00F470BD"/>
    <w:rsid w:val="00F514CC"/>
    <w:rsid w:val="00F51B39"/>
    <w:rsid w:val="00F52A0D"/>
    <w:rsid w:val="00F544D1"/>
    <w:rsid w:val="00F546EE"/>
    <w:rsid w:val="00F54910"/>
    <w:rsid w:val="00F55FD0"/>
    <w:rsid w:val="00F561BE"/>
    <w:rsid w:val="00F561EC"/>
    <w:rsid w:val="00F563A2"/>
    <w:rsid w:val="00F57DAF"/>
    <w:rsid w:val="00F641C9"/>
    <w:rsid w:val="00F64441"/>
    <w:rsid w:val="00F66272"/>
    <w:rsid w:val="00F66809"/>
    <w:rsid w:val="00F66C85"/>
    <w:rsid w:val="00F6719B"/>
    <w:rsid w:val="00F67531"/>
    <w:rsid w:val="00F67F71"/>
    <w:rsid w:val="00F72757"/>
    <w:rsid w:val="00F72F52"/>
    <w:rsid w:val="00F733F2"/>
    <w:rsid w:val="00F74DEE"/>
    <w:rsid w:val="00F753E2"/>
    <w:rsid w:val="00F76AAA"/>
    <w:rsid w:val="00F772E5"/>
    <w:rsid w:val="00F81151"/>
    <w:rsid w:val="00F8155D"/>
    <w:rsid w:val="00F82EEC"/>
    <w:rsid w:val="00F8398B"/>
    <w:rsid w:val="00F84FCA"/>
    <w:rsid w:val="00F8590E"/>
    <w:rsid w:val="00F85E45"/>
    <w:rsid w:val="00F86747"/>
    <w:rsid w:val="00F87372"/>
    <w:rsid w:val="00F87DBC"/>
    <w:rsid w:val="00F90F35"/>
    <w:rsid w:val="00F913DF"/>
    <w:rsid w:val="00F91B50"/>
    <w:rsid w:val="00F923FB"/>
    <w:rsid w:val="00F940CB"/>
    <w:rsid w:val="00F94F10"/>
    <w:rsid w:val="00F951C3"/>
    <w:rsid w:val="00F95370"/>
    <w:rsid w:val="00F95B95"/>
    <w:rsid w:val="00F96808"/>
    <w:rsid w:val="00F96984"/>
    <w:rsid w:val="00F96FF3"/>
    <w:rsid w:val="00F973CB"/>
    <w:rsid w:val="00F97BDD"/>
    <w:rsid w:val="00F97D44"/>
    <w:rsid w:val="00FA0800"/>
    <w:rsid w:val="00FA144A"/>
    <w:rsid w:val="00FA28C1"/>
    <w:rsid w:val="00FA4CD6"/>
    <w:rsid w:val="00FA5DF0"/>
    <w:rsid w:val="00FA6428"/>
    <w:rsid w:val="00FA66A1"/>
    <w:rsid w:val="00FA6AE9"/>
    <w:rsid w:val="00FB05B0"/>
    <w:rsid w:val="00FB2085"/>
    <w:rsid w:val="00FB26F9"/>
    <w:rsid w:val="00FB2D96"/>
    <w:rsid w:val="00FB2F22"/>
    <w:rsid w:val="00FB3188"/>
    <w:rsid w:val="00FB4195"/>
    <w:rsid w:val="00FB51CA"/>
    <w:rsid w:val="00FB5F62"/>
    <w:rsid w:val="00FB6395"/>
    <w:rsid w:val="00FC0219"/>
    <w:rsid w:val="00FC043B"/>
    <w:rsid w:val="00FC0841"/>
    <w:rsid w:val="00FC0B79"/>
    <w:rsid w:val="00FC1AC7"/>
    <w:rsid w:val="00FC2409"/>
    <w:rsid w:val="00FC3BB2"/>
    <w:rsid w:val="00FC4052"/>
    <w:rsid w:val="00FC49C6"/>
    <w:rsid w:val="00FC5296"/>
    <w:rsid w:val="00FC73B9"/>
    <w:rsid w:val="00FD0134"/>
    <w:rsid w:val="00FD0B01"/>
    <w:rsid w:val="00FD1CBA"/>
    <w:rsid w:val="00FD212E"/>
    <w:rsid w:val="00FD3CBC"/>
    <w:rsid w:val="00FD3F90"/>
    <w:rsid w:val="00FD4147"/>
    <w:rsid w:val="00FD47C5"/>
    <w:rsid w:val="00FD56B9"/>
    <w:rsid w:val="00FD56DA"/>
    <w:rsid w:val="00FD5A31"/>
    <w:rsid w:val="00FD64D4"/>
    <w:rsid w:val="00FD6ED8"/>
    <w:rsid w:val="00FD721B"/>
    <w:rsid w:val="00FD7848"/>
    <w:rsid w:val="00FE3E30"/>
    <w:rsid w:val="00FE5B93"/>
    <w:rsid w:val="00FF151D"/>
    <w:rsid w:val="00FF2902"/>
    <w:rsid w:val="00FF4B62"/>
    <w:rsid w:val="00FF725A"/>
    <w:rsid w:val="00FF749F"/>
    <w:rsid w:val="0F168964"/>
    <w:rsid w:val="26A9A92C"/>
    <w:rsid w:val="2C2034A7"/>
    <w:rsid w:val="35EA8F35"/>
    <w:rsid w:val="37E50869"/>
    <w:rsid w:val="387DD856"/>
    <w:rsid w:val="41C5E3B4"/>
    <w:rsid w:val="44B0B8E6"/>
    <w:rsid w:val="4901BA9A"/>
    <w:rsid w:val="59449683"/>
    <w:rsid w:val="5A1081F4"/>
    <w:rsid w:val="5AE4E1E2"/>
    <w:rsid w:val="67A03EFB"/>
    <w:rsid w:val="68C5B3FA"/>
    <w:rsid w:val="6D920F32"/>
    <w:rsid w:val="73B9D707"/>
    <w:rsid w:val="77397B9E"/>
    <w:rsid w:val="7FE46A8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754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0FC4"/>
    <w:rPr>
      <w:rFonts w:ascii="Calibri" w:eastAsia="Times New Roman" w:hAnsi="Calibri" w:cs="Calibri"/>
      <w:sz w:val="22"/>
      <w:szCs w:val="22"/>
      <w:lang w:val="en-GB" w:eastAsia="zh-CN"/>
    </w:rPr>
  </w:style>
  <w:style w:type="paragraph" w:styleId="Heading1">
    <w:name w:val="heading 1"/>
    <w:basedOn w:val="Normal"/>
    <w:next w:val="Normal"/>
    <w:link w:val="Heading1Char"/>
    <w:qFormat/>
    <w:rsid w:val="00B739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Paragraph"/>
    <w:link w:val="Heading2Char"/>
    <w:qFormat/>
    <w:rsid w:val="00E26E4A"/>
    <w:pPr>
      <w:keepNext/>
      <w:spacing w:before="360" w:after="60" w:line="360" w:lineRule="auto"/>
      <w:ind w:right="567"/>
      <w:contextualSpacing/>
      <w:outlineLvl w:val="1"/>
    </w:pPr>
    <w:rPr>
      <w:rFonts w:ascii="Times New Roman" w:hAnsi="Times New Roman" w:cs="Arial"/>
      <w:b/>
      <w:bCs/>
      <w:i/>
      <w:iCs/>
      <w:sz w:val="24"/>
      <w:szCs w:val="28"/>
      <w:lang w:eastAsia="en-GB"/>
    </w:rPr>
  </w:style>
  <w:style w:type="paragraph" w:styleId="Heading3">
    <w:name w:val="heading 3"/>
    <w:basedOn w:val="Normal"/>
    <w:next w:val="paragraph0"/>
    <w:link w:val="Heading3Char"/>
    <w:qFormat/>
    <w:rsid w:val="00C746F4"/>
    <w:pPr>
      <w:keepNext/>
      <w:spacing w:before="360" w:after="60" w:line="360" w:lineRule="auto"/>
      <w:ind w:right="567"/>
      <w:contextualSpacing/>
      <w:outlineLvl w:val="2"/>
    </w:pPr>
    <w:rPr>
      <w:rFonts w:ascii="Times New Roman" w:hAnsi="Times New Roman" w:cs="Arial"/>
      <w:bCs/>
      <w:i/>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FC4"/>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HeaderChar">
    <w:name w:val="Header Char"/>
    <w:basedOn w:val="DefaultParagraphFont"/>
    <w:link w:val="Header"/>
    <w:uiPriority w:val="99"/>
    <w:rsid w:val="00470FC4"/>
  </w:style>
  <w:style w:type="paragraph" w:styleId="Footer">
    <w:name w:val="footer"/>
    <w:basedOn w:val="Normal"/>
    <w:link w:val="FooterChar"/>
    <w:uiPriority w:val="99"/>
    <w:unhideWhenUsed/>
    <w:rsid w:val="00470FC4"/>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FooterChar">
    <w:name w:val="Footer Char"/>
    <w:basedOn w:val="DefaultParagraphFont"/>
    <w:link w:val="Footer"/>
    <w:uiPriority w:val="99"/>
    <w:rsid w:val="00470FC4"/>
  </w:style>
  <w:style w:type="paragraph" w:styleId="FootnoteText">
    <w:name w:val="footnote text"/>
    <w:basedOn w:val="Normal"/>
    <w:link w:val="FootnoteTextChar"/>
    <w:uiPriority w:val="99"/>
    <w:unhideWhenUsed/>
    <w:rsid w:val="00062379"/>
    <w:rPr>
      <w:sz w:val="24"/>
      <w:szCs w:val="24"/>
    </w:rPr>
  </w:style>
  <w:style w:type="character" w:customStyle="1" w:styleId="FootnoteTextChar">
    <w:name w:val="Footnote Text Char"/>
    <w:basedOn w:val="DefaultParagraphFont"/>
    <w:link w:val="FootnoteText"/>
    <w:uiPriority w:val="99"/>
    <w:rsid w:val="00062379"/>
    <w:rPr>
      <w:rFonts w:ascii="Calibri" w:eastAsia="Times New Roman" w:hAnsi="Calibri" w:cs="Calibri"/>
      <w:lang w:val="en-GB" w:eastAsia="zh-CN"/>
    </w:rPr>
  </w:style>
  <w:style w:type="character" w:styleId="FootnoteReference">
    <w:name w:val="footnote reference"/>
    <w:basedOn w:val="DefaultParagraphFont"/>
    <w:uiPriority w:val="99"/>
    <w:unhideWhenUsed/>
    <w:rsid w:val="00062379"/>
    <w:rPr>
      <w:vertAlign w:val="superscript"/>
    </w:rPr>
  </w:style>
  <w:style w:type="character" w:styleId="Hyperlink">
    <w:name w:val="Hyperlink"/>
    <w:basedOn w:val="DefaultParagraphFont"/>
    <w:uiPriority w:val="99"/>
    <w:unhideWhenUsed/>
    <w:rsid w:val="00062379"/>
    <w:rPr>
      <w:color w:val="0000FF"/>
      <w:u w:val="single"/>
    </w:rPr>
  </w:style>
  <w:style w:type="character" w:customStyle="1" w:styleId="Heading1Char">
    <w:name w:val="Heading 1 Char"/>
    <w:basedOn w:val="DefaultParagraphFont"/>
    <w:link w:val="Heading1"/>
    <w:rsid w:val="00B73915"/>
    <w:rPr>
      <w:rFonts w:asciiTheme="majorHAnsi" w:eastAsiaTheme="majorEastAsia" w:hAnsiTheme="majorHAnsi" w:cstheme="majorBidi"/>
      <w:b/>
      <w:bCs/>
      <w:color w:val="345A8A" w:themeColor="accent1" w:themeShade="B5"/>
      <w:sz w:val="32"/>
      <w:szCs w:val="32"/>
      <w:lang w:val="en-GB" w:eastAsia="zh-CN"/>
    </w:rPr>
  </w:style>
  <w:style w:type="paragraph" w:styleId="ListParagraph">
    <w:name w:val="List Paragraph"/>
    <w:basedOn w:val="Normal"/>
    <w:uiPriority w:val="34"/>
    <w:qFormat/>
    <w:rsid w:val="0008635E"/>
    <w:pPr>
      <w:ind w:left="720"/>
      <w:contextualSpacing/>
    </w:pPr>
  </w:style>
  <w:style w:type="character" w:styleId="CommentReference">
    <w:name w:val="annotation reference"/>
    <w:basedOn w:val="DefaultParagraphFont"/>
    <w:uiPriority w:val="99"/>
    <w:semiHidden/>
    <w:unhideWhenUsed/>
    <w:rsid w:val="000E1BD8"/>
    <w:rPr>
      <w:sz w:val="18"/>
      <w:szCs w:val="18"/>
    </w:rPr>
  </w:style>
  <w:style w:type="paragraph" w:styleId="CommentText">
    <w:name w:val="annotation text"/>
    <w:basedOn w:val="Normal"/>
    <w:link w:val="CommentTextChar"/>
    <w:uiPriority w:val="99"/>
    <w:unhideWhenUsed/>
    <w:rsid w:val="000E1BD8"/>
    <w:rPr>
      <w:sz w:val="24"/>
      <w:szCs w:val="24"/>
    </w:rPr>
  </w:style>
  <w:style w:type="character" w:customStyle="1" w:styleId="CommentTextChar">
    <w:name w:val="Comment Text Char"/>
    <w:basedOn w:val="DefaultParagraphFont"/>
    <w:link w:val="CommentText"/>
    <w:uiPriority w:val="99"/>
    <w:rsid w:val="000E1BD8"/>
    <w:rPr>
      <w:rFonts w:ascii="Calibri" w:eastAsia="Times New Roman" w:hAnsi="Calibri" w:cs="Calibri"/>
      <w:lang w:val="en-GB" w:eastAsia="zh-CN"/>
    </w:rPr>
  </w:style>
  <w:style w:type="paragraph" w:styleId="CommentSubject">
    <w:name w:val="annotation subject"/>
    <w:basedOn w:val="CommentText"/>
    <w:next w:val="CommentText"/>
    <w:link w:val="CommentSubjectChar"/>
    <w:uiPriority w:val="99"/>
    <w:semiHidden/>
    <w:unhideWhenUsed/>
    <w:rsid w:val="000E1BD8"/>
    <w:rPr>
      <w:b/>
      <w:bCs/>
      <w:sz w:val="20"/>
      <w:szCs w:val="20"/>
    </w:rPr>
  </w:style>
  <w:style w:type="character" w:customStyle="1" w:styleId="CommentSubjectChar">
    <w:name w:val="Comment Subject Char"/>
    <w:basedOn w:val="CommentTextChar"/>
    <w:link w:val="CommentSubject"/>
    <w:uiPriority w:val="99"/>
    <w:semiHidden/>
    <w:rsid w:val="000E1BD8"/>
    <w:rPr>
      <w:rFonts w:ascii="Calibri" w:eastAsia="Times New Roman" w:hAnsi="Calibri" w:cs="Calibri"/>
      <w:b/>
      <w:bCs/>
      <w:sz w:val="20"/>
      <w:szCs w:val="20"/>
      <w:lang w:val="en-GB" w:eastAsia="zh-CN"/>
    </w:rPr>
  </w:style>
  <w:style w:type="paragraph" w:styleId="BalloonText">
    <w:name w:val="Balloon Text"/>
    <w:basedOn w:val="Normal"/>
    <w:link w:val="BalloonTextChar"/>
    <w:uiPriority w:val="99"/>
    <w:semiHidden/>
    <w:unhideWhenUsed/>
    <w:rsid w:val="000E1B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BD8"/>
    <w:rPr>
      <w:rFonts w:ascii="Lucida Grande" w:eastAsia="Times New Roman" w:hAnsi="Lucida Grande" w:cs="Lucida Grande"/>
      <w:sz w:val="18"/>
      <w:szCs w:val="18"/>
      <w:lang w:val="en-GB" w:eastAsia="zh-CN"/>
    </w:rPr>
  </w:style>
  <w:style w:type="character" w:customStyle="1" w:styleId="flagicon">
    <w:name w:val="flagicon"/>
    <w:basedOn w:val="DefaultParagraphFont"/>
    <w:rsid w:val="00406ED8"/>
  </w:style>
  <w:style w:type="character" w:styleId="PageNumber">
    <w:name w:val="page number"/>
    <w:basedOn w:val="DefaultParagraphFont"/>
    <w:uiPriority w:val="99"/>
    <w:semiHidden/>
    <w:unhideWhenUsed/>
    <w:rsid w:val="00374A74"/>
  </w:style>
  <w:style w:type="character" w:styleId="Strong">
    <w:name w:val="Strong"/>
    <w:basedOn w:val="DefaultParagraphFont"/>
    <w:uiPriority w:val="22"/>
    <w:qFormat/>
    <w:rsid w:val="00D24A6D"/>
    <w:rPr>
      <w:b/>
      <w:bCs/>
    </w:rPr>
  </w:style>
  <w:style w:type="character" w:customStyle="1" w:styleId="5yl5">
    <w:name w:val="_5yl5"/>
    <w:basedOn w:val="DefaultParagraphFont"/>
    <w:rsid w:val="00682796"/>
  </w:style>
  <w:style w:type="paragraph" w:styleId="Revision">
    <w:name w:val="Revision"/>
    <w:hidden/>
    <w:uiPriority w:val="99"/>
    <w:semiHidden/>
    <w:rsid w:val="00361B64"/>
    <w:rPr>
      <w:rFonts w:ascii="Calibri" w:eastAsia="Times New Roman" w:hAnsi="Calibri" w:cs="Calibri"/>
      <w:sz w:val="22"/>
      <w:szCs w:val="22"/>
      <w:lang w:val="en-GB" w:eastAsia="zh-CN"/>
    </w:rPr>
  </w:style>
  <w:style w:type="paragraph" w:customStyle="1" w:styleId="p1">
    <w:name w:val="p1"/>
    <w:basedOn w:val="Normal"/>
    <w:rsid w:val="00A275C5"/>
    <w:rPr>
      <w:rFonts w:ascii="Times New Roman" w:eastAsiaTheme="minorEastAsia" w:hAnsi="Times New Roman" w:cs="Times New Roman"/>
      <w:sz w:val="17"/>
      <w:szCs w:val="17"/>
      <w:lang w:val="en-US" w:eastAsia="en-US"/>
    </w:rPr>
  </w:style>
  <w:style w:type="character" w:customStyle="1" w:styleId="apple-converted-space">
    <w:name w:val="apple-converted-space"/>
    <w:basedOn w:val="DefaultParagraphFont"/>
    <w:rsid w:val="00A275C5"/>
  </w:style>
  <w:style w:type="paragraph" w:customStyle="1" w:styleId="p2">
    <w:name w:val="p2"/>
    <w:basedOn w:val="Normal"/>
    <w:rsid w:val="002B1708"/>
    <w:rPr>
      <w:rFonts w:eastAsiaTheme="minorEastAsia" w:cs="Times New Roman"/>
      <w:sz w:val="15"/>
      <w:szCs w:val="15"/>
      <w:lang w:val="en-US" w:eastAsia="en-US"/>
    </w:rPr>
  </w:style>
  <w:style w:type="character" w:customStyle="1" w:styleId="s1">
    <w:name w:val="s1"/>
    <w:basedOn w:val="DefaultParagraphFont"/>
    <w:rsid w:val="002B1708"/>
    <w:rPr>
      <w:rFonts w:ascii="Times New Roman" w:hAnsi="Times New Roman" w:cs="Times New Roman" w:hint="default"/>
      <w:sz w:val="12"/>
      <w:szCs w:val="12"/>
    </w:rPr>
  </w:style>
  <w:style w:type="character" w:customStyle="1" w:styleId="s2">
    <w:name w:val="s2"/>
    <w:basedOn w:val="DefaultParagraphFont"/>
    <w:rsid w:val="002B1708"/>
    <w:rPr>
      <w:rFonts w:ascii="Calibri" w:hAnsi="Calibri" w:hint="default"/>
      <w:sz w:val="10"/>
      <w:szCs w:val="10"/>
    </w:rPr>
  </w:style>
  <w:style w:type="character" w:customStyle="1" w:styleId="s3">
    <w:name w:val="s3"/>
    <w:basedOn w:val="DefaultParagraphFont"/>
    <w:rsid w:val="002B1708"/>
    <w:rPr>
      <w:rFonts w:ascii="Calibri" w:hAnsi="Calibri" w:hint="default"/>
      <w:sz w:val="17"/>
      <w:szCs w:val="17"/>
    </w:rPr>
  </w:style>
  <w:style w:type="paragraph" w:styleId="NormalWeb">
    <w:name w:val="Normal (Web)"/>
    <w:basedOn w:val="Normal"/>
    <w:uiPriority w:val="99"/>
    <w:unhideWhenUsed/>
    <w:rsid w:val="009E152B"/>
    <w:pPr>
      <w:spacing w:before="100" w:beforeAutospacing="1" w:after="100" w:afterAutospacing="1"/>
    </w:pPr>
    <w:rPr>
      <w:rFonts w:ascii="Times New Roman" w:eastAsiaTheme="minorEastAsia" w:hAnsi="Times New Roman" w:cs="Times New Roman"/>
      <w:sz w:val="24"/>
      <w:szCs w:val="24"/>
      <w:lang w:val="en-US" w:eastAsia="en-US"/>
    </w:rPr>
  </w:style>
  <w:style w:type="paragraph" w:customStyle="1" w:styleId="paragraph0">
    <w:name w:val="paragraph"/>
    <w:basedOn w:val="Normal"/>
    <w:rsid w:val="00D7661D"/>
    <w:pPr>
      <w:spacing w:before="100" w:beforeAutospacing="1" w:after="100" w:afterAutospacing="1"/>
    </w:pPr>
    <w:rPr>
      <w:rFonts w:ascii="Times New Roman" w:eastAsiaTheme="minorHAnsi" w:hAnsi="Times New Roman" w:cs="Times New Roman"/>
      <w:sz w:val="24"/>
      <w:szCs w:val="24"/>
      <w:lang w:val="en-US" w:eastAsia="en-US"/>
    </w:rPr>
  </w:style>
  <w:style w:type="paragraph" w:customStyle="1" w:styleId="Abstract">
    <w:name w:val="Abstract"/>
    <w:basedOn w:val="Normal"/>
    <w:next w:val="Normal"/>
    <w:qFormat/>
    <w:rsid w:val="00585850"/>
    <w:pPr>
      <w:spacing w:before="360" w:after="300" w:line="360" w:lineRule="auto"/>
      <w:ind w:left="720" w:right="567"/>
    </w:pPr>
    <w:rPr>
      <w:rFonts w:ascii="Times New Roman" w:hAnsi="Times New Roman" w:cs="Times New Roman"/>
      <w:szCs w:val="24"/>
      <w:lang w:eastAsia="en-GB"/>
    </w:rPr>
  </w:style>
  <w:style w:type="paragraph" w:styleId="EndnoteText">
    <w:name w:val="endnote text"/>
    <w:basedOn w:val="Normal"/>
    <w:link w:val="EndnoteTextChar"/>
    <w:uiPriority w:val="99"/>
    <w:unhideWhenUsed/>
    <w:rsid w:val="002A7EDE"/>
    <w:rPr>
      <w:sz w:val="24"/>
      <w:szCs w:val="24"/>
    </w:rPr>
  </w:style>
  <w:style w:type="character" w:customStyle="1" w:styleId="EndnoteTextChar">
    <w:name w:val="Endnote Text Char"/>
    <w:basedOn w:val="DefaultParagraphFont"/>
    <w:link w:val="EndnoteText"/>
    <w:uiPriority w:val="99"/>
    <w:rsid w:val="002A7EDE"/>
    <w:rPr>
      <w:rFonts w:ascii="Calibri" w:eastAsia="Times New Roman" w:hAnsi="Calibri" w:cs="Calibri"/>
      <w:lang w:val="en-GB" w:eastAsia="zh-CN"/>
    </w:rPr>
  </w:style>
  <w:style w:type="character" w:styleId="EndnoteReference">
    <w:name w:val="endnote reference"/>
    <w:basedOn w:val="DefaultParagraphFont"/>
    <w:uiPriority w:val="99"/>
    <w:unhideWhenUsed/>
    <w:rsid w:val="002A7EDE"/>
    <w:rPr>
      <w:vertAlign w:val="superscript"/>
    </w:rPr>
  </w:style>
  <w:style w:type="character" w:customStyle="1" w:styleId="Heading3Char">
    <w:name w:val="Heading 3 Char"/>
    <w:basedOn w:val="DefaultParagraphFont"/>
    <w:link w:val="Heading3"/>
    <w:rsid w:val="00C746F4"/>
    <w:rPr>
      <w:rFonts w:ascii="Times New Roman" w:eastAsia="Times New Roman" w:hAnsi="Times New Roman" w:cs="Arial"/>
      <w:bCs/>
      <w:i/>
      <w:szCs w:val="26"/>
      <w:lang w:val="en-GB" w:eastAsia="en-GB"/>
    </w:rPr>
  </w:style>
  <w:style w:type="paragraph" w:customStyle="1" w:styleId="Newparagraph">
    <w:name w:val="New paragraph"/>
    <w:basedOn w:val="Normal"/>
    <w:qFormat/>
    <w:rsid w:val="00E17399"/>
    <w:pPr>
      <w:spacing w:line="480" w:lineRule="auto"/>
      <w:ind w:firstLine="720"/>
    </w:pPr>
    <w:rPr>
      <w:rFonts w:ascii="Times New Roman" w:hAnsi="Times New Roman" w:cs="Times New Roman"/>
      <w:sz w:val="24"/>
      <w:szCs w:val="24"/>
      <w:lang w:eastAsia="en-GB"/>
    </w:rPr>
  </w:style>
  <w:style w:type="paragraph" w:customStyle="1" w:styleId="Paragraph">
    <w:name w:val="Paragraph"/>
    <w:basedOn w:val="Normal"/>
    <w:next w:val="Newparagraph"/>
    <w:qFormat/>
    <w:rsid w:val="004A251C"/>
    <w:pPr>
      <w:widowControl w:val="0"/>
      <w:spacing w:before="240" w:line="480" w:lineRule="auto"/>
    </w:pPr>
    <w:rPr>
      <w:rFonts w:ascii="Times New Roman" w:hAnsi="Times New Roman" w:cs="Times New Roman"/>
      <w:sz w:val="24"/>
      <w:szCs w:val="24"/>
      <w:lang w:eastAsia="en-GB"/>
    </w:rPr>
  </w:style>
  <w:style w:type="paragraph" w:customStyle="1" w:styleId="Subjectcodes">
    <w:name w:val="Subject codes"/>
    <w:basedOn w:val="Normal"/>
    <w:next w:val="Paragraph"/>
    <w:qFormat/>
    <w:rsid w:val="004A251C"/>
    <w:pPr>
      <w:spacing w:before="240" w:after="240" w:line="360" w:lineRule="auto"/>
      <w:ind w:left="720" w:right="567"/>
    </w:pPr>
    <w:rPr>
      <w:rFonts w:ascii="Times New Roman" w:hAnsi="Times New Roman" w:cs="Times New Roman"/>
      <w:szCs w:val="24"/>
      <w:lang w:eastAsia="en-GB"/>
    </w:rPr>
  </w:style>
  <w:style w:type="character" w:customStyle="1" w:styleId="Heading2Char">
    <w:name w:val="Heading 2 Char"/>
    <w:basedOn w:val="DefaultParagraphFont"/>
    <w:link w:val="Heading2"/>
    <w:rsid w:val="00E26E4A"/>
    <w:rPr>
      <w:rFonts w:ascii="Times New Roman" w:eastAsia="Times New Roman" w:hAnsi="Times New Roman" w:cs="Arial"/>
      <w:b/>
      <w:bCs/>
      <w:i/>
      <w:iCs/>
      <w:szCs w:val="28"/>
      <w:lang w:val="en-GB" w:eastAsia="en-GB"/>
    </w:rPr>
  </w:style>
  <w:style w:type="paragraph" w:customStyle="1" w:styleId="Displayedquotation">
    <w:name w:val="Displayed quotation"/>
    <w:basedOn w:val="Normal"/>
    <w:qFormat/>
    <w:rsid w:val="00C31CF3"/>
    <w:pPr>
      <w:tabs>
        <w:tab w:val="left" w:pos="1077"/>
        <w:tab w:val="left" w:pos="1440"/>
        <w:tab w:val="left" w:pos="1797"/>
        <w:tab w:val="left" w:pos="2155"/>
        <w:tab w:val="left" w:pos="2512"/>
      </w:tabs>
      <w:spacing w:before="240" w:after="360" w:line="360" w:lineRule="auto"/>
      <w:ind w:left="709" w:right="425"/>
      <w:contextualSpacing/>
    </w:pPr>
    <w:rPr>
      <w:rFonts w:ascii="Times New Roman" w:hAnsi="Times New Roman" w:cs="Times New Roman"/>
      <w:szCs w:val="24"/>
      <w:lang w:eastAsia="en-GB"/>
    </w:rPr>
  </w:style>
  <w:style w:type="character" w:styleId="FollowedHyperlink">
    <w:name w:val="FollowedHyperlink"/>
    <w:basedOn w:val="DefaultParagraphFont"/>
    <w:uiPriority w:val="99"/>
    <w:semiHidden/>
    <w:unhideWhenUsed/>
    <w:rsid w:val="008163A3"/>
    <w:rPr>
      <w:color w:val="800080" w:themeColor="followedHyperlink"/>
      <w:u w:val="single"/>
    </w:rPr>
  </w:style>
  <w:style w:type="paragraph" w:customStyle="1" w:styleId="Notesoncontributors">
    <w:name w:val="Notes on contributors"/>
    <w:basedOn w:val="Normal"/>
    <w:qFormat/>
    <w:rsid w:val="00F8590E"/>
    <w:pPr>
      <w:spacing w:before="240" w:line="360" w:lineRule="auto"/>
    </w:pPr>
    <w:rPr>
      <w:rFonts w:ascii="Times New Roman" w:hAnsi="Times New Roman" w:cs="Times New Roman"/>
      <w:szCs w:val="24"/>
      <w:lang w:eastAsia="en-GB"/>
    </w:rPr>
  </w:style>
  <w:style w:type="paragraph" w:customStyle="1" w:styleId="Footnotes">
    <w:name w:val="Footnotes"/>
    <w:basedOn w:val="Normal"/>
    <w:qFormat/>
    <w:rsid w:val="00E8251F"/>
    <w:pPr>
      <w:spacing w:before="120" w:line="360" w:lineRule="auto"/>
      <w:ind w:left="482" w:hanging="482"/>
      <w:contextualSpacing/>
    </w:pPr>
    <w:rPr>
      <w:rFonts w:ascii="Times New Roman" w:hAnsi="Times New Roman" w:cs="Times New Roman"/>
      <w:szCs w:val="24"/>
      <w:lang w:eastAsia="en-GB"/>
    </w:rPr>
  </w:style>
  <w:style w:type="paragraph" w:styleId="DocumentMap">
    <w:name w:val="Document Map"/>
    <w:basedOn w:val="Normal"/>
    <w:link w:val="DocumentMapChar"/>
    <w:uiPriority w:val="99"/>
    <w:semiHidden/>
    <w:unhideWhenUsed/>
    <w:rsid w:val="00DD5B6A"/>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D5B6A"/>
    <w:rPr>
      <w:rFonts w:ascii="Times New Roman" w:eastAsia="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291">
      <w:bodyDiv w:val="1"/>
      <w:marLeft w:val="0"/>
      <w:marRight w:val="0"/>
      <w:marTop w:val="0"/>
      <w:marBottom w:val="0"/>
      <w:divBdr>
        <w:top w:val="none" w:sz="0" w:space="0" w:color="auto"/>
        <w:left w:val="none" w:sz="0" w:space="0" w:color="auto"/>
        <w:bottom w:val="none" w:sz="0" w:space="0" w:color="auto"/>
        <w:right w:val="none" w:sz="0" w:space="0" w:color="auto"/>
      </w:divBdr>
    </w:div>
    <w:div w:id="14113805">
      <w:bodyDiv w:val="1"/>
      <w:marLeft w:val="0"/>
      <w:marRight w:val="0"/>
      <w:marTop w:val="0"/>
      <w:marBottom w:val="0"/>
      <w:divBdr>
        <w:top w:val="none" w:sz="0" w:space="0" w:color="auto"/>
        <w:left w:val="none" w:sz="0" w:space="0" w:color="auto"/>
        <w:bottom w:val="none" w:sz="0" w:space="0" w:color="auto"/>
        <w:right w:val="none" w:sz="0" w:space="0" w:color="auto"/>
      </w:divBdr>
    </w:div>
    <w:div w:id="18749811">
      <w:bodyDiv w:val="1"/>
      <w:marLeft w:val="0"/>
      <w:marRight w:val="0"/>
      <w:marTop w:val="0"/>
      <w:marBottom w:val="0"/>
      <w:divBdr>
        <w:top w:val="none" w:sz="0" w:space="0" w:color="auto"/>
        <w:left w:val="none" w:sz="0" w:space="0" w:color="auto"/>
        <w:bottom w:val="none" w:sz="0" w:space="0" w:color="auto"/>
        <w:right w:val="none" w:sz="0" w:space="0" w:color="auto"/>
      </w:divBdr>
    </w:div>
    <w:div w:id="31806258">
      <w:bodyDiv w:val="1"/>
      <w:marLeft w:val="0"/>
      <w:marRight w:val="0"/>
      <w:marTop w:val="0"/>
      <w:marBottom w:val="0"/>
      <w:divBdr>
        <w:top w:val="none" w:sz="0" w:space="0" w:color="auto"/>
        <w:left w:val="none" w:sz="0" w:space="0" w:color="auto"/>
        <w:bottom w:val="none" w:sz="0" w:space="0" w:color="auto"/>
        <w:right w:val="none" w:sz="0" w:space="0" w:color="auto"/>
      </w:divBdr>
    </w:div>
    <w:div w:id="36859457">
      <w:bodyDiv w:val="1"/>
      <w:marLeft w:val="0"/>
      <w:marRight w:val="0"/>
      <w:marTop w:val="0"/>
      <w:marBottom w:val="0"/>
      <w:divBdr>
        <w:top w:val="none" w:sz="0" w:space="0" w:color="auto"/>
        <w:left w:val="none" w:sz="0" w:space="0" w:color="auto"/>
        <w:bottom w:val="none" w:sz="0" w:space="0" w:color="auto"/>
        <w:right w:val="none" w:sz="0" w:space="0" w:color="auto"/>
      </w:divBdr>
    </w:div>
    <w:div w:id="60643750">
      <w:bodyDiv w:val="1"/>
      <w:marLeft w:val="0"/>
      <w:marRight w:val="0"/>
      <w:marTop w:val="0"/>
      <w:marBottom w:val="0"/>
      <w:divBdr>
        <w:top w:val="none" w:sz="0" w:space="0" w:color="auto"/>
        <w:left w:val="none" w:sz="0" w:space="0" w:color="auto"/>
        <w:bottom w:val="none" w:sz="0" w:space="0" w:color="auto"/>
        <w:right w:val="none" w:sz="0" w:space="0" w:color="auto"/>
      </w:divBdr>
      <w:divsChild>
        <w:div w:id="1680085795">
          <w:marLeft w:val="0"/>
          <w:marRight w:val="750"/>
          <w:marTop w:val="0"/>
          <w:marBottom w:val="0"/>
          <w:divBdr>
            <w:top w:val="none" w:sz="0" w:space="0" w:color="auto"/>
            <w:left w:val="none" w:sz="0" w:space="0" w:color="auto"/>
            <w:bottom w:val="none" w:sz="0" w:space="0" w:color="auto"/>
            <w:right w:val="none" w:sz="0" w:space="0" w:color="auto"/>
          </w:divBdr>
        </w:div>
        <w:div w:id="569846994">
          <w:marLeft w:val="0"/>
          <w:marRight w:val="750"/>
          <w:marTop w:val="0"/>
          <w:marBottom w:val="0"/>
          <w:divBdr>
            <w:top w:val="none" w:sz="0" w:space="0" w:color="auto"/>
            <w:left w:val="none" w:sz="0" w:space="0" w:color="auto"/>
            <w:bottom w:val="none" w:sz="0" w:space="0" w:color="auto"/>
            <w:right w:val="none" w:sz="0" w:space="0" w:color="auto"/>
          </w:divBdr>
        </w:div>
      </w:divsChild>
    </w:div>
    <w:div w:id="62872308">
      <w:bodyDiv w:val="1"/>
      <w:marLeft w:val="0"/>
      <w:marRight w:val="0"/>
      <w:marTop w:val="0"/>
      <w:marBottom w:val="0"/>
      <w:divBdr>
        <w:top w:val="none" w:sz="0" w:space="0" w:color="auto"/>
        <w:left w:val="none" w:sz="0" w:space="0" w:color="auto"/>
        <w:bottom w:val="none" w:sz="0" w:space="0" w:color="auto"/>
        <w:right w:val="none" w:sz="0" w:space="0" w:color="auto"/>
      </w:divBdr>
    </w:div>
    <w:div w:id="90325592">
      <w:bodyDiv w:val="1"/>
      <w:marLeft w:val="0"/>
      <w:marRight w:val="0"/>
      <w:marTop w:val="0"/>
      <w:marBottom w:val="0"/>
      <w:divBdr>
        <w:top w:val="none" w:sz="0" w:space="0" w:color="auto"/>
        <w:left w:val="none" w:sz="0" w:space="0" w:color="auto"/>
        <w:bottom w:val="none" w:sz="0" w:space="0" w:color="auto"/>
        <w:right w:val="none" w:sz="0" w:space="0" w:color="auto"/>
      </w:divBdr>
    </w:div>
    <w:div w:id="154492267">
      <w:bodyDiv w:val="1"/>
      <w:marLeft w:val="0"/>
      <w:marRight w:val="0"/>
      <w:marTop w:val="0"/>
      <w:marBottom w:val="0"/>
      <w:divBdr>
        <w:top w:val="none" w:sz="0" w:space="0" w:color="auto"/>
        <w:left w:val="none" w:sz="0" w:space="0" w:color="auto"/>
        <w:bottom w:val="none" w:sz="0" w:space="0" w:color="auto"/>
        <w:right w:val="none" w:sz="0" w:space="0" w:color="auto"/>
      </w:divBdr>
    </w:div>
    <w:div w:id="187380412">
      <w:bodyDiv w:val="1"/>
      <w:marLeft w:val="0"/>
      <w:marRight w:val="0"/>
      <w:marTop w:val="0"/>
      <w:marBottom w:val="0"/>
      <w:divBdr>
        <w:top w:val="none" w:sz="0" w:space="0" w:color="auto"/>
        <w:left w:val="none" w:sz="0" w:space="0" w:color="auto"/>
        <w:bottom w:val="none" w:sz="0" w:space="0" w:color="auto"/>
        <w:right w:val="none" w:sz="0" w:space="0" w:color="auto"/>
      </w:divBdr>
    </w:div>
    <w:div w:id="204100975">
      <w:bodyDiv w:val="1"/>
      <w:marLeft w:val="0"/>
      <w:marRight w:val="0"/>
      <w:marTop w:val="0"/>
      <w:marBottom w:val="0"/>
      <w:divBdr>
        <w:top w:val="none" w:sz="0" w:space="0" w:color="auto"/>
        <w:left w:val="none" w:sz="0" w:space="0" w:color="auto"/>
        <w:bottom w:val="none" w:sz="0" w:space="0" w:color="auto"/>
        <w:right w:val="none" w:sz="0" w:space="0" w:color="auto"/>
      </w:divBdr>
    </w:div>
    <w:div w:id="235095016">
      <w:bodyDiv w:val="1"/>
      <w:marLeft w:val="0"/>
      <w:marRight w:val="0"/>
      <w:marTop w:val="0"/>
      <w:marBottom w:val="0"/>
      <w:divBdr>
        <w:top w:val="none" w:sz="0" w:space="0" w:color="auto"/>
        <w:left w:val="none" w:sz="0" w:space="0" w:color="auto"/>
        <w:bottom w:val="none" w:sz="0" w:space="0" w:color="auto"/>
        <w:right w:val="none" w:sz="0" w:space="0" w:color="auto"/>
      </w:divBdr>
    </w:div>
    <w:div w:id="268971903">
      <w:bodyDiv w:val="1"/>
      <w:marLeft w:val="0"/>
      <w:marRight w:val="0"/>
      <w:marTop w:val="0"/>
      <w:marBottom w:val="0"/>
      <w:divBdr>
        <w:top w:val="none" w:sz="0" w:space="0" w:color="auto"/>
        <w:left w:val="none" w:sz="0" w:space="0" w:color="auto"/>
        <w:bottom w:val="none" w:sz="0" w:space="0" w:color="auto"/>
        <w:right w:val="none" w:sz="0" w:space="0" w:color="auto"/>
      </w:divBdr>
    </w:div>
    <w:div w:id="279118615">
      <w:bodyDiv w:val="1"/>
      <w:marLeft w:val="0"/>
      <w:marRight w:val="0"/>
      <w:marTop w:val="0"/>
      <w:marBottom w:val="0"/>
      <w:divBdr>
        <w:top w:val="none" w:sz="0" w:space="0" w:color="auto"/>
        <w:left w:val="none" w:sz="0" w:space="0" w:color="auto"/>
        <w:bottom w:val="none" w:sz="0" w:space="0" w:color="auto"/>
        <w:right w:val="none" w:sz="0" w:space="0" w:color="auto"/>
      </w:divBdr>
    </w:div>
    <w:div w:id="294213376">
      <w:bodyDiv w:val="1"/>
      <w:marLeft w:val="0"/>
      <w:marRight w:val="0"/>
      <w:marTop w:val="0"/>
      <w:marBottom w:val="0"/>
      <w:divBdr>
        <w:top w:val="none" w:sz="0" w:space="0" w:color="auto"/>
        <w:left w:val="none" w:sz="0" w:space="0" w:color="auto"/>
        <w:bottom w:val="none" w:sz="0" w:space="0" w:color="auto"/>
        <w:right w:val="none" w:sz="0" w:space="0" w:color="auto"/>
      </w:divBdr>
      <w:divsChild>
        <w:div w:id="509105575">
          <w:marLeft w:val="0"/>
          <w:marRight w:val="0"/>
          <w:marTop w:val="0"/>
          <w:marBottom w:val="0"/>
          <w:divBdr>
            <w:top w:val="none" w:sz="0" w:space="0" w:color="auto"/>
            <w:left w:val="none" w:sz="0" w:space="0" w:color="auto"/>
            <w:bottom w:val="none" w:sz="0" w:space="0" w:color="auto"/>
            <w:right w:val="none" w:sz="0" w:space="0" w:color="auto"/>
          </w:divBdr>
          <w:divsChild>
            <w:div w:id="4486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10093">
      <w:bodyDiv w:val="1"/>
      <w:marLeft w:val="0"/>
      <w:marRight w:val="0"/>
      <w:marTop w:val="0"/>
      <w:marBottom w:val="0"/>
      <w:divBdr>
        <w:top w:val="none" w:sz="0" w:space="0" w:color="auto"/>
        <w:left w:val="none" w:sz="0" w:space="0" w:color="auto"/>
        <w:bottom w:val="none" w:sz="0" w:space="0" w:color="auto"/>
        <w:right w:val="none" w:sz="0" w:space="0" w:color="auto"/>
      </w:divBdr>
    </w:div>
    <w:div w:id="422459549">
      <w:bodyDiv w:val="1"/>
      <w:marLeft w:val="0"/>
      <w:marRight w:val="0"/>
      <w:marTop w:val="0"/>
      <w:marBottom w:val="0"/>
      <w:divBdr>
        <w:top w:val="none" w:sz="0" w:space="0" w:color="auto"/>
        <w:left w:val="none" w:sz="0" w:space="0" w:color="auto"/>
        <w:bottom w:val="none" w:sz="0" w:space="0" w:color="auto"/>
        <w:right w:val="none" w:sz="0" w:space="0" w:color="auto"/>
      </w:divBdr>
    </w:div>
    <w:div w:id="455028397">
      <w:bodyDiv w:val="1"/>
      <w:marLeft w:val="0"/>
      <w:marRight w:val="0"/>
      <w:marTop w:val="0"/>
      <w:marBottom w:val="0"/>
      <w:divBdr>
        <w:top w:val="none" w:sz="0" w:space="0" w:color="auto"/>
        <w:left w:val="none" w:sz="0" w:space="0" w:color="auto"/>
        <w:bottom w:val="none" w:sz="0" w:space="0" w:color="auto"/>
        <w:right w:val="none" w:sz="0" w:space="0" w:color="auto"/>
      </w:divBdr>
    </w:div>
    <w:div w:id="456221717">
      <w:bodyDiv w:val="1"/>
      <w:marLeft w:val="0"/>
      <w:marRight w:val="0"/>
      <w:marTop w:val="0"/>
      <w:marBottom w:val="0"/>
      <w:divBdr>
        <w:top w:val="none" w:sz="0" w:space="0" w:color="auto"/>
        <w:left w:val="none" w:sz="0" w:space="0" w:color="auto"/>
        <w:bottom w:val="none" w:sz="0" w:space="0" w:color="auto"/>
        <w:right w:val="none" w:sz="0" w:space="0" w:color="auto"/>
      </w:divBdr>
      <w:divsChild>
        <w:div w:id="787163043">
          <w:marLeft w:val="0"/>
          <w:marRight w:val="0"/>
          <w:marTop w:val="0"/>
          <w:marBottom w:val="0"/>
          <w:divBdr>
            <w:top w:val="none" w:sz="0" w:space="0" w:color="auto"/>
            <w:left w:val="none" w:sz="0" w:space="0" w:color="auto"/>
            <w:bottom w:val="none" w:sz="0" w:space="0" w:color="auto"/>
            <w:right w:val="none" w:sz="0" w:space="0" w:color="auto"/>
          </w:divBdr>
          <w:divsChild>
            <w:div w:id="7403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952">
      <w:bodyDiv w:val="1"/>
      <w:marLeft w:val="0"/>
      <w:marRight w:val="0"/>
      <w:marTop w:val="0"/>
      <w:marBottom w:val="0"/>
      <w:divBdr>
        <w:top w:val="none" w:sz="0" w:space="0" w:color="auto"/>
        <w:left w:val="none" w:sz="0" w:space="0" w:color="auto"/>
        <w:bottom w:val="none" w:sz="0" w:space="0" w:color="auto"/>
        <w:right w:val="none" w:sz="0" w:space="0" w:color="auto"/>
      </w:divBdr>
    </w:div>
    <w:div w:id="492068139">
      <w:bodyDiv w:val="1"/>
      <w:marLeft w:val="0"/>
      <w:marRight w:val="0"/>
      <w:marTop w:val="0"/>
      <w:marBottom w:val="0"/>
      <w:divBdr>
        <w:top w:val="none" w:sz="0" w:space="0" w:color="auto"/>
        <w:left w:val="none" w:sz="0" w:space="0" w:color="auto"/>
        <w:bottom w:val="none" w:sz="0" w:space="0" w:color="auto"/>
        <w:right w:val="none" w:sz="0" w:space="0" w:color="auto"/>
      </w:divBdr>
      <w:divsChild>
        <w:div w:id="723941850">
          <w:marLeft w:val="0"/>
          <w:marRight w:val="0"/>
          <w:marTop w:val="0"/>
          <w:marBottom w:val="0"/>
          <w:divBdr>
            <w:top w:val="none" w:sz="0" w:space="0" w:color="auto"/>
            <w:left w:val="none" w:sz="0" w:space="0" w:color="auto"/>
            <w:bottom w:val="none" w:sz="0" w:space="0" w:color="auto"/>
            <w:right w:val="none" w:sz="0" w:space="0" w:color="auto"/>
          </w:divBdr>
        </w:div>
        <w:div w:id="1221400157">
          <w:marLeft w:val="0"/>
          <w:marRight w:val="0"/>
          <w:marTop w:val="0"/>
          <w:marBottom w:val="0"/>
          <w:divBdr>
            <w:top w:val="none" w:sz="0" w:space="0" w:color="auto"/>
            <w:left w:val="none" w:sz="0" w:space="0" w:color="auto"/>
            <w:bottom w:val="none" w:sz="0" w:space="0" w:color="auto"/>
            <w:right w:val="none" w:sz="0" w:space="0" w:color="auto"/>
          </w:divBdr>
        </w:div>
        <w:div w:id="1289240305">
          <w:marLeft w:val="0"/>
          <w:marRight w:val="0"/>
          <w:marTop w:val="0"/>
          <w:marBottom w:val="0"/>
          <w:divBdr>
            <w:top w:val="none" w:sz="0" w:space="0" w:color="auto"/>
            <w:left w:val="none" w:sz="0" w:space="0" w:color="auto"/>
            <w:bottom w:val="none" w:sz="0" w:space="0" w:color="auto"/>
            <w:right w:val="none" w:sz="0" w:space="0" w:color="auto"/>
          </w:divBdr>
        </w:div>
        <w:div w:id="1945989586">
          <w:marLeft w:val="0"/>
          <w:marRight w:val="0"/>
          <w:marTop w:val="0"/>
          <w:marBottom w:val="0"/>
          <w:divBdr>
            <w:top w:val="none" w:sz="0" w:space="0" w:color="auto"/>
            <w:left w:val="none" w:sz="0" w:space="0" w:color="auto"/>
            <w:bottom w:val="none" w:sz="0" w:space="0" w:color="auto"/>
            <w:right w:val="none" w:sz="0" w:space="0" w:color="auto"/>
          </w:divBdr>
        </w:div>
      </w:divsChild>
    </w:div>
    <w:div w:id="542448688">
      <w:bodyDiv w:val="1"/>
      <w:marLeft w:val="0"/>
      <w:marRight w:val="0"/>
      <w:marTop w:val="0"/>
      <w:marBottom w:val="0"/>
      <w:divBdr>
        <w:top w:val="none" w:sz="0" w:space="0" w:color="auto"/>
        <w:left w:val="none" w:sz="0" w:space="0" w:color="auto"/>
        <w:bottom w:val="none" w:sz="0" w:space="0" w:color="auto"/>
        <w:right w:val="none" w:sz="0" w:space="0" w:color="auto"/>
      </w:divBdr>
    </w:div>
    <w:div w:id="584150853">
      <w:bodyDiv w:val="1"/>
      <w:marLeft w:val="0"/>
      <w:marRight w:val="0"/>
      <w:marTop w:val="0"/>
      <w:marBottom w:val="0"/>
      <w:divBdr>
        <w:top w:val="none" w:sz="0" w:space="0" w:color="auto"/>
        <w:left w:val="none" w:sz="0" w:space="0" w:color="auto"/>
        <w:bottom w:val="none" w:sz="0" w:space="0" w:color="auto"/>
        <w:right w:val="none" w:sz="0" w:space="0" w:color="auto"/>
      </w:divBdr>
    </w:div>
    <w:div w:id="631598031">
      <w:bodyDiv w:val="1"/>
      <w:marLeft w:val="0"/>
      <w:marRight w:val="0"/>
      <w:marTop w:val="0"/>
      <w:marBottom w:val="0"/>
      <w:divBdr>
        <w:top w:val="none" w:sz="0" w:space="0" w:color="auto"/>
        <w:left w:val="none" w:sz="0" w:space="0" w:color="auto"/>
        <w:bottom w:val="none" w:sz="0" w:space="0" w:color="auto"/>
        <w:right w:val="none" w:sz="0" w:space="0" w:color="auto"/>
      </w:divBdr>
    </w:div>
    <w:div w:id="665593128">
      <w:bodyDiv w:val="1"/>
      <w:marLeft w:val="0"/>
      <w:marRight w:val="0"/>
      <w:marTop w:val="0"/>
      <w:marBottom w:val="0"/>
      <w:divBdr>
        <w:top w:val="none" w:sz="0" w:space="0" w:color="auto"/>
        <w:left w:val="none" w:sz="0" w:space="0" w:color="auto"/>
        <w:bottom w:val="none" w:sz="0" w:space="0" w:color="auto"/>
        <w:right w:val="none" w:sz="0" w:space="0" w:color="auto"/>
      </w:divBdr>
    </w:div>
    <w:div w:id="666371545">
      <w:bodyDiv w:val="1"/>
      <w:marLeft w:val="0"/>
      <w:marRight w:val="0"/>
      <w:marTop w:val="0"/>
      <w:marBottom w:val="0"/>
      <w:divBdr>
        <w:top w:val="none" w:sz="0" w:space="0" w:color="auto"/>
        <w:left w:val="none" w:sz="0" w:space="0" w:color="auto"/>
        <w:bottom w:val="none" w:sz="0" w:space="0" w:color="auto"/>
        <w:right w:val="none" w:sz="0" w:space="0" w:color="auto"/>
      </w:divBdr>
    </w:div>
    <w:div w:id="682172468">
      <w:bodyDiv w:val="1"/>
      <w:marLeft w:val="0"/>
      <w:marRight w:val="0"/>
      <w:marTop w:val="0"/>
      <w:marBottom w:val="0"/>
      <w:divBdr>
        <w:top w:val="none" w:sz="0" w:space="0" w:color="auto"/>
        <w:left w:val="none" w:sz="0" w:space="0" w:color="auto"/>
        <w:bottom w:val="none" w:sz="0" w:space="0" w:color="auto"/>
        <w:right w:val="none" w:sz="0" w:space="0" w:color="auto"/>
      </w:divBdr>
    </w:div>
    <w:div w:id="687567045">
      <w:bodyDiv w:val="1"/>
      <w:marLeft w:val="0"/>
      <w:marRight w:val="0"/>
      <w:marTop w:val="0"/>
      <w:marBottom w:val="0"/>
      <w:divBdr>
        <w:top w:val="none" w:sz="0" w:space="0" w:color="auto"/>
        <w:left w:val="none" w:sz="0" w:space="0" w:color="auto"/>
        <w:bottom w:val="none" w:sz="0" w:space="0" w:color="auto"/>
        <w:right w:val="none" w:sz="0" w:space="0" w:color="auto"/>
      </w:divBdr>
    </w:div>
    <w:div w:id="702169533">
      <w:bodyDiv w:val="1"/>
      <w:marLeft w:val="0"/>
      <w:marRight w:val="0"/>
      <w:marTop w:val="0"/>
      <w:marBottom w:val="0"/>
      <w:divBdr>
        <w:top w:val="none" w:sz="0" w:space="0" w:color="auto"/>
        <w:left w:val="none" w:sz="0" w:space="0" w:color="auto"/>
        <w:bottom w:val="none" w:sz="0" w:space="0" w:color="auto"/>
        <w:right w:val="none" w:sz="0" w:space="0" w:color="auto"/>
      </w:divBdr>
    </w:div>
    <w:div w:id="709765513">
      <w:bodyDiv w:val="1"/>
      <w:marLeft w:val="0"/>
      <w:marRight w:val="0"/>
      <w:marTop w:val="0"/>
      <w:marBottom w:val="0"/>
      <w:divBdr>
        <w:top w:val="none" w:sz="0" w:space="0" w:color="auto"/>
        <w:left w:val="none" w:sz="0" w:space="0" w:color="auto"/>
        <w:bottom w:val="none" w:sz="0" w:space="0" w:color="auto"/>
        <w:right w:val="none" w:sz="0" w:space="0" w:color="auto"/>
      </w:divBdr>
    </w:div>
    <w:div w:id="711805590">
      <w:bodyDiv w:val="1"/>
      <w:marLeft w:val="0"/>
      <w:marRight w:val="0"/>
      <w:marTop w:val="0"/>
      <w:marBottom w:val="0"/>
      <w:divBdr>
        <w:top w:val="none" w:sz="0" w:space="0" w:color="auto"/>
        <w:left w:val="none" w:sz="0" w:space="0" w:color="auto"/>
        <w:bottom w:val="none" w:sz="0" w:space="0" w:color="auto"/>
        <w:right w:val="none" w:sz="0" w:space="0" w:color="auto"/>
      </w:divBdr>
    </w:div>
    <w:div w:id="826944841">
      <w:bodyDiv w:val="1"/>
      <w:marLeft w:val="0"/>
      <w:marRight w:val="0"/>
      <w:marTop w:val="0"/>
      <w:marBottom w:val="0"/>
      <w:divBdr>
        <w:top w:val="none" w:sz="0" w:space="0" w:color="auto"/>
        <w:left w:val="none" w:sz="0" w:space="0" w:color="auto"/>
        <w:bottom w:val="none" w:sz="0" w:space="0" w:color="auto"/>
        <w:right w:val="none" w:sz="0" w:space="0" w:color="auto"/>
      </w:divBdr>
    </w:div>
    <w:div w:id="834809759">
      <w:bodyDiv w:val="1"/>
      <w:marLeft w:val="0"/>
      <w:marRight w:val="0"/>
      <w:marTop w:val="0"/>
      <w:marBottom w:val="0"/>
      <w:divBdr>
        <w:top w:val="none" w:sz="0" w:space="0" w:color="auto"/>
        <w:left w:val="none" w:sz="0" w:space="0" w:color="auto"/>
        <w:bottom w:val="none" w:sz="0" w:space="0" w:color="auto"/>
        <w:right w:val="none" w:sz="0" w:space="0" w:color="auto"/>
      </w:divBdr>
    </w:div>
    <w:div w:id="854807447">
      <w:bodyDiv w:val="1"/>
      <w:marLeft w:val="0"/>
      <w:marRight w:val="0"/>
      <w:marTop w:val="0"/>
      <w:marBottom w:val="0"/>
      <w:divBdr>
        <w:top w:val="none" w:sz="0" w:space="0" w:color="auto"/>
        <w:left w:val="none" w:sz="0" w:space="0" w:color="auto"/>
        <w:bottom w:val="none" w:sz="0" w:space="0" w:color="auto"/>
        <w:right w:val="none" w:sz="0" w:space="0" w:color="auto"/>
      </w:divBdr>
    </w:div>
    <w:div w:id="862209775">
      <w:bodyDiv w:val="1"/>
      <w:marLeft w:val="0"/>
      <w:marRight w:val="0"/>
      <w:marTop w:val="0"/>
      <w:marBottom w:val="0"/>
      <w:divBdr>
        <w:top w:val="none" w:sz="0" w:space="0" w:color="auto"/>
        <w:left w:val="none" w:sz="0" w:space="0" w:color="auto"/>
        <w:bottom w:val="none" w:sz="0" w:space="0" w:color="auto"/>
        <w:right w:val="none" w:sz="0" w:space="0" w:color="auto"/>
      </w:divBdr>
    </w:div>
    <w:div w:id="872306225">
      <w:bodyDiv w:val="1"/>
      <w:marLeft w:val="0"/>
      <w:marRight w:val="0"/>
      <w:marTop w:val="0"/>
      <w:marBottom w:val="0"/>
      <w:divBdr>
        <w:top w:val="none" w:sz="0" w:space="0" w:color="auto"/>
        <w:left w:val="none" w:sz="0" w:space="0" w:color="auto"/>
        <w:bottom w:val="none" w:sz="0" w:space="0" w:color="auto"/>
        <w:right w:val="none" w:sz="0" w:space="0" w:color="auto"/>
      </w:divBdr>
      <w:divsChild>
        <w:div w:id="1257713525">
          <w:marLeft w:val="0"/>
          <w:marRight w:val="0"/>
          <w:marTop w:val="0"/>
          <w:marBottom w:val="0"/>
          <w:divBdr>
            <w:top w:val="none" w:sz="0" w:space="0" w:color="auto"/>
            <w:left w:val="none" w:sz="0" w:space="0" w:color="auto"/>
            <w:bottom w:val="none" w:sz="0" w:space="0" w:color="auto"/>
            <w:right w:val="none" w:sz="0" w:space="0" w:color="auto"/>
          </w:divBdr>
          <w:divsChild>
            <w:div w:id="21269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9929">
      <w:bodyDiv w:val="1"/>
      <w:marLeft w:val="0"/>
      <w:marRight w:val="0"/>
      <w:marTop w:val="0"/>
      <w:marBottom w:val="0"/>
      <w:divBdr>
        <w:top w:val="none" w:sz="0" w:space="0" w:color="auto"/>
        <w:left w:val="none" w:sz="0" w:space="0" w:color="auto"/>
        <w:bottom w:val="none" w:sz="0" w:space="0" w:color="auto"/>
        <w:right w:val="none" w:sz="0" w:space="0" w:color="auto"/>
      </w:divBdr>
    </w:div>
    <w:div w:id="882518126">
      <w:bodyDiv w:val="1"/>
      <w:marLeft w:val="0"/>
      <w:marRight w:val="0"/>
      <w:marTop w:val="0"/>
      <w:marBottom w:val="0"/>
      <w:divBdr>
        <w:top w:val="none" w:sz="0" w:space="0" w:color="auto"/>
        <w:left w:val="none" w:sz="0" w:space="0" w:color="auto"/>
        <w:bottom w:val="none" w:sz="0" w:space="0" w:color="auto"/>
        <w:right w:val="none" w:sz="0" w:space="0" w:color="auto"/>
      </w:divBdr>
    </w:div>
    <w:div w:id="889464371">
      <w:bodyDiv w:val="1"/>
      <w:marLeft w:val="0"/>
      <w:marRight w:val="0"/>
      <w:marTop w:val="0"/>
      <w:marBottom w:val="0"/>
      <w:divBdr>
        <w:top w:val="none" w:sz="0" w:space="0" w:color="auto"/>
        <w:left w:val="none" w:sz="0" w:space="0" w:color="auto"/>
        <w:bottom w:val="none" w:sz="0" w:space="0" w:color="auto"/>
        <w:right w:val="none" w:sz="0" w:space="0" w:color="auto"/>
      </w:divBdr>
    </w:div>
    <w:div w:id="932975373">
      <w:bodyDiv w:val="1"/>
      <w:marLeft w:val="0"/>
      <w:marRight w:val="0"/>
      <w:marTop w:val="0"/>
      <w:marBottom w:val="0"/>
      <w:divBdr>
        <w:top w:val="none" w:sz="0" w:space="0" w:color="auto"/>
        <w:left w:val="none" w:sz="0" w:space="0" w:color="auto"/>
        <w:bottom w:val="none" w:sz="0" w:space="0" w:color="auto"/>
        <w:right w:val="none" w:sz="0" w:space="0" w:color="auto"/>
      </w:divBdr>
      <w:divsChild>
        <w:div w:id="454104589">
          <w:marLeft w:val="0"/>
          <w:marRight w:val="0"/>
          <w:marTop w:val="0"/>
          <w:marBottom w:val="0"/>
          <w:divBdr>
            <w:top w:val="none" w:sz="0" w:space="0" w:color="auto"/>
            <w:left w:val="none" w:sz="0" w:space="0" w:color="auto"/>
            <w:bottom w:val="none" w:sz="0" w:space="0" w:color="auto"/>
            <w:right w:val="none" w:sz="0" w:space="0" w:color="auto"/>
          </w:divBdr>
          <w:divsChild>
            <w:div w:id="790365365">
              <w:marLeft w:val="120"/>
              <w:marRight w:val="0"/>
              <w:marTop w:val="0"/>
              <w:marBottom w:val="0"/>
              <w:divBdr>
                <w:top w:val="none" w:sz="0" w:space="0" w:color="auto"/>
                <w:left w:val="none" w:sz="0" w:space="0" w:color="auto"/>
                <w:bottom w:val="none" w:sz="0" w:space="0" w:color="auto"/>
                <w:right w:val="none" w:sz="0" w:space="0" w:color="auto"/>
              </w:divBdr>
              <w:divsChild>
                <w:div w:id="1814446793">
                  <w:marLeft w:val="0"/>
                  <w:marRight w:val="0"/>
                  <w:marTop w:val="0"/>
                  <w:marBottom w:val="0"/>
                  <w:divBdr>
                    <w:top w:val="none" w:sz="0" w:space="0" w:color="auto"/>
                    <w:left w:val="none" w:sz="0" w:space="0" w:color="auto"/>
                    <w:bottom w:val="none" w:sz="0" w:space="0" w:color="auto"/>
                    <w:right w:val="none" w:sz="0" w:space="0" w:color="auto"/>
                  </w:divBdr>
                  <w:divsChild>
                    <w:div w:id="1842039139">
                      <w:marLeft w:val="0"/>
                      <w:marRight w:val="0"/>
                      <w:marTop w:val="0"/>
                      <w:marBottom w:val="0"/>
                      <w:divBdr>
                        <w:top w:val="none" w:sz="0" w:space="0" w:color="auto"/>
                        <w:left w:val="none" w:sz="0" w:space="0" w:color="auto"/>
                        <w:bottom w:val="none" w:sz="0" w:space="0" w:color="auto"/>
                        <w:right w:val="none" w:sz="0" w:space="0" w:color="auto"/>
                      </w:divBdr>
                      <w:divsChild>
                        <w:div w:id="257951047">
                          <w:marLeft w:val="0"/>
                          <w:marRight w:val="0"/>
                          <w:marTop w:val="0"/>
                          <w:marBottom w:val="0"/>
                          <w:divBdr>
                            <w:top w:val="none" w:sz="0" w:space="0" w:color="auto"/>
                            <w:left w:val="none" w:sz="0" w:space="0" w:color="auto"/>
                            <w:bottom w:val="none" w:sz="0" w:space="0" w:color="auto"/>
                            <w:right w:val="none" w:sz="0" w:space="0" w:color="auto"/>
                          </w:divBdr>
                          <w:divsChild>
                            <w:div w:id="14579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98614">
          <w:marLeft w:val="0"/>
          <w:marRight w:val="0"/>
          <w:marTop w:val="0"/>
          <w:marBottom w:val="0"/>
          <w:divBdr>
            <w:top w:val="none" w:sz="0" w:space="0" w:color="auto"/>
            <w:left w:val="none" w:sz="0" w:space="0" w:color="auto"/>
            <w:bottom w:val="none" w:sz="0" w:space="0" w:color="auto"/>
            <w:right w:val="none" w:sz="0" w:space="0" w:color="auto"/>
          </w:divBdr>
          <w:divsChild>
            <w:div w:id="379129200">
              <w:marLeft w:val="120"/>
              <w:marRight w:val="0"/>
              <w:marTop w:val="0"/>
              <w:marBottom w:val="0"/>
              <w:divBdr>
                <w:top w:val="none" w:sz="0" w:space="0" w:color="auto"/>
                <w:left w:val="none" w:sz="0" w:space="0" w:color="auto"/>
                <w:bottom w:val="none" w:sz="0" w:space="0" w:color="auto"/>
                <w:right w:val="none" w:sz="0" w:space="0" w:color="auto"/>
              </w:divBdr>
              <w:divsChild>
                <w:div w:id="1889874991">
                  <w:marLeft w:val="0"/>
                  <w:marRight w:val="0"/>
                  <w:marTop w:val="0"/>
                  <w:marBottom w:val="0"/>
                  <w:divBdr>
                    <w:top w:val="none" w:sz="0" w:space="0" w:color="auto"/>
                    <w:left w:val="none" w:sz="0" w:space="0" w:color="auto"/>
                    <w:bottom w:val="none" w:sz="0" w:space="0" w:color="auto"/>
                    <w:right w:val="none" w:sz="0" w:space="0" w:color="auto"/>
                  </w:divBdr>
                  <w:divsChild>
                    <w:div w:id="154609676">
                      <w:marLeft w:val="0"/>
                      <w:marRight w:val="0"/>
                      <w:marTop w:val="0"/>
                      <w:marBottom w:val="0"/>
                      <w:divBdr>
                        <w:top w:val="none" w:sz="0" w:space="0" w:color="auto"/>
                        <w:left w:val="none" w:sz="0" w:space="0" w:color="auto"/>
                        <w:bottom w:val="none" w:sz="0" w:space="0" w:color="auto"/>
                        <w:right w:val="none" w:sz="0" w:space="0" w:color="auto"/>
                      </w:divBdr>
                      <w:divsChild>
                        <w:div w:id="1588924944">
                          <w:marLeft w:val="0"/>
                          <w:marRight w:val="0"/>
                          <w:marTop w:val="0"/>
                          <w:marBottom w:val="0"/>
                          <w:divBdr>
                            <w:top w:val="none" w:sz="0" w:space="0" w:color="auto"/>
                            <w:left w:val="none" w:sz="0" w:space="0" w:color="auto"/>
                            <w:bottom w:val="none" w:sz="0" w:space="0" w:color="auto"/>
                            <w:right w:val="none" w:sz="0" w:space="0" w:color="auto"/>
                          </w:divBdr>
                          <w:divsChild>
                            <w:div w:id="1237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09531">
      <w:bodyDiv w:val="1"/>
      <w:marLeft w:val="0"/>
      <w:marRight w:val="0"/>
      <w:marTop w:val="0"/>
      <w:marBottom w:val="0"/>
      <w:divBdr>
        <w:top w:val="none" w:sz="0" w:space="0" w:color="auto"/>
        <w:left w:val="none" w:sz="0" w:space="0" w:color="auto"/>
        <w:bottom w:val="none" w:sz="0" w:space="0" w:color="auto"/>
        <w:right w:val="none" w:sz="0" w:space="0" w:color="auto"/>
      </w:divBdr>
    </w:div>
    <w:div w:id="984044043">
      <w:bodyDiv w:val="1"/>
      <w:marLeft w:val="0"/>
      <w:marRight w:val="0"/>
      <w:marTop w:val="0"/>
      <w:marBottom w:val="0"/>
      <w:divBdr>
        <w:top w:val="none" w:sz="0" w:space="0" w:color="auto"/>
        <w:left w:val="none" w:sz="0" w:space="0" w:color="auto"/>
        <w:bottom w:val="none" w:sz="0" w:space="0" w:color="auto"/>
        <w:right w:val="none" w:sz="0" w:space="0" w:color="auto"/>
      </w:divBdr>
    </w:div>
    <w:div w:id="993144077">
      <w:bodyDiv w:val="1"/>
      <w:marLeft w:val="0"/>
      <w:marRight w:val="0"/>
      <w:marTop w:val="0"/>
      <w:marBottom w:val="0"/>
      <w:divBdr>
        <w:top w:val="none" w:sz="0" w:space="0" w:color="auto"/>
        <w:left w:val="none" w:sz="0" w:space="0" w:color="auto"/>
        <w:bottom w:val="none" w:sz="0" w:space="0" w:color="auto"/>
        <w:right w:val="none" w:sz="0" w:space="0" w:color="auto"/>
      </w:divBdr>
    </w:div>
    <w:div w:id="1021052277">
      <w:bodyDiv w:val="1"/>
      <w:marLeft w:val="0"/>
      <w:marRight w:val="0"/>
      <w:marTop w:val="0"/>
      <w:marBottom w:val="0"/>
      <w:divBdr>
        <w:top w:val="none" w:sz="0" w:space="0" w:color="auto"/>
        <w:left w:val="none" w:sz="0" w:space="0" w:color="auto"/>
        <w:bottom w:val="none" w:sz="0" w:space="0" w:color="auto"/>
        <w:right w:val="none" w:sz="0" w:space="0" w:color="auto"/>
      </w:divBdr>
    </w:div>
    <w:div w:id="1036076782">
      <w:bodyDiv w:val="1"/>
      <w:marLeft w:val="0"/>
      <w:marRight w:val="0"/>
      <w:marTop w:val="0"/>
      <w:marBottom w:val="0"/>
      <w:divBdr>
        <w:top w:val="none" w:sz="0" w:space="0" w:color="auto"/>
        <w:left w:val="none" w:sz="0" w:space="0" w:color="auto"/>
        <w:bottom w:val="none" w:sz="0" w:space="0" w:color="auto"/>
        <w:right w:val="none" w:sz="0" w:space="0" w:color="auto"/>
      </w:divBdr>
    </w:div>
    <w:div w:id="1039891441">
      <w:bodyDiv w:val="1"/>
      <w:marLeft w:val="0"/>
      <w:marRight w:val="0"/>
      <w:marTop w:val="0"/>
      <w:marBottom w:val="0"/>
      <w:divBdr>
        <w:top w:val="none" w:sz="0" w:space="0" w:color="auto"/>
        <w:left w:val="none" w:sz="0" w:space="0" w:color="auto"/>
        <w:bottom w:val="none" w:sz="0" w:space="0" w:color="auto"/>
        <w:right w:val="none" w:sz="0" w:space="0" w:color="auto"/>
      </w:divBdr>
    </w:div>
    <w:div w:id="1046564551">
      <w:bodyDiv w:val="1"/>
      <w:marLeft w:val="0"/>
      <w:marRight w:val="0"/>
      <w:marTop w:val="0"/>
      <w:marBottom w:val="0"/>
      <w:divBdr>
        <w:top w:val="none" w:sz="0" w:space="0" w:color="auto"/>
        <w:left w:val="none" w:sz="0" w:space="0" w:color="auto"/>
        <w:bottom w:val="none" w:sz="0" w:space="0" w:color="auto"/>
        <w:right w:val="none" w:sz="0" w:space="0" w:color="auto"/>
      </w:divBdr>
    </w:div>
    <w:div w:id="1056972333">
      <w:bodyDiv w:val="1"/>
      <w:marLeft w:val="0"/>
      <w:marRight w:val="0"/>
      <w:marTop w:val="0"/>
      <w:marBottom w:val="0"/>
      <w:divBdr>
        <w:top w:val="none" w:sz="0" w:space="0" w:color="auto"/>
        <w:left w:val="none" w:sz="0" w:space="0" w:color="auto"/>
        <w:bottom w:val="none" w:sz="0" w:space="0" w:color="auto"/>
        <w:right w:val="none" w:sz="0" w:space="0" w:color="auto"/>
      </w:divBdr>
    </w:div>
    <w:div w:id="1132014068">
      <w:bodyDiv w:val="1"/>
      <w:marLeft w:val="0"/>
      <w:marRight w:val="0"/>
      <w:marTop w:val="0"/>
      <w:marBottom w:val="0"/>
      <w:divBdr>
        <w:top w:val="none" w:sz="0" w:space="0" w:color="auto"/>
        <w:left w:val="none" w:sz="0" w:space="0" w:color="auto"/>
        <w:bottom w:val="none" w:sz="0" w:space="0" w:color="auto"/>
        <w:right w:val="none" w:sz="0" w:space="0" w:color="auto"/>
      </w:divBdr>
    </w:div>
    <w:div w:id="1140414239">
      <w:bodyDiv w:val="1"/>
      <w:marLeft w:val="0"/>
      <w:marRight w:val="0"/>
      <w:marTop w:val="0"/>
      <w:marBottom w:val="0"/>
      <w:divBdr>
        <w:top w:val="none" w:sz="0" w:space="0" w:color="auto"/>
        <w:left w:val="none" w:sz="0" w:space="0" w:color="auto"/>
        <w:bottom w:val="none" w:sz="0" w:space="0" w:color="auto"/>
        <w:right w:val="none" w:sz="0" w:space="0" w:color="auto"/>
      </w:divBdr>
    </w:div>
    <w:div w:id="1141383189">
      <w:bodyDiv w:val="1"/>
      <w:marLeft w:val="0"/>
      <w:marRight w:val="0"/>
      <w:marTop w:val="0"/>
      <w:marBottom w:val="0"/>
      <w:divBdr>
        <w:top w:val="none" w:sz="0" w:space="0" w:color="auto"/>
        <w:left w:val="none" w:sz="0" w:space="0" w:color="auto"/>
        <w:bottom w:val="none" w:sz="0" w:space="0" w:color="auto"/>
        <w:right w:val="none" w:sz="0" w:space="0" w:color="auto"/>
      </w:divBdr>
    </w:div>
    <w:div w:id="1171263017">
      <w:bodyDiv w:val="1"/>
      <w:marLeft w:val="0"/>
      <w:marRight w:val="0"/>
      <w:marTop w:val="0"/>
      <w:marBottom w:val="0"/>
      <w:divBdr>
        <w:top w:val="none" w:sz="0" w:space="0" w:color="auto"/>
        <w:left w:val="none" w:sz="0" w:space="0" w:color="auto"/>
        <w:bottom w:val="none" w:sz="0" w:space="0" w:color="auto"/>
        <w:right w:val="none" w:sz="0" w:space="0" w:color="auto"/>
      </w:divBdr>
    </w:div>
    <w:div w:id="1179078624">
      <w:bodyDiv w:val="1"/>
      <w:marLeft w:val="0"/>
      <w:marRight w:val="0"/>
      <w:marTop w:val="0"/>
      <w:marBottom w:val="0"/>
      <w:divBdr>
        <w:top w:val="none" w:sz="0" w:space="0" w:color="auto"/>
        <w:left w:val="none" w:sz="0" w:space="0" w:color="auto"/>
        <w:bottom w:val="none" w:sz="0" w:space="0" w:color="auto"/>
        <w:right w:val="none" w:sz="0" w:space="0" w:color="auto"/>
      </w:divBdr>
    </w:div>
    <w:div w:id="1190921708">
      <w:bodyDiv w:val="1"/>
      <w:marLeft w:val="0"/>
      <w:marRight w:val="0"/>
      <w:marTop w:val="0"/>
      <w:marBottom w:val="0"/>
      <w:divBdr>
        <w:top w:val="none" w:sz="0" w:space="0" w:color="auto"/>
        <w:left w:val="none" w:sz="0" w:space="0" w:color="auto"/>
        <w:bottom w:val="none" w:sz="0" w:space="0" w:color="auto"/>
        <w:right w:val="none" w:sz="0" w:space="0" w:color="auto"/>
      </w:divBdr>
    </w:div>
    <w:div w:id="1206218542">
      <w:bodyDiv w:val="1"/>
      <w:marLeft w:val="0"/>
      <w:marRight w:val="0"/>
      <w:marTop w:val="0"/>
      <w:marBottom w:val="0"/>
      <w:divBdr>
        <w:top w:val="none" w:sz="0" w:space="0" w:color="auto"/>
        <w:left w:val="none" w:sz="0" w:space="0" w:color="auto"/>
        <w:bottom w:val="none" w:sz="0" w:space="0" w:color="auto"/>
        <w:right w:val="none" w:sz="0" w:space="0" w:color="auto"/>
      </w:divBdr>
    </w:div>
    <w:div w:id="1257202867">
      <w:bodyDiv w:val="1"/>
      <w:marLeft w:val="0"/>
      <w:marRight w:val="0"/>
      <w:marTop w:val="0"/>
      <w:marBottom w:val="0"/>
      <w:divBdr>
        <w:top w:val="none" w:sz="0" w:space="0" w:color="auto"/>
        <w:left w:val="none" w:sz="0" w:space="0" w:color="auto"/>
        <w:bottom w:val="none" w:sz="0" w:space="0" w:color="auto"/>
        <w:right w:val="none" w:sz="0" w:space="0" w:color="auto"/>
      </w:divBdr>
    </w:div>
    <w:div w:id="1274247757">
      <w:bodyDiv w:val="1"/>
      <w:marLeft w:val="0"/>
      <w:marRight w:val="0"/>
      <w:marTop w:val="0"/>
      <w:marBottom w:val="0"/>
      <w:divBdr>
        <w:top w:val="none" w:sz="0" w:space="0" w:color="auto"/>
        <w:left w:val="none" w:sz="0" w:space="0" w:color="auto"/>
        <w:bottom w:val="none" w:sz="0" w:space="0" w:color="auto"/>
        <w:right w:val="none" w:sz="0" w:space="0" w:color="auto"/>
      </w:divBdr>
    </w:div>
    <w:div w:id="1303341826">
      <w:bodyDiv w:val="1"/>
      <w:marLeft w:val="0"/>
      <w:marRight w:val="0"/>
      <w:marTop w:val="0"/>
      <w:marBottom w:val="0"/>
      <w:divBdr>
        <w:top w:val="none" w:sz="0" w:space="0" w:color="auto"/>
        <w:left w:val="none" w:sz="0" w:space="0" w:color="auto"/>
        <w:bottom w:val="none" w:sz="0" w:space="0" w:color="auto"/>
        <w:right w:val="none" w:sz="0" w:space="0" w:color="auto"/>
      </w:divBdr>
    </w:div>
    <w:div w:id="1318339290">
      <w:bodyDiv w:val="1"/>
      <w:marLeft w:val="0"/>
      <w:marRight w:val="0"/>
      <w:marTop w:val="0"/>
      <w:marBottom w:val="0"/>
      <w:divBdr>
        <w:top w:val="none" w:sz="0" w:space="0" w:color="auto"/>
        <w:left w:val="none" w:sz="0" w:space="0" w:color="auto"/>
        <w:bottom w:val="none" w:sz="0" w:space="0" w:color="auto"/>
        <w:right w:val="none" w:sz="0" w:space="0" w:color="auto"/>
      </w:divBdr>
    </w:div>
    <w:div w:id="1378091476">
      <w:bodyDiv w:val="1"/>
      <w:marLeft w:val="0"/>
      <w:marRight w:val="0"/>
      <w:marTop w:val="0"/>
      <w:marBottom w:val="0"/>
      <w:divBdr>
        <w:top w:val="none" w:sz="0" w:space="0" w:color="auto"/>
        <w:left w:val="none" w:sz="0" w:space="0" w:color="auto"/>
        <w:bottom w:val="none" w:sz="0" w:space="0" w:color="auto"/>
        <w:right w:val="none" w:sz="0" w:space="0" w:color="auto"/>
      </w:divBdr>
    </w:div>
    <w:div w:id="1442072436">
      <w:bodyDiv w:val="1"/>
      <w:marLeft w:val="0"/>
      <w:marRight w:val="0"/>
      <w:marTop w:val="0"/>
      <w:marBottom w:val="0"/>
      <w:divBdr>
        <w:top w:val="none" w:sz="0" w:space="0" w:color="auto"/>
        <w:left w:val="none" w:sz="0" w:space="0" w:color="auto"/>
        <w:bottom w:val="none" w:sz="0" w:space="0" w:color="auto"/>
        <w:right w:val="none" w:sz="0" w:space="0" w:color="auto"/>
      </w:divBdr>
    </w:div>
    <w:div w:id="1474912349">
      <w:bodyDiv w:val="1"/>
      <w:marLeft w:val="0"/>
      <w:marRight w:val="0"/>
      <w:marTop w:val="0"/>
      <w:marBottom w:val="0"/>
      <w:divBdr>
        <w:top w:val="none" w:sz="0" w:space="0" w:color="auto"/>
        <w:left w:val="none" w:sz="0" w:space="0" w:color="auto"/>
        <w:bottom w:val="none" w:sz="0" w:space="0" w:color="auto"/>
        <w:right w:val="none" w:sz="0" w:space="0" w:color="auto"/>
      </w:divBdr>
    </w:div>
    <w:div w:id="1485008490">
      <w:bodyDiv w:val="1"/>
      <w:marLeft w:val="0"/>
      <w:marRight w:val="0"/>
      <w:marTop w:val="0"/>
      <w:marBottom w:val="0"/>
      <w:divBdr>
        <w:top w:val="none" w:sz="0" w:space="0" w:color="auto"/>
        <w:left w:val="none" w:sz="0" w:space="0" w:color="auto"/>
        <w:bottom w:val="none" w:sz="0" w:space="0" w:color="auto"/>
        <w:right w:val="none" w:sz="0" w:space="0" w:color="auto"/>
      </w:divBdr>
    </w:div>
    <w:div w:id="1542933825">
      <w:bodyDiv w:val="1"/>
      <w:marLeft w:val="0"/>
      <w:marRight w:val="0"/>
      <w:marTop w:val="0"/>
      <w:marBottom w:val="0"/>
      <w:divBdr>
        <w:top w:val="none" w:sz="0" w:space="0" w:color="auto"/>
        <w:left w:val="none" w:sz="0" w:space="0" w:color="auto"/>
        <w:bottom w:val="none" w:sz="0" w:space="0" w:color="auto"/>
        <w:right w:val="none" w:sz="0" w:space="0" w:color="auto"/>
      </w:divBdr>
    </w:div>
    <w:div w:id="1548030599">
      <w:bodyDiv w:val="1"/>
      <w:marLeft w:val="0"/>
      <w:marRight w:val="0"/>
      <w:marTop w:val="0"/>
      <w:marBottom w:val="0"/>
      <w:divBdr>
        <w:top w:val="none" w:sz="0" w:space="0" w:color="auto"/>
        <w:left w:val="none" w:sz="0" w:space="0" w:color="auto"/>
        <w:bottom w:val="none" w:sz="0" w:space="0" w:color="auto"/>
        <w:right w:val="none" w:sz="0" w:space="0" w:color="auto"/>
      </w:divBdr>
    </w:div>
    <w:div w:id="1553348998">
      <w:bodyDiv w:val="1"/>
      <w:marLeft w:val="0"/>
      <w:marRight w:val="0"/>
      <w:marTop w:val="0"/>
      <w:marBottom w:val="0"/>
      <w:divBdr>
        <w:top w:val="none" w:sz="0" w:space="0" w:color="auto"/>
        <w:left w:val="none" w:sz="0" w:space="0" w:color="auto"/>
        <w:bottom w:val="none" w:sz="0" w:space="0" w:color="auto"/>
        <w:right w:val="none" w:sz="0" w:space="0" w:color="auto"/>
      </w:divBdr>
    </w:div>
    <w:div w:id="1603414830">
      <w:bodyDiv w:val="1"/>
      <w:marLeft w:val="0"/>
      <w:marRight w:val="0"/>
      <w:marTop w:val="0"/>
      <w:marBottom w:val="0"/>
      <w:divBdr>
        <w:top w:val="none" w:sz="0" w:space="0" w:color="auto"/>
        <w:left w:val="none" w:sz="0" w:space="0" w:color="auto"/>
        <w:bottom w:val="none" w:sz="0" w:space="0" w:color="auto"/>
        <w:right w:val="none" w:sz="0" w:space="0" w:color="auto"/>
      </w:divBdr>
    </w:div>
    <w:div w:id="1611472645">
      <w:bodyDiv w:val="1"/>
      <w:marLeft w:val="0"/>
      <w:marRight w:val="0"/>
      <w:marTop w:val="0"/>
      <w:marBottom w:val="0"/>
      <w:divBdr>
        <w:top w:val="none" w:sz="0" w:space="0" w:color="auto"/>
        <w:left w:val="none" w:sz="0" w:space="0" w:color="auto"/>
        <w:bottom w:val="none" w:sz="0" w:space="0" w:color="auto"/>
        <w:right w:val="none" w:sz="0" w:space="0" w:color="auto"/>
      </w:divBdr>
    </w:div>
    <w:div w:id="1614511168">
      <w:bodyDiv w:val="1"/>
      <w:marLeft w:val="0"/>
      <w:marRight w:val="0"/>
      <w:marTop w:val="0"/>
      <w:marBottom w:val="0"/>
      <w:divBdr>
        <w:top w:val="none" w:sz="0" w:space="0" w:color="auto"/>
        <w:left w:val="none" w:sz="0" w:space="0" w:color="auto"/>
        <w:bottom w:val="none" w:sz="0" w:space="0" w:color="auto"/>
        <w:right w:val="none" w:sz="0" w:space="0" w:color="auto"/>
      </w:divBdr>
    </w:div>
    <w:div w:id="1615484058">
      <w:bodyDiv w:val="1"/>
      <w:marLeft w:val="0"/>
      <w:marRight w:val="0"/>
      <w:marTop w:val="0"/>
      <w:marBottom w:val="0"/>
      <w:divBdr>
        <w:top w:val="none" w:sz="0" w:space="0" w:color="auto"/>
        <w:left w:val="none" w:sz="0" w:space="0" w:color="auto"/>
        <w:bottom w:val="none" w:sz="0" w:space="0" w:color="auto"/>
        <w:right w:val="none" w:sz="0" w:space="0" w:color="auto"/>
      </w:divBdr>
    </w:div>
    <w:div w:id="1615867052">
      <w:bodyDiv w:val="1"/>
      <w:marLeft w:val="0"/>
      <w:marRight w:val="0"/>
      <w:marTop w:val="0"/>
      <w:marBottom w:val="0"/>
      <w:divBdr>
        <w:top w:val="none" w:sz="0" w:space="0" w:color="auto"/>
        <w:left w:val="none" w:sz="0" w:space="0" w:color="auto"/>
        <w:bottom w:val="none" w:sz="0" w:space="0" w:color="auto"/>
        <w:right w:val="none" w:sz="0" w:space="0" w:color="auto"/>
      </w:divBdr>
    </w:div>
    <w:div w:id="1679767027">
      <w:bodyDiv w:val="1"/>
      <w:marLeft w:val="0"/>
      <w:marRight w:val="0"/>
      <w:marTop w:val="0"/>
      <w:marBottom w:val="0"/>
      <w:divBdr>
        <w:top w:val="none" w:sz="0" w:space="0" w:color="auto"/>
        <w:left w:val="none" w:sz="0" w:space="0" w:color="auto"/>
        <w:bottom w:val="none" w:sz="0" w:space="0" w:color="auto"/>
        <w:right w:val="none" w:sz="0" w:space="0" w:color="auto"/>
      </w:divBdr>
    </w:div>
    <w:div w:id="1691183180">
      <w:bodyDiv w:val="1"/>
      <w:marLeft w:val="0"/>
      <w:marRight w:val="0"/>
      <w:marTop w:val="0"/>
      <w:marBottom w:val="0"/>
      <w:divBdr>
        <w:top w:val="none" w:sz="0" w:space="0" w:color="auto"/>
        <w:left w:val="none" w:sz="0" w:space="0" w:color="auto"/>
        <w:bottom w:val="none" w:sz="0" w:space="0" w:color="auto"/>
        <w:right w:val="none" w:sz="0" w:space="0" w:color="auto"/>
      </w:divBdr>
    </w:div>
    <w:div w:id="1725058390">
      <w:bodyDiv w:val="1"/>
      <w:marLeft w:val="0"/>
      <w:marRight w:val="0"/>
      <w:marTop w:val="0"/>
      <w:marBottom w:val="0"/>
      <w:divBdr>
        <w:top w:val="none" w:sz="0" w:space="0" w:color="auto"/>
        <w:left w:val="none" w:sz="0" w:space="0" w:color="auto"/>
        <w:bottom w:val="none" w:sz="0" w:space="0" w:color="auto"/>
        <w:right w:val="none" w:sz="0" w:space="0" w:color="auto"/>
      </w:divBdr>
    </w:div>
    <w:div w:id="1726023278">
      <w:bodyDiv w:val="1"/>
      <w:marLeft w:val="0"/>
      <w:marRight w:val="0"/>
      <w:marTop w:val="0"/>
      <w:marBottom w:val="0"/>
      <w:divBdr>
        <w:top w:val="none" w:sz="0" w:space="0" w:color="auto"/>
        <w:left w:val="none" w:sz="0" w:space="0" w:color="auto"/>
        <w:bottom w:val="none" w:sz="0" w:space="0" w:color="auto"/>
        <w:right w:val="none" w:sz="0" w:space="0" w:color="auto"/>
      </w:divBdr>
    </w:div>
    <w:div w:id="1757357962">
      <w:bodyDiv w:val="1"/>
      <w:marLeft w:val="0"/>
      <w:marRight w:val="0"/>
      <w:marTop w:val="0"/>
      <w:marBottom w:val="0"/>
      <w:divBdr>
        <w:top w:val="none" w:sz="0" w:space="0" w:color="auto"/>
        <w:left w:val="none" w:sz="0" w:space="0" w:color="auto"/>
        <w:bottom w:val="none" w:sz="0" w:space="0" w:color="auto"/>
        <w:right w:val="none" w:sz="0" w:space="0" w:color="auto"/>
      </w:divBdr>
    </w:div>
    <w:div w:id="1776559280">
      <w:bodyDiv w:val="1"/>
      <w:marLeft w:val="0"/>
      <w:marRight w:val="0"/>
      <w:marTop w:val="0"/>
      <w:marBottom w:val="0"/>
      <w:divBdr>
        <w:top w:val="none" w:sz="0" w:space="0" w:color="auto"/>
        <w:left w:val="none" w:sz="0" w:space="0" w:color="auto"/>
        <w:bottom w:val="none" w:sz="0" w:space="0" w:color="auto"/>
        <w:right w:val="none" w:sz="0" w:space="0" w:color="auto"/>
      </w:divBdr>
    </w:div>
    <w:div w:id="1860662570">
      <w:bodyDiv w:val="1"/>
      <w:marLeft w:val="0"/>
      <w:marRight w:val="0"/>
      <w:marTop w:val="0"/>
      <w:marBottom w:val="0"/>
      <w:divBdr>
        <w:top w:val="none" w:sz="0" w:space="0" w:color="auto"/>
        <w:left w:val="none" w:sz="0" w:space="0" w:color="auto"/>
        <w:bottom w:val="none" w:sz="0" w:space="0" w:color="auto"/>
        <w:right w:val="none" w:sz="0" w:space="0" w:color="auto"/>
      </w:divBdr>
    </w:div>
    <w:div w:id="1873419317">
      <w:bodyDiv w:val="1"/>
      <w:marLeft w:val="0"/>
      <w:marRight w:val="0"/>
      <w:marTop w:val="0"/>
      <w:marBottom w:val="0"/>
      <w:divBdr>
        <w:top w:val="none" w:sz="0" w:space="0" w:color="auto"/>
        <w:left w:val="none" w:sz="0" w:space="0" w:color="auto"/>
        <w:bottom w:val="none" w:sz="0" w:space="0" w:color="auto"/>
        <w:right w:val="none" w:sz="0" w:space="0" w:color="auto"/>
      </w:divBdr>
    </w:div>
    <w:div w:id="1897888285">
      <w:bodyDiv w:val="1"/>
      <w:marLeft w:val="0"/>
      <w:marRight w:val="0"/>
      <w:marTop w:val="0"/>
      <w:marBottom w:val="0"/>
      <w:divBdr>
        <w:top w:val="none" w:sz="0" w:space="0" w:color="auto"/>
        <w:left w:val="none" w:sz="0" w:space="0" w:color="auto"/>
        <w:bottom w:val="none" w:sz="0" w:space="0" w:color="auto"/>
        <w:right w:val="none" w:sz="0" w:space="0" w:color="auto"/>
      </w:divBdr>
      <w:divsChild>
        <w:div w:id="1358776797">
          <w:marLeft w:val="0"/>
          <w:marRight w:val="0"/>
          <w:marTop w:val="0"/>
          <w:marBottom w:val="0"/>
          <w:divBdr>
            <w:top w:val="none" w:sz="0" w:space="0" w:color="auto"/>
            <w:left w:val="none" w:sz="0" w:space="0" w:color="auto"/>
            <w:bottom w:val="none" w:sz="0" w:space="0" w:color="auto"/>
            <w:right w:val="none" w:sz="0" w:space="0" w:color="auto"/>
          </w:divBdr>
          <w:divsChild>
            <w:div w:id="1240335095">
              <w:marLeft w:val="0"/>
              <w:marRight w:val="0"/>
              <w:marTop w:val="0"/>
              <w:marBottom w:val="0"/>
              <w:divBdr>
                <w:top w:val="none" w:sz="0" w:space="0" w:color="auto"/>
                <w:left w:val="none" w:sz="0" w:space="0" w:color="auto"/>
                <w:bottom w:val="none" w:sz="0" w:space="0" w:color="auto"/>
                <w:right w:val="none" w:sz="0" w:space="0" w:color="auto"/>
              </w:divBdr>
              <w:divsChild>
                <w:div w:id="1281112523">
                  <w:marLeft w:val="0"/>
                  <w:marRight w:val="0"/>
                  <w:marTop w:val="0"/>
                  <w:marBottom w:val="0"/>
                  <w:divBdr>
                    <w:top w:val="none" w:sz="0" w:space="0" w:color="auto"/>
                    <w:left w:val="none" w:sz="0" w:space="0" w:color="auto"/>
                    <w:bottom w:val="none" w:sz="0" w:space="0" w:color="auto"/>
                    <w:right w:val="none" w:sz="0" w:space="0" w:color="auto"/>
                  </w:divBdr>
                  <w:divsChild>
                    <w:div w:id="258755995">
                      <w:marLeft w:val="0"/>
                      <w:marRight w:val="0"/>
                      <w:marTop w:val="0"/>
                      <w:marBottom w:val="0"/>
                      <w:divBdr>
                        <w:top w:val="none" w:sz="0" w:space="0" w:color="auto"/>
                        <w:left w:val="none" w:sz="0" w:space="0" w:color="auto"/>
                        <w:bottom w:val="none" w:sz="0" w:space="0" w:color="auto"/>
                        <w:right w:val="none" w:sz="0" w:space="0" w:color="auto"/>
                      </w:divBdr>
                      <w:divsChild>
                        <w:div w:id="938683639">
                          <w:marLeft w:val="0"/>
                          <w:marRight w:val="0"/>
                          <w:marTop w:val="0"/>
                          <w:marBottom w:val="0"/>
                          <w:divBdr>
                            <w:top w:val="none" w:sz="0" w:space="0" w:color="auto"/>
                            <w:left w:val="none" w:sz="0" w:space="0" w:color="auto"/>
                            <w:bottom w:val="none" w:sz="0" w:space="0" w:color="auto"/>
                            <w:right w:val="none" w:sz="0" w:space="0" w:color="auto"/>
                          </w:divBdr>
                          <w:divsChild>
                            <w:div w:id="16492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10924">
          <w:marLeft w:val="0"/>
          <w:marRight w:val="0"/>
          <w:marTop w:val="0"/>
          <w:marBottom w:val="0"/>
          <w:divBdr>
            <w:top w:val="none" w:sz="0" w:space="0" w:color="auto"/>
            <w:left w:val="none" w:sz="0" w:space="0" w:color="auto"/>
            <w:bottom w:val="none" w:sz="0" w:space="0" w:color="auto"/>
            <w:right w:val="none" w:sz="0" w:space="0" w:color="auto"/>
          </w:divBdr>
          <w:divsChild>
            <w:div w:id="596447915">
              <w:marLeft w:val="0"/>
              <w:marRight w:val="0"/>
              <w:marTop w:val="0"/>
              <w:marBottom w:val="0"/>
              <w:divBdr>
                <w:top w:val="none" w:sz="0" w:space="0" w:color="auto"/>
                <w:left w:val="none" w:sz="0" w:space="0" w:color="auto"/>
                <w:bottom w:val="none" w:sz="0" w:space="0" w:color="auto"/>
                <w:right w:val="none" w:sz="0" w:space="0" w:color="auto"/>
              </w:divBdr>
              <w:divsChild>
                <w:div w:id="772943486">
                  <w:marLeft w:val="0"/>
                  <w:marRight w:val="0"/>
                  <w:marTop w:val="0"/>
                  <w:marBottom w:val="0"/>
                  <w:divBdr>
                    <w:top w:val="none" w:sz="0" w:space="0" w:color="auto"/>
                    <w:left w:val="none" w:sz="0" w:space="0" w:color="auto"/>
                    <w:bottom w:val="none" w:sz="0" w:space="0" w:color="auto"/>
                    <w:right w:val="none" w:sz="0" w:space="0" w:color="auto"/>
                  </w:divBdr>
                  <w:divsChild>
                    <w:div w:id="2042390907">
                      <w:marLeft w:val="0"/>
                      <w:marRight w:val="0"/>
                      <w:marTop w:val="0"/>
                      <w:marBottom w:val="0"/>
                      <w:divBdr>
                        <w:top w:val="none" w:sz="0" w:space="0" w:color="auto"/>
                        <w:left w:val="none" w:sz="0" w:space="0" w:color="auto"/>
                        <w:bottom w:val="none" w:sz="0" w:space="0" w:color="auto"/>
                        <w:right w:val="none" w:sz="0" w:space="0" w:color="auto"/>
                      </w:divBdr>
                      <w:divsChild>
                        <w:div w:id="299960297">
                          <w:marLeft w:val="0"/>
                          <w:marRight w:val="0"/>
                          <w:marTop w:val="0"/>
                          <w:marBottom w:val="0"/>
                          <w:divBdr>
                            <w:top w:val="none" w:sz="0" w:space="0" w:color="auto"/>
                            <w:left w:val="none" w:sz="0" w:space="0" w:color="auto"/>
                            <w:bottom w:val="none" w:sz="0" w:space="0" w:color="auto"/>
                            <w:right w:val="none" w:sz="0" w:space="0" w:color="auto"/>
                          </w:divBdr>
                          <w:divsChild>
                            <w:div w:id="8645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88206">
      <w:bodyDiv w:val="1"/>
      <w:marLeft w:val="0"/>
      <w:marRight w:val="0"/>
      <w:marTop w:val="0"/>
      <w:marBottom w:val="0"/>
      <w:divBdr>
        <w:top w:val="none" w:sz="0" w:space="0" w:color="auto"/>
        <w:left w:val="none" w:sz="0" w:space="0" w:color="auto"/>
        <w:bottom w:val="none" w:sz="0" w:space="0" w:color="auto"/>
        <w:right w:val="none" w:sz="0" w:space="0" w:color="auto"/>
      </w:divBdr>
    </w:div>
    <w:div w:id="1964652560">
      <w:bodyDiv w:val="1"/>
      <w:marLeft w:val="0"/>
      <w:marRight w:val="0"/>
      <w:marTop w:val="0"/>
      <w:marBottom w:val="0"/>
      <w:divBdr>
        <w:top w:val="none" w:sz="0" w:space="0" w:color="auto"/>
        <w:left w:val="none" w:sz="0" w:space="0" w:color="auto"/>
        <w:bottom w:val="none" w:sz="0" w:space="0" w:color="auto"/>
        <w:right w:val="none" w:sz="0" w:space="0" w:color="auto"/>
      </w:divBdr>
    </w:div>
    <w:div w:id="1966037457">
      <w:bodyDiv w:val="1"/>
      <w:marLeft w:val="0"/>
      <w:marRight w:val="0"/>
      <w:marTop w:val="0"/>
      <w:marBottom w:val="0"/>
      <w:divBdr>
        <w:top w:val="none" w:sz="0" w:space="0" w:color="auto"/>
        <w:left w:val="none" w:sz="0" w:space="0" w:color="auto"/>
        <w:bottom w:val="none" w:sz="0" w:space="0" w:color="auto"/>
        <w:right w:val="none" w:sz="0" w:space="0" w:color="auto"/>
      </w:divBdr>
    </w:div>
    <w:div w:id="1985768129">
      <w:bodyDiv w:val="1"/>
      <w:marLeft w:val="0"/>
      <w:marRight w:val="0"/>
      <w:marTop w:val="0"/>
      <w:marBottom w:val="0"/>
      <w:divBdr>
        <w:top w:val="none" w:sz="0" w:space="0" w:color="auto"/>
        <w:left w:val="none" w:sz="0" w:space="0" w:color="auto"/>
        <w:bottom w:val="none" w:sz="0" w:space="0" w:color="auto"/>
        <w:right w:val="none" w:sz="0" w:space="0" w:color="auto"/>
      </w:divBdr>
    </w:div>
    <w:div w:id="1987123187">
      <w:bodyDiv w:val="1"/>
      <w:marLeft w:val="0"/>
      <w:marRight w:val="0"/>
      <w:marTop w:val="0"/>
      <w:marBottom w:val="0"/>
      <w:divBdr>
        <w:top w:val="none" w:sz="0" w:space="0" w:color="auto"/>
        <w:left w:val="none" w:sz="0" w:space="0" w:color="auto"/>
        <w:bottom w:val="none" w:sz="0" w:space="0" w:color="auto"/>
        <w:right w:val="none" w:sz="0" w:space="0" w:color="auto"/>
      </w:divBdr>
    </w:div>
    <w:div w:id="2001304359">
      <w:bodyDiv w:val="1"/>
      <w:marLeft w:val="0"/>
      <w:marRight w:val="0"/>
      <w:marTop w:val="0"/>
      <w:marBottom w:val="0"/>
      <w:divBdr>
        <w:top w:val="none" w:sz="0" w:space="0" w:color="auto"/>
        <w:left w:val="none" w:sz="0" w:space="0" w:color="auto"/>
        <w:bottom w:val="none" w:sz="0" w:space="0" w:color="auto"/>
        <w:right w:val="none" w:sz="0" w:space="0" w:color="auto"/>
      </w:divBdr>
    </w:div>
    <w:div w:id="2023777139">
      <w:bodyDiv w:val="1"/>
      <w:marLeft w:val="0"/>
      <w:marRight w:val="0"/>
      <w:marTop w:val="0"/>
      <w:marBottom w:val="0"/>
      <w:divBdr>
        <w:top w:val="none" w:sz="0" w:space="0" w:color="auto"/>
        <w:left w:val="none" w:sz="0" w:space="0" w:color="auto"/>
        <w:bottom w:val="none" w:sz="0" w:space="0" w:color="auto"/>
        <w:right w:val="none" w:sz="0" w:space="0" w:color="auto"/>
      </w:divBdr>
    </w:div>
    <w:div w:id="2029721731">
      <w:bodyDiv w:val="1"/>
      <w:marLeft w:val="0"/>
      <w:marRight w:val="0"/>
      <w:marTop w:val="0"/>
      <w:marBottom w:val="0"/>
      <w:divBdr>
        <w:top w:val="none" w:sz="0" w:space="0" w:color="auto"/>
        <w:left w:val="none" w:sz="0" w:space="0" w:color="auto"/>
        <w:bottom w:val="none" w:sz="0" w:space="0" w:color="auto"/>
        <w:right w:val="none" w:sz="0" w:space="0" w:color="auto"/>
      </w:divBdr>
      <w:divsChild>
        <w:div w:id="1484545330">
          <w:marLeft w:val="0"/>
          <w:marRight w:val="0"/>
          <w:marTop w:val="0"/>
          <w:marBottom w:val="0"/>
          <w:divBdr>
            <w:top w:val="none" w:sz="0" w:space="0" w:color="auto"/>
            <w:left w:val="none" w:sz="0" w:space="0" w:color="auto"/>
            <w:bottom w:val="none" w:sz="0" w:space="0" w:color="auto"/>
            <w:right w:val="none" w:sz="0" w:space="0" w:color="auto"/>
          </w:divBdr>
          <w:divsChild>
            <w:div w:id="3289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890">
      <w:bodyDiv w:val="1"/>
      <w:marLeft w:val="0"/>
      <w:marRight w:val="0"/>
      <w:marTop w:val="0"/>
      <w:marBottom w:val="0"/>
      <w:divBdr>
        <w:top w:val="none" w:sz="0" w:space="0" w:color="auto"/>
        <w:left w:val="none" w:sz="0" w:space="0" w:color="auto"/>
        <w:bottom w:val="none" w:sz="0" w:space="0" w:color="auto"/>
        <w:right w:val="none" w:sz="0" w:space="0" w:color="auto"/>
      </w:divBdr>
      <w:divsChild>
        <w:div w:id="1776438809">
          <w:marLeft w:val="0"/>
          <w:marRight w:val="750"/>
          <w:marTop w:val="0"/>
          <w:marBottom w:val="0"/>
          <w:divBdr>
            <w:top w:val="none" w:sz="0" w:space="0" w:color="auto"/>
            <w:left w:val="none" w:sz="0" w:space="0" w:color="auto"/>
            <w:bottom w:val="none" w:sz="0" w:space="0" w:color="auto"/>
            <w:right w:val="none" w:sz="0" w:space="0" w:color="auto"/>
          </w:divBdr>
        </w:div>
        <w:div w:id="1042050996">
          <w:marLeft w:val="0"/>
          <w:marRight w:val="750"/>
          <w:marTop w:val="0"/>
          <w:marBottom w:val="0"/>
          <w:divBdr>
            <w:top w:val="none" w:sz="0" w:space="0" w:color="auto"/>
            <w:left w:val="none" w:sz="0" w:space="0" w:color="auto"/>
            <w:bottom w:val="none" w:sz="0" w:space="0" w:color="auto"/>
            <w:right w:val="none" w:sz="0" w:space="0" w:color="auto"/>
          </w:divBdr>
        </w:div>
      </w:divsChild>
    </w:div>
    <w:div w:id="2104497014">
      <w:bodyDiv w:val="1"/>
      <w:marLeft w:val="0"/>
      <w:marRight w:val="0"/>
      <w:marTop w:val="0"/>
      <w:marBottom w:val="0"/>
      <w:divBdr>
        <w:top w:val="none" w:sz="0" w:space="0" w:color="auto"/>
        <w:left w:val="none" w:sz="0" w:space="0" w:color="auto"/>
        <w:bottom w:val="none" w:sz="0" w:space="0" w:color="auto"/>
        <w:right w:val="none" w:sz="0" w:space="0" w:color="auto"/>
      </w:divBdr>
    </w:div>
    <w:div w:id="2115897229">
      <w:bodyDiv w:val="1"/>
      <w:marLeft w:val="0"/>
      <w:marRight w:val="0"/>
      <w:marTop w:val="0"/>
      <w:marBottom w:val="0"/>
      <w:divBdr>
        <w:top w:val="none" w:sz="0" w:space="0" w:color="auto"/>
        <w:left w:val="none" w:sz="0" w:space="0" w:color="auto"/>
        <w:bottom w:val="none" w:sz="0" w:space="0" w:color="auto"/>
        <w:right w:val="none" w:sz="0" w:space="0" w:color="auto"/>
      </w:divBdr>
    </w:div>
    <w:div w:id="2146199041">
      <w:bodyDiv w:val="1"/>
      <w:marLeft w:val="0"/>
      <w:marRight w:val="0"/>
      <w:marTop w:val="0"/>
      <w:marBottom w:val="0"/>
      <w:divBdr>
        <w:top w:val="none" w:sz="0" w:space="0" w:color="auto"/>
        <w:left w:val="none" w:sz="0" w:space="0" w:color="auto"/>
        <w:bottom w:val="none" w:sz="0" w:space="0" w:color="auto"/>
        <w:right w:val="none" w:sz="0" w:space="0" w:color="auto"/>
      </w:divBdr>
      <w:divsChild>
        <w:div w:id="874537043">
          <w:marLeft w:val="0"/>
          <w:marRight w:val="750"/>
          <w:marTop w:val="0"/>
          <w:marBottom w:val="0"/>
          <w:divBdr>
            <w:top w:val="none" w:sz="0" w:space="0" w:color="auto"/>
            <w:left w:val="none" w:sz="0" w:space="0" w:color="auto"/>
            <w:bottom w:val="none" w:sz="0" w:space="0" w:color="auto"/>
            <w:right w:val="none" w:sz="0" w:space="0" w:color="auto"/>
          </w:divBdr>
        </w:div>
        <w:div w:id="1655255040">
          <w:marLeft w:val="0"/>
          <w:marRight w:val="75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silium.europa.eu/en/press/press-releases/2016/09/pdf/160916-Bratislava-declaration-and-roadmap_en16_pdf/" TargetMode="External"/><Relationship Id="rId9" Type="http://schemas.openxmlformats.org/officeDocument/2006/relationships/hyperlink" Target="http://consilium.europa.eu/uedocs/cmsUpload/03-11-11%20Berlin%20Plus%20press%20note%20BL.pdf" TargetMode="External"/><Relationship Id="rId10" Type="http://schemas.openxmlformats.org/officeDocument/2006/relationships/hyperlink" Target="http://www.nato.int/docu/handbook/2006/hb-en-2006.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consilium.europa.eu/uedocs/cmsUpload/03-11-11%20Berlin%20Plus%20press%20note%20B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11E23E-BA72-BF4E-A9CE-4C3CBB51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9570</Words>
  <Characters>54555</Characters>
  <Application>Microsoft Macintosh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GEBHARD Carmen</dc:creator>
  <cp:keywords/>
  <dc:description/>
  <cp:lastModifiedBy>SMITH Simon J</cp:lastModifiedBy>
  <cp:revision>2</cp:revision>
  <cp:lastPrinted>2016-12-13T08:09:00Z</cp:lastPrinted>
  <dcterms:created xsi:type="dcterms:W3CDTF">2017-09-29T13:27:00Z</dcterms:created>
  <dcterms:modified xsi:type="dcterms:W3CDTF">2017-09-29T13:27:00Z</dcterms:modified>
  <cp:category/>
</cp:coreProperties>
</file>