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8F" w:rsidRPr="008D237F" w:rsidRDefault="002D4C8F" w:rsidP="0051671D">
      <w:pPr>
        <w:spacing w:after="0" w:line="480" w:lineRule="auto"/>
        <w:jc w:val="both"/>
        <w:rPr>
          <w:b/>
          <w:lang w:val="en-US"/>
        </w:rPr>
      </w:pPr>
      <w:r w:rsidRPr="008D237F">
        <w:rPr>
          <w:b/>
          <w:lang w:val="en-US"/>
        </w:rPr>
        <w:t>Background</w:t>
      </w:r>
    </w:p>
    <w:p w:rsidR="00F94974" w:rsidRPr="008D237F" w:rsidRDefault="00F94974" w:rsidP="0051671D">
      <w:pPr>
        <w:spacing w:after="0" w:line="480" w:lineRule="auto"/>
        <w:jc w:val="both"/>
        <w:rPr>
          <w:b/>
          <w:lang w:val="en-US"/>
        </w:rPr>
      </w:pPr>
    </w:p>
    <w:p w:rsidR="00C667BA" w:rsidRPr="00EC6B8A" w:rsidRDefault="00C667BA" w:rsidP="0051671D">
      <w:pPr>
        <w:spacing w:after="0" w:line="480" w:lineRule="auto"/>
        <w:jc w:val="both"/>
        <w:rPr>
          <w:lang w:eastAsia="en-GB"/>
        </w:rPr>
      </w:pPr>
      <w:r w:rsidRPr="008D237F">
        <w:rPr>
          <w:lang w:val="en-US"/>
        </w:rPr>
        <w:t>O</w:t>
      </w:r>
      <w:r w:rsidRPr="008D237F">
        <w:t xml:space="preserve">rthoses are routinely prescribed to </w:t>
      </w:r>
      <w:r w:rsidRPr="008D237F">
        <w:rPr>
          <w:lang w:val="en-US"/>
        </w:rPr>
        <w:t xml:space="preserve">people with diabetes </w:t>
      </w:r>
      <w:r w:rsidRPr="008D237F">
        <w:t xml:space="preserve">to offload pressure in areas of the foot that may cause ulceration. However, there is little scientific evidence on the use of custom foot orthoses in diabetes to </w:t>
      </w:r>
      <w:r w:rsidRPr="00EC6B8A">
        <w:t xml:space="preserve">improve </w:t>
      </w:r>
      <w:r w:rsidR="001A1CD8" w:rsidRPr="00EC6B8A">
        <w:t>gait</w:t>
      </w:r>
      <w:r w:rsidRPr="00EC6B8A">
        <w:t xml:space="preserve"> and reduce further deformity. </w:t>
      </w:r>
      <w:bookmarkStart w:id="0" w:name="_Toc263886543"/>
      <w:r w:rsidRPr="00EC6B8A">
        <w:rPr>
          <w:lang w:eastAsia="en-GB"/>
        </w:rPr>
        <w:t>Systematic reviews that have examine</w:t>
      </w:r>
      <w:r w:rsidR="00242F1A" w:rsidRPr="00EC6B8A">
        <w:rPr>
          <w:lang w:eastAsia="en-GB"/>
        </w:rPr>
        <w:t>d the effectiveness of orthoses</w:t>
      </w:r>
      <w:r w:rsidRPr="00EC6B8A">
        <w:rPr>
          <w:lang w:eastAsia="en-GB"/>
        </w:rPr>
        <w:t xml:space="preserve"> in preventing ulceration in people with diabetes</w:t>
      </w:r>
      <w:r w:rsidR="0000516B" w:rsidRPr="00EC6B8A">
        <w:rPr>
          <w:lang w:eastAsia="en-GB"/>
        </w:rPr>
        <w:fldChar w:fldCharType="begin"/>
      </w:r>
      <w:r w:rsidR="00165C2B" w:rsidRPr="00EC6B8A">
        <w:rPr>
          <w:lang w:eastAsia="en-GB"/>
        </w:rPr>
        <w:instrText>ADDIN RW.CITE{{205 Spencer, S. 2000; 206 Bus, S.A. 2008; 207 Paton, J. 2011; 281 Mason, J. 1999}}</w:instrText>
      </w:r>
      <w:r w:rsidR="0000516B" w:rsidRPr="00EC6B8A">
        <w:rPr>
          <w:lang w:eastAsia="en-GB"/>
        </w:rPr>
        <w:fldChar w:fldCharType="separate"/>
      </w:r>
      <w:r w:rsidR="008D237F" w:rsidRPr="00EC6B8A">
        <w:rPr>
          <w:vertAlign w:val="superscript"/>
        </w:rPr>
        <w:t>1-4</w:t>
      </w:r>
      <w:r w:rsidR="0000516B" w:rsidRPr="00EC6B8A">
        <w:rPr>
          <w:lang w:eastAsia="en-GB"/>
        </w:rPr>
        <w:fldChar w:fldCharType="end"/>
      </w:r>
      <w:r w:rsidRPr="00EC6B8A">
        <w:rPr>
          <w:lang w:eastAsia="en-GB"/>
        </w:rPr>
        <w:t xml:space="preserve"> have cautiously supported their use, with the authors considering the limited evidence from which they had made their conclusion. Subsequently these reviews have pointed out a major limitation of research in this area; although ortho</w:t>
      </w:r>
      <w:r w:rsidR="00242F1A" w:rsidRPr="00EC6B8A">
        <w:rPr>
          <w:lang w:eastAsia="en-GB"/>
        </w:rPr>
        <w:t>ses</w:t>
      </w:r>
      <w:r w:rsidRPr="00EC6B8A">
        <w:rPr>
          <w:lang w:eastAsia="en-GB"/>
        </w:rPr>
        <w:t xml:space="preserve"> are shown to be of benefit in preventing ulceration current research does not allow for recommendations regarding the type of ortho</w:t>
      </w:r>
      <w:r w:rsidR="00242F1A" w:rsidRPr="00EC6B8A">
        <w:rPr>
          <w:lang w:eastAsia="en-GB"/>
        </w:rPr>
        <w:t>ses</w:t>
      </w:r>
      <w:r w:rsidRPr="00EC6B8A">
        <w:rPr>
          <w:lang w:eastAsia="en-GB"/>
        </w:rPr>
        <w:t xml:space="preserve"> to be prescribed. Furthermore research to date does not provide a conclusive answer to what the most suitable materials to use in constructing orthoses for different patient requirements are</w:t>
      </w:r>
      <w:r w:rsidR="0000516B" w:rsidRPr="00EC6B8A">
        <w:rPr>
          <w:lang w:eastAsia="en-GB"/>
        </w:rPr>
        <w:fldChar w:fldCharType="begin"/>
      </w:r>
      <w:r w:rsidR="00165C2B" w:rsidRPr="00EC6B8A">
        <w:rPr>
          <w:lang w:eastAsia="en-GB"/>
        </w:rPr>
        <w:instrText>ADDIN RW.CITE{{262 Healy, A. 2010}}</w:instrText>
      </w:r>
      <w:r w:rsidR="0000516B" w:rsidRPr="00EC6B8A">
        <w:rPr>
          <w:lang w:eastAsia="en-GB"/>
        </w:rPr>
        <w:fldChar w:fldCharType="separate"/>
      </w:r>
      <w:r w:rsidR="008D237F" w:rsidRPr="00EC6B8A">
        <w:rPr>
          <w:vertAlign w:val="superscript"/>
        </w:rPr>
        <w:t>5</w:t>
      </w:r>
      <w:r w:rsidR="0000516B" w:rsidRPr="00EC6B8A">
        <w:rPr>
          <w:lang w:eastAsia="en-GB"/>
        </w:rPr>
        <w:fldChar w:fldCharType="end"/>
      </w:r>
      <w:r w:rsidRPr="00EC6B8A">
        <w:rPr>
          <w:lang w:eastAsia="en-GB"/>
        </w:rPr>
        <w:t>.</w:t>
      </w:r>
    </w:p>
    <w:p w:rsidR="0051671D" w:rsidRPr="00EC6B8A" w:rsidRDefault="0051671D" w:rsidP="0051671D">
      <w:pPr>
        <w:spacing w:after="0" w:line="480" w:lineRule="auto"/>
        <w:jc w:val="both"/>
        <w:rPr>
          <w:lang w:eastAsia="en-GB"/>
        </w:rPr>
      </w:pPr>
    </w:p>
    <w:p w:rsidR="000A240E" w:rsidRPr="00EC6B8A" w:rsidRDefault="00C667BA" w:rsidP="0051671D">
      <w:pPr>
        <w:spacing w:after="0" w:line="480" w:lineRule="auto"/>
        <w:jc w:val="both"/>
        <w:rPr>
          <w:lang w:eastAsia="en-GB"/>
        </w:rPr>
      </w:pPr>
      <w:r w:rsidRPr="00EC6B8A">
        <w:t>In-shoe pressure measurements, namely peak pressure, peak force and pressure time integral</w:t>
      </w:r>
      <w:r w:rsidR="0000516B" w:rsidRPr="00EC6B8A">
        <w:fldChar w:fldCharType="begin"/>
      </w:r>
      <w:r w:rsidR="00C93A4D" w:rsidRPr="00EC6B8A">
        <w:instrText>ADDIN RW.CITE{{275 Rosenbaum, D. 1997}}</w:instrText>
      </w:r>
      <w:r w:rsidR="0000516B" w:rsidRPr="00EC6B8A">
        <w:fldChar w:fldCharType="separate"/>
      </w:r>
      <w:r w:rsidR="008D237F" w:rsidRPr="00EC6B8A">
        <w:rPr>
          <w:bCs/>
          <w:vertAlign w:val="superscript"/>
        </w:rPr>
        <w:t>6</w:t>
      </w:r>
      <w:r w:rsidR="0000516B" w:rsidRPr="00EC6B8A">
        <w:fldChar w:fldCharType="end"/>
      </w:r>
      <w:r w:rsidRPr="00EC6B8A">
        <w:t xml:space="preserve"> are the most common outcome measures used in research to determine the effectiveness of ortho</w:t>
      </w:r>
      <w:r w:rsidR="00242F1A" w:rsidRPr="00EC6B8A">
        <w:t>ses</w:t>
      </w:r>
      <w:r w:rsidR="00E31D09">
        <w:fldChar w:fldCharType="begin"/>
      </w:r>
      <w:r w:rsidR="00E31D09">
        <w:instrText>ADDIN RW.CITE{{221 Bus, S.A. 2004; 211 Mueller, M.J. 2006; 176 Lavery, L.A. 1997; 219 Burns,J. 2009}}</w:instrText>
      </w:r>
      <w:r w:rsidR="00E31D09">
        <w:fldChar w:fldCharType="separate"/>
      </w:r>
      <w:r w:rsidR="008D237F" w:rsidRPr="00EC6B8A">
        <w:rPr>
          <w:vertAlign w:val="superscript"/>
        </w:rPr>
        <w:t>7-10</w:t>
      </w:r>
      <w:r w:rsidR="00E31D09">
        <w:rPr>
          <w:vertAlign w:val="superscript"/>
        </w:rPr>
        <w:fldChar w:fldCharType="end"/>
      </w:r>
      <w:r w:rsidRPr="00EC6B8A">
        <w:t>. The widespread use of in-shoe pressure measurements in research studies involving orthotic effectiveness is based on the established link between high foot pressure and ulceration which has previously been shown in an early retrospective study by Stokes et al.</w:t>
      </w:r>
      <w:r w:rsidR="0000516B" w:rsidRPr="00EC6B8A">
        <w:fldChar w:fldCharType="begin"/>
      </w:r>
      <w:r w:rsidR="00DC27F9" w:rsidRPr="00EC6B8A">
        <w:instrText>ADDIN RW.CITE{{217 Stokes, I.A.F. 1975/a}}</w:instrText>
      </w:r>
      <w:r w:rsidR="0000516B" w:rsidRPr="00EC6B8A">
        <w:fldChar w:fldCharType="separate"/>
      </w:r>
      <w:r w:rsidR="008D237F" w:rsidRPr="00EC6B8A">
        <w:rPr>
          <w:vertAlign w:val="superscript"/>
        </w:rPr>
        <w:t>11</w:t>
      </w:r>
      <w:r w:rsidR="0000516B" w:rsidRPr="00EC6B8A">
        <w:fldChar w:fldCharType="end"/>
      </w:r>
      <w:r w:rsidRPr="00EC6B8A">
        <w:t xml:space="preserve"> and a more recent prospective study by Veves et al.</w:t>
      </w:r>
      <w:r w:rsidR="0000516B" w:rsidRPr="00EC6B8A">
        <w:fldChar w:fldCharType="begin"/>
      </w:r>
      <w:r w:rsidR="00DC27F9" w:rsidRPr="00EC6B8A">
        <w:instrText>ADDIN RW.CITE{{218 Veves, A. 1992/a}}</w:instrText>
      </w:r>
      <w:r w:rsidR="0000516B" w:rsidRPr="00EC6B8A">
        <w:fldChar w:fldCharType="separate"/>
      </w:r>
      <w:r w:rsidR="008D237F" w:rsidRPr="00EC6B8A">
        <w:rPr>
          <w:vertAlign w:val="superscript"/>
        </w:rPr>
        <w:t>12</w:t>
      </w:r>
      <w:r w:rsidR="0000516B" w:rsidRPr="00EC6B8A">
        <w:fldChar w:fldCharType="end"/>
      </w:r>
      <w:r w:rsidRPr="00EC6B8A">
        <w:t>. The cause of increased foot pressure in people with diabetes has received much discussion with both neuropathy</w:t>
      </w:r>
      <w:r w:rsidR="0000516B" w:rsidRPr="00EC6B8A">
        <w:fldChar w:fldCharType="begin"/>
      </w:r>
      <w:r w:rsidR="00DC27F9" w:rsidRPr="00EC6B8A">
        <w:instrText>ADDIN RW.CITE{{195 Reiber, G.E. 1999; 261 Van Schie, C.H.M. 2005}}</w:instrText>
      </w:r>
      <w:r w:rsidR="0000516B" w:rsidRPr="00EC6B8A">
        <w:fldChar w:fldCharType="separate"/>
      </w:r>
      <w:r w:rsidR="008D237F" w:rsidRPr="00EC6B8A">
        <w:rPr>
          <w:vertAlign w:val="superscript"/>
        </w:rPr>
        <w:t>13,14</w:t>
      </w:r>
      <w:r w:rsidR="0000516B" w:rsidRPr="00EC6B8A">
        <w:fldChar w:fldCharType="end"/>
      </w:r>
      <w:r w:rsidRPr="00EC6B8A">
        <w:t xml:space="preserve"> </w:t>
      </w:r>
      <w:r w:rsidRPr="00EC6B8A">
        <w:rPr>
          <w:lang w:eastAsia="en-GB"/>
        </w:rPr>
        <w:t>and limited joint mobility at the ankle and foot</w:t>
      </w:r>
      <w:r w:rsidR="0000516B" w:rsidRPr="00EC6B8A">
        <w:rPr>
          <w:lang w:eastAsia="en-GB"/>
        </w:rPr>
        <w:fldChar w:fldCharType="begin"/>
      </w:r>
      <w:r w:rsidR="00165C2B" w:rsidRPr="00EC6B8A">
        <w:rPr>
          <w:lang w:eastAsia="en-GB"/>
        </w:rPr>
        <w:instrText>ADDIN RW.CITE{{258 Viswanathan, V. 2003; 259 Fernando, D.J. 1991; 260 Delbridge, L. 1988}}</w:instrText>
      </w:r>
      <w:r w:rsidR="0000516B" w:rsidRPr="00EC6B8A">
        <w:rPr>
          <w:lang w:eastAsia="en-GB"/>
        </w:rPr>
        <w:fldChar w:fldCharType="separate"/>
      </w:r>
      <w:r w:rsidR="008D237F" w:rsidRPr="00EC6B8A">
        <w:rPr>
          <w:vertAlign w:val="superscript"/>
        </w:rPr>
        <w:t>15-17</w:t>
      </w:r>
      <w:r w:rsidR="0000516B" w:rsidRPr="00EC6B8A">
        <w:rPr>
          <w:lang w:eastAsia="en-GB"/>
        </w:rPr>
        <w:fldChar w:fldCharType="end"/>
      </w:r>
      <w:r w:rsidR="000A240E" w:rsidRPr="00EC6B8A">
        <w:rPr>
          <w:lang w:eastAsia="en-GB"/>
        </w:rPr>
        <w:t xml:space="preserve"> </w:t>
      </w:r>
      <w:r w:rsidR="000A240E" w:rsidRPr="00EC6B8A">
        <w:rPr>
          <w:lang w:eastAsia="en-GB"/>
        </w:rPr>
        <w:lastRenderedPageBreak/>
        <w:t>believed to contribute. Of the limited research available which used in-shoe plantar pressure measurements to compare orthoses materials some have focused on the effect of wear on the materials</w:t>
      </w:r>
      <w:r w:rsidR="0000516B" w:rsidRPr="00EC6B8A">
        <w:rPr>
          <w:lang w:eastAsia="en-GB"/>
        </w:rPr>
        <w:fldChar w:fldCharType="begin"/>
      </w:r>
      <w:r w:rsidR="000A240E" w:rsidRPr="00EC6B8A">
        <w:rPr>
          <w:lang w:eastAsia="en-GB"/>
        </w:rPr>
        <w:instrText>ADDIN RW.CITE{{176 Lavery, L.A. 1997; 238 Mohamed, O. 2004; 175 Burns, J. 2008}}</w:instrText>
      </w:r>
      <w:r w:rsidR="0000516B" w:rsidRPr="00EC6B8A">
        <w:rPr>
          <w:lang w:eastAsia="en-GB"/>
        </w:rPr>
        <w:fldChar w:fldCharType="separate"/>
      </w:r>
      <w:r w:rsidR="008D237F" w:rsidRPr="00EC6B8A">
        <w:rPr>
          <w:bCs/>
          <w:vertAlign w:val="superscript"/>
        </w:rPr>
        <w:t>9,18,19</w:t>
      </w:r>
      <w:r w:rsidR="0000516B" w:rsidRPr="00EC6B8A">
        <w:rPr>
          <w:lang w:eastAsia="en-GB"/>
        </w:rPr>
        <w:fldChar w:fldCharType="end"/>
      </w:r>
      <w:r w:rsidR="000A240E" w:rsidRPr="00EC6B8A">
        <w:rPr>
          <w:lang w:eastAsia="en-GB"/>
        </w:rPr>
        <w:t xml:space="preserve"> while others have compared the immediate effect of different orthoses materials on plantar pressures while walking</w:t>
      </w:r>
      <w:r w:rsidR="0000516B" w:rsidRPr="00EC6B8A">
        <w:rPr>
          <w:lang w:eastAsia="en-GB"/>
        </w:rPr>
        <w:fldChar w:fldCharType="begin"/>
      </w:r>
      <w:r w:rsidR="000A240E" w:rsidRPr="00EC6B8A">
        <w:rPr>
          <w:lang w:eastAsia="en-GB"/>
        </w:rPr>
        <w:instrText>ADDIN RW.CITE{{182 Birke, J.A. 1999; 228 Tong, J.W.K. 2010}}</w:instrText>
      </w:r>
      <w:r w:rsidR="0000516B" w:rsidRPr="00EC6B8A">
        <w:rPr>
          <w:lang w:eastAsia="en-GB"/>
        </w:rPr>
        <w:fldChar w:fldCharType="separate"/>
      </w:r>
      <w:r w:rsidR="008D237F" w:rsidRPr="00EC6B8A">
        <w:rPr>
          <w:bCs/>
          <w:vertAlign w:val="superscript"/>
        </w:rPr>
        <w:t>20,21</w:t>
      </w:r>
      <w:r w:rsidR="0000516B" w:rsidRPr="00EC6B8A">
        <w:rPr>
          <w:lang w:eastAsia="en-GB"/>
        </w:rPr>
        <w:fldChar w:fldCharType="end"/>
      </w:r>
      <w:r w:rsidR="000A240E" w:rsidRPr="00EC6B8A">
        <w:rPr>
          <w:lang w:eastAsia="en-GB"/>
        </w:rPr>
        <w:t xml:space="preserve">. </w:t>
      </w:r>
      <w:r w:rsidR="0016248E" w:rsidRPr="00EC6B8A">
        <w:rPr>
          <w:lang w:eastAsia="en-GB"/>
        </w:rPr>
        <w:t>Both of these studies compared flat insoles with Birke et al.</w:t>
      </w:r>
      <w:r w:rsidR="0000516B" w:rsidRPr="00EC6B8A">
        <w:rPr>
          <w:lang w:eastAsia="en-GB"/>
        </w:rPr>
        <w:fldChar w:fldCharType="begin"/>
      </w:r>
      <w:r w:rsidR="0016248E" w:rsidRPr="00EC6B8A">
        <w:rPr>
          <w:lang w:eastAsia="en-GB"/>
        </w:rPr>
        <w:instrText>ADDIN RW.CITE{{182 Birke, J.A. 1999}}</w:instrText>
      </w:r>
      <w:r w:rsidR="0000516B" w:rsidRPr="00EC6B8A">
        <w:rPr>
          <w:lang w:eastAsia="en-GB"/>
        </w:rPr>
        <w:fldChar w:fldCharType="separate"/>
      </w:r>
      <w:r w:rsidR="008D237F" w:rsidRPr="00EC6B8A">
        <w:rPr>
          <w:bCs/>
          <w:vertAlign w:val="superscript"/>
        </w:rPr>
        <w:t>20</w:t>
      </w:r>
      <w:r w:rsidR="0000516B" w:rsidRPr="00EC6B8A">
        <w:rPr>
          <w:lang w:eastAsia="en-GB"/>
        </w:rPr>
        <w:fldChar w:fldCharType="end"/>
      </w:r>
      <w:r w:rsidR="0016248E" w:rsidRPr="00EC6B8A">
        <w:rPr>
          <w:lang w:eastAsia="en-GB"/>
        </w:rPr>
        <w:t xml:space="preserve"> comparing Poron</w:t>
      </w:r>
      <w:r w:rsidR="0016248E" w:rsidRPr="00EC6B8A">
        <w:rPr>
          <w:vertAlign w:val="superscript"/>
          <w:lang w:eastAsia="en-GB"/>
        </w:rPr>
        <w:t xml:space="preserve">® </w:t>
      </w:r>
      <w:r w:rsidR="0016248E" w:rsidRPr="00EC6B8A">
        <w:rPr>
          <w:lang w:eastAsia="en-GB"/>
        </w:rPr>
        <w:t>insoles of different hardness values and Tong and Ng</w:t>
      </w:r>
      <w:r w:rsidR="0000516B" w:rsidRPr="00EC6B8A">
        <w:rPr>
          <w:lang w:eastAsia="en-GB"/>
        </w:rPr>
        <w:fldChar w:fldCharType="begin"/>
      </w:r>
      <w:r w:rsidR="0016248E" w:rsidRPr="00EC6B8A">
        <w:rPr>
          <w:lang w:eastAsia="en-GB"/>
        </w:rPr>
        <w:instrText>ADDIN RW.CITE{{228 Tong, J.W.K. 2010}}</w:instrText>
      </w:r>
      <w:r w:rsidR="0000516B" w:rsidRPr="00EC6B8A">
        <w:rPr>
          <w:lang w:eastAsia="en-GB"/>
        </w:rPr>
        <w:fldChar w:fldCharType="separate"/>
      </w:r>
      <w:r w:rsidR="008D237F" w:rsidRPr="00EC6B8A">
        <w:rPr>
          <w:bCs/>
          <w:vertAlign w:val="superscript"/>
        </w:rPr>
        <w:t>21</w:t>
      </w:r>
      <w:r w:rsidR="0000516B" w:rsidRPr="00EC6B8A">
        <w:rPr>
          <w:lang w:eastAsia="en-GB"/>
        </w:rPr>
        <w:fldChar w:fldCharType="end"/>
      </w:r>
      <w:r w:rsidR="0016248E" w:rsidRPr="00EC6B8A">
        <w:rPr>
          <w:lang w:eastAsia="en-GB"/>
        </w:rPr>
        <w:t xml:space="preserve"> comparing two types of Poron</w:t>
      </w:r>
      <w:r w:rsidR="0016248E" w:rsidRPr="00EC6B8A">
        <w:rPr>
          <w:vertAlign w:val="superscript"/>
          <w:lang w:eastAsia="en-GB"/>
        </w:rPr>
        <w:t>®</w:t>
      </w:r>
      <w:r w:rsidR="0016248E" w:rsidRPr="00EC6B8A">
        <w:rPr>
          <w:lang w:eastAsia="en-GB"/>
        </w:rPr>
        <w:t xml:space="preserve"> and two combinations of Poron</w:t>
      </w:r>
      <w:r w:rsidR="0016248E" w:rsidRPr="00EC6B8A">
        <w:rPr>
          <w:vertAlign w:val="superscript"/>
          <w:lang w:eastAsia="en-GB"/>
        </w:rPr>
        <w:t>®</w:t>
      </w:r>
      <w:r w:rsidR="0016248E" w:rsidRPr="00EC6B8A">
        <w:rPr>
          <w:lang w:eastAsia="en-GB"/>
        </w:rPr>
        <w:t xml:space="preserve"> and Plastazote</w:t>
      </w:r>
      <w:r w:rsidR="0016248E" w:rsidRPr="00EC6B8A">
        <w:rPr>
          <w:vertAlign w:val="superscript"/>
          <w:lang w:eastAsia="en-GB"/>
        </w:rPr>
        <w:t>®</w:t>
      </w:r>
      <w:r w:rsidR="0016248E" w:rsidRPr="00EC6B8A">
        <w:rPr>
          <w:lang w:eastAsia="en-GB"/>
        </w:rPr>
        <w:t>. While this previous research examining Poron was warranted as it is a common prescription choice, other materials which a</w:t>
      </w:r>
      <w:r w:rsidR="00FB62AF">
        <w:rPr>
          <w:lang w:eastAsia="en-GB"/>
        </w:rPr>
        <w:t>re commonly prescribed, such as</w:t>
      </w:r>
      <w:r w:rsidR="0016248E" w:rsidRPr="00EC6B8A">
        <w:rPr>
          <w:lang w:eastAsia="en-GB"/>
        </w:rPr>
        <w:t xml:space="preserve"> ethyl vinyl acetate and polyurethane</w:t>
      </w:r>
      <w:r w:rsidR="0000516B" w:rsidRPr="00EC6B8A">
        <w:rPr>
          <w:lang w:eastAsia="en-GB"/>
        </w:rPr>
        <w:fldChar w:fldCharType="begin"/>
      </w:r>
      <w:r w:rsidR="0016248E" w:rsidRPr="00EC6B8A">
        <w:rPr>
          <w:lang w:eastAsia="en-GB"/>
        </w:rPr>
        <w:instrText>ADDIN RW.CITE{{263 Healy, A. 2010}}</w:instrText>
      </w:r>
      <w:r w:rsidR="0000516B" w:rsidRPr="00EC6B8A">
        <w:rPr>
          <w:lang w:eastAsia="en-GB"/>
        </w:rPr>
        <w:fldChar w:fldCharType="separate"/>
      </w:r>
      <w:r w:rsidR="008D237F" w:rsidRPr="00EC6B8A">
        <w:rPr>
          <w:bCs/>
          <w:vertAlign w:val="superscript"/>
        </w:rPr>
        <w:t>22</w:t>
      </w:r>
      <w:r w:rsidR="0000516B" w:rsidRPr="00EC6B8A">
        <w:rPr>
          <w:lang w:eastAsia="en-GB"/>
        </w:rPr>
        <w:fldChar w:fldCharType="end"/>
      </w:r>
      <w:r w:rsidR="0016248E" w:rsidRPr="00EC6B8A">
        <w:rPr>
          <w:lang w:eastAsia="en-GB"/>
        </w:rPr>
        <w:t xml:space="preserve">, have not been examined. </w:t>
      </w:r>
    </w:p>
    <w:p w:rsidR="0051671D" w:rsidRPr="00EC6B8A" w:rsidRDefault="0051671D" w:rsidP="0051671D">
      <w:pPr>
        <w:spacing w:after="0" w:line="480" w:lineRule="auto"/>
        <w:jc w:val="both"/>
        <w:rPr>
          <w:lang w:eastAsia="en-GB"/>
        </w:rPr>
      </w:pPr>
    </w:p>
    <w:p w:rsidR="002668F1" w:rsidRPr="00EC6B8A" w:rsidRDefault="00C667BA" w:rsidP="0051671D">
      <w:pPr>
        <w:spacing w:after="0" w:line="480" w:lineRule="auto"/>
        <w:jc w:val="both"/>
      </w:pPr>
      <w:r w:rsidRPr="00EC6B8A">
        <w:t>The comparison of plantar pressures when using flat versus custom ortho</w:t>
      </w:r>
      <w:r w:rsidR="00242F1A" w:rsidRPr="00EC6B8A">
        <w:t>ses</w:t>
      </w:r>
      <w:r w:rsidRPr="00EC6B8A">
        <w:t xml:space="preserve"> have been conducted by a number of researchers</w:t>
      </w:r>
      <w:r w:rsidR="0000516B" w:rsidRPr="00EC6B8A">
        <w:fldChar w:fldCharType="begin"/>
      </w:r>
      <w:r w:rsidR="00DC27F9" w:rsidRPr="00EC6B8A">
        <w:instrText>ADDIN RW.CITE{{214 Duffin, A.C. 2003; 216 Yuk San Tsung, B. 2004; 219 Burns,J. 2009; 220 Lord, M. 1994; 221 Bus, S.A. 2004; 222 Ashry, H.R. 1997; 182 Birke, J.A. 1999}}</w:instrText>
      </w:r>
      <w:r w:rsidR="0000516B" w:rsidRPr="00EC6B8A">
        <w:fldChar w:fldCharType="separate"/>
      </w:r>
      <w:r w:rsidR="008D237F" w:rsidRPr="00EC6B8A">
        <w:rPr>
          <w:vertAlign w:val="superscript"/>
        </w:rPr>
        <w:t>7,10,20,23-26</w:t>
      </w:r>
      <w:r w:rsidR="0000516B" w:rsidRPr="00EC6B8A">
        <w:fldChar w:fldCharType="end"/>
      </w:r>
      <w:r w:rsidRPr="00EC6B8A">
        <w:t>. While direct comparison between these studies is not possible due to the wide variety in both participants and interventions used results from all but one of these studies</w:t>
      </w:r>
      <w:r w:rsidR="00E31D09">
        <w:fldChar w:fldCharType="begin"/>
      </w:r>
      <w:r w:rsidR="00E31D09">
        <w:instrText>ADDIN RW.CITE{{214 Duffin, A.C. 2003}}</w:instrText>
      </w:r>
      <w:r w:rsidR="00E31D09">
        <w:fldChar w:fldCharType="separate"/>
      </w:r>
      <w:r w:rsidR="008D237F" w:rsidRPr="00EC6B8A">
        <w:rPr>
          <w:vertAlign w:val="superscript"/>
        </w:rPr>
        <w:t>23</w:t>
      </w:r>
      <w:r w:rsidR="00E31D09">
        <w:rPr>
          <w:vertAlign w:val="superscript"/>
        </w:rPr>
        <w:fldChar w:fldCharType="end"/>
      </w:r>
      <w:r w:rsidRPr="00EC6B8A">
        <w:t xml:space="preserve"> has supported the use of custom ortho</w:t>
      </w:r>
      <w:r w:rsidR="00242F1A" w:rsidRPr="00EC6B8A">
        <w:t>ses</w:t>
      </w:r>
      <w:r w:rsidRPr="00EC6B8A">
        <w:t xml:space="preserve"> over flat.  Only one of these studies</w:t>
      </w:r>
      <w:r w:rsidR="00E31D09">
        <w:fldChar w:fldCharType="begin"/>
      </w:r>
      <w:r w:rsidR="00E31D09">
        <w:instrText>ADDIN RW.CITE{{216 Yuk San Tsung, B. 2004}}</w:instrText>
      </w:r>
      <w:r w:rsidR="00E31D09">
        <w:fldChar w:fldCharType="separate"/>
      </w:r>
      <w:r w:rsidR="008D237F" w:rsidRPr="00EC6B8A">
        <w:rPr>
          <w:vertAlign w:val="superscript"/>
        </w:rPr>
        <w:t>24</w:t>
      </w:r>
      <w:r w:rsidR="00E31D09">
        <w:rPr>
          <w:vertAlign w:val="superscript"/>
        </w:rPr>
        <w:fldChar w:fldCharType="end"/>
      </w:r>
      <w:r w:rsidRPr="00EC6B8A">
        <w:t xml:space="preserve"> used the same material in the construction of both their flat insoles and custom devices, allowing identification of possible differences in the materials performance when used flat and when custom moulded to a participant’s foot. </w:t>
      </w:r>
      <w:r w:rsidR="002668F1" w:rsidRPr="00EC6B8A">
        <w:t>Previous research which has examined the effect of orthoses on lower limb kinematics has shown that changes in kinematics are evident when wearing orthoses compared to a shoe only condition</w:t>
      </w:r>
      <w:r w:rsidR="0000516B" w:rsidRPr="00EC6B8A">
        <w:fldChar w:fldCharType="begin"/>
      </w:r>
      <w:r w:rsidR="002668F1" w:rsidRPr="00EC6B8A">
        <w:instrText>ADDIN RW.CITE{{348 Branthwaite, H.R. 2004}}</w:instrText>
      </w:r>
      <w:r w:rsidR="0000516B" w:rsidRPr="00EC6B8A">
        <w:fldChar w:fldCharType="separate"/>
      </w:r>
      <w:r w:rsidR="008D237F" w:rsidRPr="00EC6B8A">
        <w:rPr>
          <w:bCs/>
          <w:vertAlign w:val="superscript"/>
        </w:rPr>
        <w:t>27</w:t>
      </w:r>
      <w:r w:rsidR="0000516B" w:rsidRPr="00EC6B8A">
        <w:fldChar w:fldCharType="end"/>
      </w:r>
      <w:r w:rsidR="002668F1" w:rsidRPr="00EC6B8A">
        <w:t>.</w:t>
      </w:r>
    </w:p>
    <w:p w:rsidR="002668F1" w:rsidRPr="00EC6B8A" w:rsidRDefault="002668F1" w:rsidP="0051671D">
      <w:pPr>
        <w:spacing w:after="0" w:line="480" w:lineRule="auto"/>
        <w:jc w:val="both"/>
      </w:pPr>
    </w:p>
    <w:p w:rsidR="00C667BA" w:rsidRPr="008D237F" w:rsidRDefault="00C667BA" w:rsidP="0051671D">
      <w:pPr>
        <w:spacing w:after="0" w:line="480" w:lineRule="auto"/>
        <w:jc w:val="both"/>
        <w:rPr>
          <w:b/>
          <w:lang w:eastAsia="en-GB"/>
        </w:rPr>
      </w:pPr>
      <w:r w:rsidRPr="00EC6B8A">
        <w:lastRenderedPageBreak/>
        <w:t xml:space="preserve">With the range of material available for the manufacture of custom foot orthoses growing year on year, the aim of this </w:t>
      </w:r>
      <w:r w:rsidR="00F94E4D" w:rsidRPr="00EC6B8A">
        <w:rPr>
          <w:lang w:eastAsia="en-GB"/>
        </w:rPr>
        <w:t>study was</w:t>
      </w:r>
      <w:r w:rsidRPr="00EC6B8A">
        <w:rPr>
          <w:lang w:eastAsia="en-GB"/>
        </w:rPr>
        <w:t xml:space="preserve"> to gain a greater understanding of the characteristics of the materials used and how they affect gait with a view to informing the clinical decision making process in the provision of foot orthoses </w:t>
      </w:r>
      <w:r w:rsidRPr="00EC6B8A">
        <w:t>for</w:t>
      </w:r>
      <w:r w:rsidRPr="00EC6B8A">
        <w:rPr>
          <w:lang w:eastAsia="en-GB"/>
        </w:rPr>
        <w:t xml:space="preserve"> people with diabetes. </w:t>
      </w:r>
      <w:r w:rsidR="007D2199" w:rsidRPr="00EC6B8A">
        <w:rPr>
          <w:lang w:eastAsia="en-GB"/>
        </w:rPr>
        <w:t>To extend the current knowledge and understanding in this area, i</w:t>
      </w:r>
      <w:r w:rsidR="002D4C8F" w:rsidRPr="00EC6B8A">
        <w:rPr>
          <w:lang w:eastAsia="en-GB"/>
        </w:rPr>
        <w:t xml:space="preserve">t was </w:t>
      </w:r>
      <w:r w:rsidR="00F82CAE" w:rsidRPr="00EC6B8A">
        <w:rPr>
          <w:lang w:eastAsia="en-GB"/>
        </w:rPr>
        <w:t>hypothesized</w:t>
      </w:r>
      <w:r w:rsidR="002D4C8F" w:rsidRPr="00EC6B8A">
        <w:rPr>
          <w:lang w:eastAsia="en-GB"/>
        </w:rPr>
        <w:t xml:space="preserve"> that insole material </w:t>
      </w:r>
      <w:r w:rsidR="0016248E" w:rsidRPr="00EC6B8A">
        <w:rPr>
          <w:lang w:eastAsia="en-GB"/>
        </w:rPr>
        <w:t xml:space="preserve">(ethyl vinyl acetate and polyurethane) </w:t>
      </w:r>
      <w:r w:rsidR="002668F1" w:rsidRPr="00EC6B8A">
        <w:rPr>
          <w:lang w:eastAsia="en-GB"/>
        </w:rPr>
        <w:t xml:space="preserve">and construction </w:t>
      </w:r>
      <w:r w:rsidR="0016248E" w:rsidRPr="00EC6B8A">
        <w:rPr>
          <w:lang w:eastAsia="en-GB"/>
        </w:rPr>
        <w:t xml:space="preserve">(flat and custom) </w:t>
      </w:r>
      <w:r w:rsidR="002D4C8F" w:rsidRPr="00EC6B8A">
        <w:rPr>
          <w:lang w:eastAsia="en-GB"/>
        </w:rPr>
        <w:t>would have an effect on lower limb kinematics and</w:t>
      </w:r>
      <w:r w:rsidR="002D4C8F" w:rsidRPr="008D237F">
        <w:rPr>
          <w:b/>
          <w:lang w:eastAsia="en-GB"/>
        </w:rPr>
        <w:t xml:space="preserve"> </w:t>
      </w:r>
      <w:r w:rsidR="001B5552" w:rsidRPr="00D04863">
        <w:rPr>
          <w:lang w:eastAsia="en-GB"/>
        </w:rPr>
        <w:t>plantar pressures</w:t>
      </w:r>
      <w:r w:rsidR="002D4C8F" w:rsidRPr="00D04863">
        <w:rPr>
          <w:lang w:eastAsia="en-GB"/>
        </w:rPr>
        <w:t>.</w:t>
      </w:r>
      <w:r w:rsidRPr="008D237F">
        <w:rPr>
          <w:b/>
          <w:lang w:eastAsia="en-GB"/>
        </w:rPr>
        <w:t xml:space="preserve"> </w:t>
      </w:r>
    </w:p>
    <w:p w:rsidR="00E8098C" w:rsidRPr="008D237F" w:rsidRDefault="00E8098C" w:rsidP="0051671D">
      <w:pPr>
        <w:pStyle w:val="Heading3"/>
        <w:spacing w:before="0" w:line="480" w:lineRule="auto"/>
        <w:jc w:val="both"/>
        <w:rPr>
          <w:rFonts w:cs="Arial"/>
          <w:b w:val="0"/>
          <w:bCs w:val="0"/>
          <w:sz w:val="22"/>
          <w:lang w:val="en-GB" w:eastAsia="en-GB"/>
        </w:rPr>
      </w:pPr>
    </w:p>
    <w:p w:rsidR="00C667BA" w:rsidRPr="008D237F" w:rsidRDefault="00C667BA" w:rsidP="0051671D">
      <w:pPr>
        <w:pStyle w:val="Heading3"/>
        <w:spacing w:before="0" w:line="480" w:lineRule="auto"/>
        <w:jc w:val="both"/>
        <w:rPr>
          <w:rFonts w:cs="Arial"/>
          <w:sz w:val="22"/>
          <w:lang w:eastAsia="en-GB"/>
        </w:rPr>
      </w:pPr>
      <w:r w:rsidRPr="008D237F">
        <w:rPr>
          <w:rFonts w:cs="Arial"/>
          <w:sz w:val="22"/>
          <w:lang w:eastAsia="en-GB"/>
        </w:rPr>
        <w:t>Method</w:t>
      </w:r>
      <w:bookmarkEnd w:id="0"/>
      <w:r w:rsidR="00E8098C" w:rsidRPr="008D237F">
        <w:rPr>
          <w:rFonts w:cs="Arial"/>
          <w:sz w:val="22"/>
          <w:lang w:eastAsia="en-GB"/>
        </w:rPr>
        <w:t>s</w:t>
      </w:r>
    </w:p>
    <w:p w:rsidR="00F94974" w:rsidRPr="008D237F" w:rsidRDefault="00F94974" w:rsidP="00F94974">
      <w:pPr>
        <w:rPr>
          <w:lang w:val="en-US" w:eastAsia="en-GB"/>
        </w:rPr>
      </w:pPr>
    </w:p>
    <w:p w:rsidR="00C667BA" w:rsidRPr="008D237F" w:rsidRDefault="00C667BA" w:rsidP="0051671D">
      <w:pPr>
        <w:pStyle w:val="Heading3"/>
        <w:spacing w:before="0" w:line="480" w:lineRule="auto"/>
        <w:jc w:val="both"/>
        <w:rPr>
          <w:rFonts w:cs="Arial"/>
          <w:b w:val="0"/>
          <w:i/>
          <w:sz w:val="22"/>
          <w:lang w:eastAsia="en-GB"/>
        </w:rPr>
      </w:pPr>
      <w:r w:rsidRPr="008D237F">
        <w:rPr>
          <w:rFonts w:cs="Arial"/>
          <w:b w:val="0"/>
          <w:i/>
          <w:sz w:val="22"/>
          <w:lang w:eastAsia="en-GB"/>
        </w:rPr>
        <w:t>Participants</w:t>
      </w:r>
    </w:p>
    <w:p w:rsidR="00B43511" w:rsidRPr="00D04863" w:rsidRDefault="00C667BA" w:rsidP="00B43511">
      <w:pPr>
        <w:spacing w:after="0" w:line="480" w:lineRule="auto"/>
        <w:rPr>
          <w:highlight w:val="yellow"/>
        </w:rPr>
      </w:pPr>
      <w:r w:rsidRPr="008D237F">
        <w:t xml:space="preserve">10 healthy participants (4 males and 6 females) with an average age of 30.9 (± 12.4 years), weight of 69.3 (± 12.2 kg) and height of 172.0 (± 9.4 cm) were recruited for the study. </w:t>
      </w:r>
      <w:r w:rsidR="00B43511" w:rsidRPr="00D04863">
        <w:t>While the authors acknowledge the limitations associated with using a small sample size previous research</w:t>
      </w:r>
      <w:r w:rsidR="008D237F" w:rsidRPr="00D04863">
        <w:t xml:space="preserve"> </w:t>
      </w:r>
      <w:r w:rsidR="00B43511" w:rsidRPr="00D04863">
        <w:t>has reported that sufficient statistical power can be achieved when using a sample size of 10</w:t>
      </w:r>
      <w:r w:rsidR="008D237F" w:rsidRPr="00D04863">
        <w:fldChar w:fldCharType="begin"/>
      </w:r>
      <w:r w:rsidR="008D237F" w:rsidRPr="00D04863">
        <w:instrText>ADDIN RW.CITE{{257 Bates, B.T. 1992}}</w:instrText>
      </w:r>
      <w:r w:rsidR="008D237F" w:rsidRPr="00D04863">
        <w:fldChar w:fldCharType="separate"/>
      </w:r>
      <w:r w:rsidR="008D237F" w:rsidRPr="00D04863">
        <w:rPr>
          <w:bCs/>
          <w:vertAlign w:val="superscript"/>
        </w:rPr>
        <w:t>28</w:t>
      </w:r>
      <w:r w:rsidR="008D237F" w:rsidRPr="00D04863">
        <w:fldChar w:fldCharType="end"/>
      </w:r>
      <w:r w:rsidR="00B43511" w:rsidRPr="00D04863">
        <w:t>. While the authors acknowledge that differences in gait are evident between gender the focus of this study was on comparing the orthotic materials and not the participants and therefore we don’t consider gender to be an issue in this manuscript.</w:t>
      </w:r>
    </w:p>
    <w:p w:rsidR="00B43511" w:rsidRPr="008D237F" w:rsidRDefault="00B43511" w:rsidP="00FE0B14">
      <w:pPr>
        <w:spacing w:after="0" w:line="480" w:lineRule="auto"/>
        <w:jc w:val="both"/>
      </w:pPr>
    </w:p>
    <w:p w:rsidR="00C667BA" w:rsidRPr="00EC6B8A" w:rsidRDefault="00C667BA" w:rsidP="00FE0B14">
      <w:pPr>
        <w:spacing w:after="0" w:line="480" w:lineRule="auto"/>
        <w:jc w:val="both"/>
      </w:pPr>
      <w:r w:rsidRPr="00EC6B8A">
        <w:t xml:space="preserve">Ethical approval was received </w:t>
      </w:r>
      <w:r w:rsidR="008A02D0" w:rsidRPr="00EC6B8A">
        <w:t xml:space="preserve">from the University ethics committee </w:t>
      </w:r>
      <w:r w:rsidRPr="00EC6B8A">
        <w:t xml:space="preserve">and all participants signed the approved consent form before participating in the tests. All participants were </w:t>
      </w:r>
      <w:r w:rsidRPr="00EC6B8A">
        <w:lastRenderedPageBreak/>
        <w:t>free from any musculoskeletal injury at the time of testing</w:t>
      </w:r>
      <w:r w:rsidR="00FE0B14" w:rsidRPr="00EC6B8A">
        <w:t xml:space="preserve"> and had no known history of foot </w:t>
      </w:r>
      <w:r w:rsidR="001C14DE" w:rsidRPr="00EC6B8A">
        <w:t xml:space="preserve">pathologies </w:t>
      </w:r>
      <w:r w:rsidR="002E44D0" w:rsidRPr="00EC6B8A">
        <w:t>or</w:t>
      </w:r>
      <w:r w:rsidR="001C14DE" w:rsidRPr="00EC6B8A">
        <w:t xml:space="preserve"> structural </w:t>
      </w:r>
      <w:r w:rsidR="00FE0B14" w:rsidRPr="00EC6B8A">
        <w:t>abnormalities.</w:t>
      </w:r>
    </w:p>
    <w:p w:rsidR="00FE0B14" w:rsidRPr="008D237F" w:rsidRDefault="00FE0B14" w:rsidP="00FE0B14">
      <w:pPr>
        <w:spacing w:after="0" w:line="480" w:lineRule="auto"/>
        <w:jc w:val="both"/>
      </w:pPr>
    </w:p>
    <w:p w:rsidR="00C667BA" w:rsidRPr="008D237F" w:rsidRDefault="00C667BA" w:rsidP="0051671D">
      <w:pPr>
        <w:spacing w:after="0" w:line="480" w:lineRule="auto"/>
        <w:jc w:val="both"/>
        <w:rPr>
          <w:i/>
        </w:rPr>
      </w:pPr>
      <w:r w:rsidRPr="008D237F">
        <w:rPr>
          <w:i/>
        </w:rPr>
        <w:t xml:space="preserve">Procedure </w:t>
      </w:r>
    </w:p>
    <w:p w:rsidR="00C667BA" w:rsidRPr="008D237F" w:rsidRDefault="00C667BA" w:rsidP="00E16DF9">
      <w:pPr>
        <w:spacing w:after="0" w:line="480" w:lineRule="auto"/>
        <w:jc w:val="both"/>
        <w:rPr>
          <w:lang w:val="en-US" w:eastAsia="en-GB"/>
        </w:rPr>
      </w:pPr>
      <w:r w:rsidRPr="008D237F">
        <w:t xml:space="preserve">This lab based study compared the effects of material choice (used in the manufacture of </w:t>
      </w:r>
      <w:r w:rsidRPr="00EC6B8A">
        <w:t>ortho</w:t>
      </w:r>
      <w:r w:rsidR="00242F1A" w:rsidRPr="00EC6B8A">
        <w:t>ses</w:t>
      </w:r>
      <w:r w:rsidRPr="00EC6B8A">
        <w:t>) on</w:t>
      </w:r>
      <w:r w:rsidRPr="008D237F">
        <w:t xml:space="preserve"> lower limb kinematics and </w:t>
      </w:r>
      <w:r w:rsidR="001B5552" w:rsidRPr="00D04863">
        <w:rPr>
          <w:lang w:eastAsia="en-GB"/>
        </w:rPr>
        <w:t>plantar pressures</w:t>
      </w:r>
      <w:r w:rsidRPr="008D237F">
        <w:t xml:space="preserve">. Materials chosen to be tested were: low density polyurethane (PU) [Shore A hardness 20-25], medium density PU [Shore A hardness 55 ± 3], low density Ethyl Vinyl Acetate (EVA) [Shore A hardness 25] and medium density EVA [Shore A hardness 50]. </w:t>
      </w:r>
      <w:r w:rsidRPr="008D237F">
        <w:rPr>
          <w:lang w:val="en-US" w:eastAsia="en-GB"/>
        </w:rPr>
        <w:t xml:space="preserve">The materials used were selected based on a previous survey, which found that these are the materials used </w:t>
      </w:r>
      <w:r w:rsidRPr="00EC6B8A">
        <w:rPr>
          <w:lang w:val="en-US" w:eastAsia="en-GB"/>
        </w:rPr>
        <w:t>within ortho</w:t>
      </w:r>
      <w:r w:rsidR="00242F1A" w:rsidRPr="00EC6B8A">
        <w:rPr>
          <w:lang w:val="en-US" w:eastAsia="en-GB"/>
        </w:rPr>
        <w:t>ses</w:t>
      </w:r>
      <w:r w:rsidRPr="00EC6B8A">
        <w:rPr>
          <w:lang w:val="en-US" w:eastAsia="en-GB"/>
        </w:rPr>
        <w:t xml:space="preserve"> that</w:t>
      </w:r>
      <w:r w:rsidRPr="008D237F">
        <w:rPr>
          <w:lang w:val="en-US" w:eastAsia="en-GB"/>
        </w:rPr>
        <w:t xml:space="preserve"> are commonly prescribed to people with diabetes</w:t>
      </w:r>
      <w:r w:rsidR="0000516B" w:rsidRPr="008D237F">
        <w:rPr>
          <w:lang w:val="en-US" w:eastAsia="en-GB"/>
        </w:rPr>
        <w:fldChar w:fldCharType="begin"/>
      </w:r>
      <w:r w:rsidR="00165C2B" w:rsidRPr="008D237F">
        <w:rPr>
          <w:lang w:val="en-US" w:eastAsia="en-GB"/>
        </w:rPr>
        <w:instrText>ADDIN RW.CITE{{263 Healy, A. 2010}}</w:instrText>
      </w:r>
      <w:r w:rsidR="0000516B" w:rsidRPr="008D237F">
        <w:rPr>
          <w:lang w:val="en-US" w:eastAsia="en-GB"/>
        </w:rPr>
        <w:fldChar w:fldCharType="separate"/>
      </w:r>
      <w:r w:rsidR="008D237F" w:rsidRPr="008D237F">
        <w:rPr>
          <w:vertAlign w:val="superscript"/>
        </w:rPr>
        <w:t>22</w:t>
      </w:r>
      <w:r w:rsidR="0000516B" w:rsidRPr="008D237F">
        <w:rPr>
          <w:lang w:val="en-US" w:eastAsia="en-GB"/>
        </w:rPr>
        <w:fldChar w:fldCharType="end"/>
      </w:r>
      <w:r w:rsidRPr="008D237F">
        <w:rPr>
          <w:lang w:val="en-US" w:eastAsia="en-GB"/>
        </w:rPr>
        <w:t xml:space="preserve">. </w:t>
      </w:r>
    </w:p>
    <w:p w:rsidR="0051671D" w:rsidRPr="008D237F" w:rsidRDefault="0051671D" w:rsidP="00E16DF9">
      <w:pPr>
        <w:autoSpaceDE w:val="0"/>
        <w:autoSpaceDN w:val="0"/>
        <w:adjustRightInd w:val="0"/>
        <w:spacing w:after="0" w:line="480" w:lineRule="auto"/>
        <w:jc w:val="both"/>
        <w:rPr>
          <w:lang w:eastAsia="en-GB"/>
        </w:rPr>
      </w:pPr>
    </w:p>
    <w:p w:rsidR="0051671D" w:rsidRPr="008D237F" w:rsidRDefault="00C667BA" w:rsidP="00E16DF9">
      <w:pPr>
        <w:spacing w:after="0" w:line="480" w:lineRule="auto"/>
        <w:jc w:val="both"/>
        <w:rPr>
          <w:b/>
        </w:rPr>
      </w:pPr>
      <w:r w:rsidRPr="008D237F">
        <w:t>The study consisted of two testing sessions with the 1</w:t>
      </w:r>
      <w:r w:rsidRPr="008D237F">
        <w:rPr>
          <w:vertAlign w:val="superscript"/>
        </w:rPr>
        <w:t>st</w:t>
      </w:r>
      <w:r w:rsidRPr="008D237F">
        <w:t xml:space="preserve"> </w:t>
      </w:r>
      <w:r w:rsidRPr="00EC6B8A">
        <w:t xml:space="preserve">session requiring participants to walk on a treadmill while wearing standardised plimsoll shoes </w:t>
      </w:r>
      <w:r w:rsidR="005C6A4B" w:rsidRPr="00EC6B8A">
        <w:t>(</w:t>
      </w:r>
      <w:r w:rsidR="001C14DE" w:rsidRPr="00EC6B8A">
        <w:t xml:space="preserve">a minimalistic </w:t>
      </w:r>
      <w:r w:rsidR="005C6A4B" w:rsidRPr="00EC6B8A">
        <w:t xml:space="preserve">athletic shoe with a canvas upper and rubber sole) </w:t>
      </w:r>
      <w:r w:rsidRPr="00EC6B8A">
        <w:t>under five conditions</w:t>
      </w:r>
      <w:r w:rsidRPr="008D237F">
        <w:t xml:space="preserve">; (1) shoe only, </w:t>
      </w:r>
      <w:r w:rsidRPr="008D237F">
        <w:rPr>
          <w:i/>
        </w:rPr>
        <w:t>and shoe with</w:t>
      </w:r>
      <w:r w:rsidRPr="008D237F">
        <w:t xml:space="preserve"> (2) 3 mm flat insole of low density PU, (3) 3 mm flat insole of medium density PU, (4) 3 mm flat insole of low density EVA and (5) 3 mm flat insole of medium density EVA. </w:t>
      </w:r>
      <w:r w:rsidR="0081132D" w:rsidRPr="00D04863">
        <w:t>As the focus of this study was on comparing the orthotic materials we choose this “minimalistic” footwear as we wanted to limit the effect of the footwear on gait.</w:t>
      </w:r>
      <w:r w:rsidR="0081132D" w:rsidRPr="008D237F">
        <w:rPr>
          <w:b/>
        </w:rPr>
        <w:t xml:space="preserve"> </w:t>
      </w:r>
      <w:r w:rsidRPr="008D237F">
        <w:t xml:space="preserve">Following this baseline assessment, participants had foam box impressions of their feet taken by the same experienced clinician. These impressions were used to create custom devices for each participant in each of the two densities (low and medium) of the two materials </w:t>
      </w:r>
      <w:r w:rsidRPr="008D237F">
        <w:lastRenderedPageBreak/>
        <w:t>(PU and EVA) for the 2</w:t>
      </w:r>
      <w:r w:rsidRPr="008D237F">
        <w:rPr>
          <w:vertAlign w:val="superscript"/>
        </w:rPr>
        <w:t>nd</w:t>
      </w:r>
      <w:r w:rsidRPr="008D237F">
        <w:t xml:space="preserve"> testing session. These devices were created using CAD/CAM technology with a standard mode of manufacture. A standard prescription form (Salts</w:t>
      </w:r>
      <w:r w:rsidRPr="008D237F">
        <w:rPr>
          <w:lang w:eastAsia="en-GB"/>
        </w:rPr>
        <w:t xml:space="preserve"> Techstep, UK</w:t>
      </w:r>
      <w:r w:rsidRPr="008D237F">
        <w:t xml:space="preserve">) was used with a 4° medial extrinsic rearfoot posting and forefoot balanced to rearfoot vertical on a shell customised to the participant. </w:t>
      </w:r>
      <w:r w:rsidR="00E16DF9" w:rsidRPr="00D04863">
        <w:t>This type of prescription is common and traditional within the podiatric profession across various countries (Modified Root prescription technique).</w:t>
      </w:r>
      <w:r w:rsidR="00E16DF9" w:rsidRPr="008D237F">
        <w:rPr>
          <w:b/>
        </w:rPr>
        <w:t xml:space="preserve"> </w:t>
      </w:r>
      <w:r w:rsidRPr="008D237F">
        <w:t>No attempt was made to evaluate t</w:t>
      </w:r>
      <w:r w:rsidR="004B357F" w:rsidRPr="008D237F">
        <w:t>he participants using clinical</w:t>
      </w:r>
      <w:r w:rsidRPr="008D237F">
        <w:t xml:space="preserve"> biomechanical paradigms as it was the function of the device not the participant that was of interest. A 4° rearfoot posting was used as this was thought to be a very common prescription </w:t>
      </w:r>
      <w:r w:rsidRPr="00EC6B8A">
        <w:t>characteristic</w:t>
      </w:r>
      <w:r w:rsidR="001C14DE" w:rsidRPr="00EC6B8A">
        <w:t xml:space="preserve"> across various common orthotic interventions</w:t>
      </w:r>
      <w:r w:rsidRPr="00EC6B8A">
        <w:t xml:space="preserve">. </w:t>
      </w:r>
      <w:r w:rsidR="001C14DE" w:rsidRPr="00EC6B8A">
        <w:t>Prescribed</w:t>
      </w:r>
      <w:r w:rsidRPr="00EC6B8A">
        <w:t xml:space="preserve"> devices were full length with 3 mm thickness under the forefoot, toes and heel, and a top cover of 1 mm medium density EVA.</w:t>
      </w:r>
      <w:r w:rsidRPr="008D237F">
        <w:rPr>
          <w:b/>
        </w:rPr>
        <w:t xml:space="preserve"> </w:t>
      </w:r>
    </w:p>
    <w:p w:rsidR="001C14DE" w:rsidRPr="008D237F" w:rsidRDefault="001C14DE" w:rsidP="005C6A4B">
      <w:pPr>
        <w:autoSpaceDE w:val="0"/>
        <w:autoSpaceDN w:val="0"/>
        <w:adjustRightInd w:val="0"/>
        <w:spacing w:after="0" w:line="480" w:lineRule="auto"/>
        <w:jc w:val="both"/>
      </w:pPr>
    </w:p>
    <w:p w:rsidR="000D5E2B" w:rsidRPr="00EC6B8A" w:rsidRDefault="00C667BA" w:rsidP="000B28C8">
      <w:pPr>
        <w:spacing w:after="0" w:line="480" w:lineRule="auto"/>
      </w:pPr>
      <w:r w:rsidRPr="008D237F">
        <w:t>The testing procedure for the 1</w:t>
      </w:r>
      <w:r w:rsidRPr="008D237F">
        <w:rPr>
          <w:vertAlign w:val="superscript"/>
        </w:rPr>
        <w:t>st</w:t>
      </w:r>
      <w:r w:rsidRPr="008D237F">
        <w:t xml:space="preserve"> session was replicated with the five conditions for this 2</w:t>
      </w:r>
      <w:r w:rsidRPr="008D237F">
        <w:rPr>
          <w:vertAlign w:val="superscript"/>
        </w:rPr>
        <w:t>nd</w:t>
      </w:r>
      <w:r w:rsidRPr="008D237F">
        <w:t xml:space="preserve"> session being; (1) shoe only, </w:t>
      </w:r>
      <w:r w:rsidRPr="008D237F">
        <w:rPr>
          <w:i/>
        </w:rPr>
        <w:t>and shoe with</w:t>
      </w:r>
      <w:r w:rsidRPr="008D237F">
        <w:t xml:space="preserve"> (2) custom device of low density PU, (3) custom device of medium density PU, (4) custom device of low density EVA and (5) custom device of medium density EVA. </w:t>
      </w:r>
      <w:r w:rsidRPr="00EC6B8A">
        <w:t>The order of testing condition for both sessions for each participant was randomly determined</w:t>
      </w:r>
      <w:r w:rsidR="005C6A4B" w:rsidRPr="00EC6B8A">
        <w:t xml:space="preserve"> using a computer generated random number list (MS Excel 2007, Microsoft, USA)</w:t>
      </w:r>
      <w:r w:rsidRPr="00EC6B8A">
        <w:t>. Forty</w:t>
      </w:r>
      <w:r w:rsidRPr="008D237F">
        <w:t xml:space="preserve"> two reflective </w:t>
      </w:r>
      <w:r w:rsidRPr="00EC6B8A">
        <w:t>spherical markers (14 mm diameter) were placed on anatomical landmarks</w:t>
      </w:r>
      <w:r w:rsidR="002D02CA" w:rsidRPr="00EC6B8A">
        <w:t xml:space="preserve"> on the participant</w:t>
      </w:r>
      <w:r w:rsidR="001972B4" w:rsidRPr="00EC6B8A">
        <w:t xml:space="preserve">, using double-sided </w:t>
      </w:r>
      <w:r w:rsidR="001972B4" w:rsidRPr="00EC6B8A">
        <w:rPr>
          <w:bCs/>
        </w:rPr>
        <w:t>tape</w:t>
      </w:r>
      <w:r w:rsidR="001972B4" w:rsidRPr="00EC6B8A">
        <w:t xml:space="preserve"> on their bases,</w:t>
      </w:r>
      <w:r w:rsidRPr="00EC6B8A">
        <w:t xml:space="preserve"> for use with the </w:t>
      </w:r>
      <w:r w:rsidR="002036E2" w:rsidRPr="00EC6B8A">
        <w:t xml:space="preserve">Plug-in-Gait and </w:t>
      </w:r>
      <w:r w:rsidRPr="00EC6B8A">
        <w:t>Oxford Foot</w:t>
      </w:r>
      <w:r w:rsidRPr="008D237F">
        <w:t xml:space="preserve"> Model</w:t>
      </w:r>
      <w:r w:rsidR="002036E2" w:rsidRPr="008D237F">
        <w:t>s</w:t>
      </w:r>
      <w:r w:rsidR="00E31D09">
        <w:fldChar w:fldCharType="begin"/>
      </w:r>
      <w:r w:rsidR="00E31D09">
        <w:instrText>ADDIN RW.CITE{{251 Stebbins, J. 2006}}</w:instrText>
      </w:r>
      <w:r w:rsidR="00E31D09">
        <w:fldChar w:fldCharType="separate"/>
      </w:r>
      <w:r w:rsidR="008D237F" w:rsidRPr="008D237F">
        <w:rPr>
          <w:vertAlign w:val="superscript"/>
        </w:rPr>
        <w:t>29</w:t>
      </w:r>
      <w:r w:rsidR="00E31D09">
        <w:rPr>
          <w:vertAlign w:val="superscript"/>
        </w:rPr>
        <w:fldChar w:fldCharType="end"/>
      </w:r>
      <w:r w:rsidRPr="008D237F">
        <w:t xml:space="preserve">. </w:t>
      </w:r>
      <w:r w:rsidR="002036E2" w:rsidRPr="008D237F">
        <w:t xml:space="preserve">The shoes used in the present study were modified to allow </w:t>
      </w:r>
      <w:r w:rsidR="001A2367" w:rsidRPr="008D237F">
        <w:t xml:space="preserve">the </w:t>
      </w:r>
      <w:r w:rsidR="002036E2" w:rsidRPr="008D237F">
        <w:t>reflective markers to be placed on the participants’ feet</w:t>
      </w:r>
      <w:r w:rsidR="002036E2" w:rsidRPr="00EC6B8A">
        <w:t xml:space="preserve">. </w:t>
      </w:r>
      <w:r w:rsidR="002D02CA" w:rsidRPr="00EC6B8A">
        <w:t xml:space="preserve">Shoe modification involved removing sections of the </w:t>
      </w:r>
      <w:r w:rsidR="002D02CA" w:rsidRPr="00EC6B8A">
        <w:lastRenderedPageBreak/>
        <w:t xml:space="preserve">shoes canvas upper to allow the placement of markers on anatomical landmarks. </w:t>
      </w:r>
      <w:r w:rsidR="001C14DE" w:rsidRPr="00EC6B8A">
        <w:t>A</w:t>
      </w:r>
      <w:r w:rsidR="002D02CA" w:rsidRPr="00EC6B8A">
        <w:t xml:space="preserve"> minimum amount of material was removed to allow the placement and unobstructed movement of markers </w:t>
      </w:r>
      <w:r w:rsidR="001A2367" w:rsidRPr="00EC6B8A">
        <w:t>during gait while aiming to maintain</w:t>
      </w:r>
      <w:r w:rsidR="002D02CA" w:rsidRPr="00EC6B8A">
        <w:t xml:space="preserve"> the structural stability of the shoe. </w:t>
      </w:r>
      <w:r w:rsidR="007C5618" w:rsidRPr="00EC6B8A">
        <w:t>As t</w:t>
      </w:r>
      <w:r w:rsidR="002036E2" w:rsidRPr="00EC6B8A">
        <w:t xml:space="preserve">he </w:t>
      </w:r>
      <w:r w:rsidR="007C5618" w:rsidRPr="00EC6B8A">
        <w:t xml:space="preserve">reflective </w:t>
      </w:r>
      <w:r w:rsidR="002036E2" w:rsidRPr="00EC6B8A">
        <w:t>markers which were placed on the feet had to be removed and reapplied when footwear conditions were changed</w:t>
      </w:r>
      <w:r w:rsidR="001A2367" w:rsidRPr="00EC6B8A">
        <w:t xml:space="preserve"> </w:t>
      </w:r>
      <w:r w:rsidR="007C41B4" w:rsidRPr="00EC6B8A">
        <w:t xml:space="preserve">markings were made on the skin where markers were to be placed </w:t>
      </w:r>
      <w:r w:rsidR="001A2367" w:rsidRPr="00EC6B8A">
        <w:t>to a</w:t>
      </w:r>
      <w:r w:rsidR="007C41B4" w:rsidRPr="00EC6B8A">
        <w:t>id</w:t>
      </w:r>
      <w:r w:rsidR="001A2367" w:rsidRPr="00EC6B8A">
        <w:t xml:space="preserve"> correct reapplication</w:t>
      </w:r>
      <w:r w:rsidR="002036E2" w:rsidRPr="00EC6B8A">
        <w:t xml:space="preserve">. </w:t>
      </w:r>
      <w:r w:rsidRPr="00EC6B8A">
        <w:t>An 8 camera motion analysis system (Vicon, OMG, Oxford, UK) was used to record the motion of the individual markers and in-shoe pressures sensors (F-Scan, Tekscan, Boston, USA)</w:t>
      </w:r>
      <w:r w:rsidR="001A2367" w:rsidRPr="00EC6B8A">
        <w:t xml:space="preserve"> with a resolution of 3.9 sensels per cm</w:t>
      </w:r>
      <w:r w:rsidR="001A2367" w:rsidRPr="00EC6B8A">
        <w:rPr>
          <w:vertAlign w:val="superscript"/>
        </w:rPr>
        <w:t>2</w:t>
      </w:r>
      <w:r w:rsidRPr="00EC6B8A">
        <w:t xml:space="preserve"> measured plantar pressure distribution</w:t>
      </w:r>
      <w:r w:rsidR="004371CA" w:rsidRPr="00EC6B8A">
        <w:t xml:space="preserve">. </w:t>
      </w:r>
      <w:r w:rsidR="000D5E2B" w:rsidRPr="00EC6B8A">
        <w:t>The F-Scan sensors were trimmed to fit the plimsoll shoes and one pair of sensors was used per shoe size.</w:t>
      </w:r>
    </w:p>
    <w:p w:rsidR="000D5E2B" w:rsidRPr="008D237F" w:rsidRDefault="000D5E2B" w:rsidP="000B28C8">
      <w:pPr>
        <w:spacing w:after="0" w:line="480" w:lineRule="auto"/>
      </w:pPr>
    </w:p>
    <w:p w:rsidR="00C667BA" w:rsidRPr="00EC6B8A" w:rsidRDefault="004371CA" w:rsidP="000B28C8">
      <w:pPr>
        <w:autoSpaceDE w:val="0"/>
        <w:autoSpaceDN w:val="0"/>
        <w:adjustRightInd w:val="0"/>
        <w:spacing w:after="0" w:line="480" w:lineRule="auto"/>
        <w:rPr>
          <w:highlight w:val="yellow"/>
          <w:lang w:val="en-US" w:eastAsia="en-GB" w:bidi="ar-SA"/>
        </w:rPr>
      </w:pPr>
      <w:r w:rsidRPr="00EC6B8A">
        <w:rPr>
          <w:rFonts w:eastAsia="Calibri"/>
        </w:rPr>
        <w:t>Prior to data collection, calibration of equipment was conducted according to manufacturer’s guidelines</w:t>
      </w:r>
      <w:r w:rsidRPr="00D04863">
        <w:rPr>
          <w:rFonts w:eastAsia="Calibri"/>
        </w:rPr>
        <w:t>.</w:t>
      </w:r>
      <w:r w:rsidR="00C667BA" w:rsidRPr="00D04863">
        <w:t xml:space="preserve"> </w:t>
      </w:r>
      <w:r w:rsidR="000B28C8" w:rsidRPr="00D04863">
        <w:t xml:space="preserve">For the motion analysis system </w:t>
      </w:r>
      <w:r w:rsidR="000B28C8" w:rsidRPr="00D04863">
        <w:rPr>
          <w:lang w:val="en-US" w:eastAsia="en-GB" w:bidi="ar-SA"/>
        </w:rPr>
        <w:t>a dynamic calibration</w:t>
      </w:r>
      <w:r w:rsidR="00D61DA3" w:rsidRPr="00D04863">
        <w:rPr>
          <w:lang w:val="en-US" w:eastAsia="en-GB" w:bidi="ar-SA"/>
        </w:rPr>
        <w:t xml:space="preserve"> </w:t>
      </w:r>
      <w:r w:rsidR="000B28C8" w:rsidRPr="00D04863">
        <w:rPr>
          <w:lang w:val="en-US" w:eastAsia="en-GB" w:bidi="ar-SA"/>
        </w:rPr>
        <w:t xml:space="preserve">was performed and </w:t>
      </w:r>
      <w:r w:rsidR="000B28C8" w:rsidRPr="00D04863">
        <w:t>residuals of less than 2 mm from each camera were deemed acceptable</w:t>
      </w:r>
      <w:r w:rsidR="000B28C8" w:rsidRPr="00D04863">
        <w:rPr>
          <w:lang w:val="en-US" w:eastAsia="en-GB" w:bidi="ar-SA"/>
        </w:rPr>
        <w:t>.</w:t>
      </w:r>
      <w:r w:rsidR="000B28C8" w:rsidRPr="008D237F">
        <w:rPr>
          <w:b/>
          <w:lang w:val="en-US" w:eastAsia="en-GB" w:bidi="ar-SA"/>
        </w:rPr>
        <w:t xml:space="preserve"> </w:t>
      </w:r>
      <w:r w:rsidR="000D5E2B" w:rsidRPr="008D237F">
        <w:t xml:space="preserve">A static </w:t>
      </w:r>
      <w:r w:rsidR="000D5E2B" w:rsidRPr="00EC6B8A">
        <w:t>standing trial was recorded for each condition</w:t>
      </w:r>
      <w:r w:rsidR="003A616A" w:rsidRPr="00EC6B8A">
        <w:t xml:space="preserve"> and was used to </w:t>
      </w:r>
      <w:r w:rsidR="003A616A" w:rsidRPr="00EC6B8A">
        <w:rPr>
          <w:rFonts w:eastAsia="Calibri"/>
        </w:rPr>
        <w:t>estimate joint centres and other virtual points from the marker locations</w:t>
      </w:r>
      <w:r w:rsidR="000D5E2B" w:rsidRPr="00EC6B8A">
        <w:t xml:space="preserve">. </w:t>
      </w:r>
      <w:r w:rsidRPr="00EC6B8A">
        <w:t>Data</w:t>
      </w:r>
      <w:r w:rsidRPr="008D237F">
        <w:t xml:space="preserve"> was collected </w:t>
      </w:r>
      <w:r w:rsidR="00C667BA" w:rsidRPr="008D237F">
        <w:t>while the participants walked on the treadmill at a self selected speed (3.4 ± 0.5 km h</w:t>
      </w:r>
      <w:r w:rsidR="00C667BA" w:rsidRPr="008D237F">
        <w:rPr>
          <w:vertAlign w:val="superscript"/>
        </w:rPr>
        <w:t>-1</w:t>
      </w:r>
      <w:r w:rsidR="00C667BA" w:rsidRPr="008D237F">
        <w:t xml:space="preserve">). 8 trials of 10 s duration were recorded for each condition. Both motion </w:t>
      </w:r>
      <w:r w:rsidR="00C667BA" w:rsidRPr="00EC6B8A">
        <w:t>analysis and in shoe pressure system employed a sampling frequency of 100 Hz and were synchronised for data collection</w:t>
      </w:r>
      <w:r w:rsidR="000D6309" w:rsidRPr="00EC6B8A">
        <w:t xml:space="preserve"> using a </w:t>
      </w:r>
      <w:r w:rsidR="001C14DE" w:rsidRPr="00EC6B8A">
        <w:t xml:space="preserve">custom made </w:t>
      </w:r>
      <w:r w:rsidR="000D6309" w:rsidRPr="00EC6B8A">
        <w:t xml:space="preserve">synchronisation box </w:t>
      </w:r>
      <w:r w:rsidR="000D6309" w:rsidRPr="00EC6B8A">
        <w:lastRenderedPageBreak/>
        <w:t>(Tekscan Inc., USA)</w:t>
      </w:r>
      <w:r w:rsidR="00C667BA" w:rsidRPr="00EC6B8A">
        <w:t xml:space="preserve">. The heel contact and toe off events during a gait cycle were identified using in-shoe pressures sensors and applied to the motion analysis trials. </w:t>
      </w:r>
    </w:p>
    <w:p w:rsidR="00C667BA" w:rsidRPr="00EC6B8A" w:rsidRDefault="00C667BA" w:rsidP="000B28C8">
      <w:pPr>
        <w:autoSpaceDE w:val="0"/>
        <w:autoSpaceDN w:val="0"/>
        <w:adjustRightInd w:val="0"/>
        <w:spacing w:after="0" w:line="480" w:lineRule="auto"/>
        <w:jc w:val="both"/>
      </w:pPr>
    </w:p>
    <w:p w:rsidR="00C667BA" w:rsidRPr="00EC6B8A" w:rsidRDefault="00C667BA" w:rsidP="00CF55B3">
      <w:pPr>
        <w:autoSpaceDE w:val="0"/>
        <w:autoSpaceDN w:val="0"/>
        <w:adjustRightInd w:val="0"/>
        <w:spacing w:after="0" w:line="480" w:lineRule="auto"/>
        <w:jc w:val="both"/>
        <w:rPr>
          <w:i/>
        </w:rPr>
      </w:pPr>
      <w:r w:rsidRPr="00EC6B8A">
        <w:rPr>
          <w:i/>
        </w:rPr>
        <w:t>Data processing and analysis</w:t>
      </w:r>
    </w:p>
    <w:p w:rsidR="00C667BA" w:rsidRPr="00EC6B8A" w:rsidRDefault="00C667BA" w:rsidP="00CF55B3">
      <w:pPr>
        <w:spacing w:after="0" w:line="480" w:lineRule="auto"/>
        <w:jc w:val="both"/>
      </w:pPr>
      <w:r w:rsidRPr="00EC6B8A">
        <w:t>Plantar pressure analysis was conducted by dividing the contact area of the foot into 6 anatomically and functionally relevant regions which are shown in</w:t>
      </w:r>
      <w:r w:rsidR="00C74DCF" w:rsidRPr="00EC6B8A">
        <w:t xml:space="preserve"> Figure 1</w:t>
      </w:r>
      <w:r w:rsidRPr="00EC6B8A">
        <w:t>. The 6 regions were hallux, 1</w:t>
      </w:r>
      <w:r w:rsidRPr="00EC6B8A">
        <w:rPr>
          <w:vertAlign w:val="superscript"/>
        </w:rPr>
        <w:t>st</w:t>
      </w:r>
      <w:r w:rsidRPr="00EC6B8A">
        <w:t xml:space="preserve"> metatarsal, lateral metatarsals, midfoot, medial heel and lateral heel. Stance duration, peak pressure, peak force, pressure time integral and average contact area for each of the 6 regions was recorded</w:t>
      </w:r>
      <w:r w:rsidR="002036E2" w:rsidRPr="00EC6B8A">
        <w:t xml:space="preserve"> using the proprietary software (F-Scan Research 6.51, Tekscan Boston, USA)</w:t>
      </w:r>
      <w:r w:rsidRPr="00EC6B8A">
        <w:t>.</w:t>
      </w:r>
      <w:r w:rsidRPr="008D237F">
        <w:t xml:space="preserve"> </w:t>
      </w:r>
      <w:r w:rsidR="002036E2" w:rsidRPr="008D237F">
        <w:rPr>
          <w:bCs/>
        </w:rPr>
        <w:t xml:space="preserve">Three-dimensional marker data </w:t>
      </w:r>
      <w:r w:rsidR="002036E2" w:rsidRPr="008D237F">
        <w:t xml:space="preserve">was filtered with a </w:t>
      </w:r>
      <w:r w:rsidR="002036E2" w:rsidRPr="008D237F">
        <w:rPr>
          <w:bCs/>
        </w:rPr>
        <w:t>Woltring</w:t>
      </w:r>
      <w:r w:rsidR="002036E2" w:rsidRPr="008D237F">
        <w:t xml:space="preserve"> </w:t>
      </w:r>
      <w:r w:rsidR="002036E2" w:rsidRPr="008D237F">
        <w:rPr>
          <w:bCs/>
        </w:rPr>
        <w:t>filter</w:t>
      </w:r>
      <w:r w:rsidR="002036E2" w:rsidRPr="008D237F">
        <w:t xml:space="preserve"> (</w:t>
      </w:r>
      <w:r w:rsidR="002036E2" w:rsidRPr="008D237F">
        <w:rPr>
          <w:bCs/>
        </w:rPr>
        <w:t>MSE</w:t>
      </w:r>
      <w:r w:rsidR="002036E2" w:rsidRPr="008D237F">
        <w:t>=</w:t>
      </w:r>
      <w:r w:rsidR="002036E2" w:rsidRPr="008D237F">
        <w:rPr>
          <w:bCs/>
        </w:rPr>
        <w:t>20</w:t>
      </w:r>
      <w:r w:rsidR="002036E2" w:rsidRPr="00D04863">
        <w:t>)</w:t>
      </w:r>
      <w:r w:rsidR="00CF55B3" w:rsidRPr="00D04863">
        <w:t xml:space="preserve"> which is the method recommended by the manufacturer for optimum results. </w:t>
      </w:r>
      <w:r w:rsidRPr="00D04863">
        <w:t xml:space="preserve">For lower limb kinematics the range of motion of the following were recorded; </w:t>
      </w:r>
      <w:r w:rsidRPr="00D04863">
        <w:rPr>
          <w:color w:val="000000"/>
        </w:rPr>
        <w:t xml:space="preserve">femur/tibia flexion, adduction and rotation, forefoot/hindfoot dorsiflexion, adduction and supination, </w:t>
      </w:r>
      <w:r w:rsidRPr="00D04863">
        <w:t xml:space="preserve">hindfoot/tibia dorsiflexion and inversion and hallux/forefoot dorsiflexion. Additionally the change in angle of these variables (except hallux/forefoot dorsiflexion) </w:t>
      </w:r>
      <w:r w:rsidR="007A7162" w:rsidRPr="00D04863">
        <w:t>early in the loading response</w:t>
      </w:r>
      <w:r w:rsidR="00E31D09" w:rsidRPr="00D04863">
        <w:fldChar w:fldCharType="begin"/>
      </w:r>
      <w:r w:rsidR="00E31D09" w:rsidRPr="00D04863">
        <w:instrText>ADDIN RW.CITE{{347 Perry, J. 1992}}</w:instrText>
      </w:r>
      <w:r w:rsidR="00E31D09" w:rsidRPr="00D04863">
        <w:fldChar w:fldCharType="separate"/>
      </w:r>
      <w:r w:rsidR="008D237F" w:rsidRPr="00D04863">
        <w:rPr>
          <w:vertAlign w:val="superscript"/>
        </w:rPr>
        <w:t>30</w:t>
      </w:r>
      <w:r w:rsidR="00E31D09" w:rsidRPr="00D04863">
        <w:rPr>
          <w:vertAlign w:val="superscript"/>
        </w:rPr>
        <w:fldChar w:fldCharType="end"/>
      </w:r>
      <w:r w:rsidR="007A7162" w:rsidRPr="00D04863">
        <w:t xml:space="preserve"> (</w:t>
      </w:r>
      <w:r w:rsidRPr="00D04863">
        <w:t>from heel strike to 6% of the gait cycle</w:t>
      </w:r>
      <w:r w:rsidR="007A7162" w:rsidRPr="00D04863">
        <w:t>)</w:t>
      </w:r>
      <w:r w:rsidRPr="00D04863">
        <w:t xml:space="preserve"> was calculated. </w:t>
      </w:r>
      <w:r w:rsidR="00CF55B3" w:rsidRPr="00D04863">
        <w:t>The first three trials collected for each condition which were deemed acceptable based on the correct data acquisition of both the Vicon and F-Scan systems were used for analysis. Eight trials were collected for each condition to ensure sufficient data was collected in case of data corruption of trials. The</w:t>
      </w:r>
      <w:r w:rsidR="002036E2" w:rsidRPr="00D04863">
        <w:t xml:space="preserve"> three trials</w:t>
      </w:r>
      <w:r w:rsidR="007A7162" w:rsidRPr="00D04863">
        <w:t>, with 6-8 steps per trial</w:t>
      </w:r>
      <w:r w:rsidR="00A30BBF" w:rsidRPr="00D04863">
        <w:t xml:space="preserve"> (with the first and last steps removed from</w:t>
      </w:r>
      <w:r w:rsidR="00A30BBF" w:rsidRPr="00EC6B8A">
        <w:t xml:space="preserve"> the analysis)</w:t>
      </w:r>
      <w:r w:rsidR="007A7162" w:rsidRPr="00EC6B8A">
        <w:t>,</w:t>
      </w:r>
      <w:r w:rsidR="002036E2" w:rsidRPr="00EC6B8A">
        <w:t xml:space="preserve"> </w:t>
      </w:r>
      <w:r w:rsidRPr="00EC6B8A">
        <w:t xml:space="preserve">were </w:t>
      </w:r>
      <w:r w:rsidR="00CF55B3" w:rsidRPr="00EC6B8A">
        <w:t>analysed</w:t>
      </w:r>
      <w:r w:rsidRPr="00EC6B8A">
        <w:t xml:space="preserve"> and results for these three trials were then averaged to create a representative trial. For </w:t>
      </w:r>
      <w:r w:rsidRPr="00EC6B8A">
        <w:lastRenderedPageBreak/>
        <w:t>statistical analysis a repeated measures ANOVA (p ≤ 0.05) was used to access differences between conditions.</w:t>
      </w:r>
      <w:bookmarkStart w:id="1" w:name="_Toc263886548"/>
      <w:r w:rsidR="007A7162" w:rsidRPr="00EC6B8A">
        <w:t xml:space="preserve"> Post hoc pair-wise comparisons with Bonferroni adjustments were conducted for multiple comparisons.</w:t>
      </w:r>
    </w:p>
    <w:p w:rsidR="00EF3D45" w:rsidRPr="008D237F" w:rsidRDefault="00EF3D45" w:rsidP="0051671D">
      <w:pPr>
        <w:autoSpaceDE w:val="0"/>
        <w:autoSpaceDN w:val="0"/>
        <w:adjustRightInd w:val="0"/>
        <w:spacing w:after="0" w:line="480" w:lineRule="auto"/>
      </w:pPr>
    </w:p>
    <w:p w:rsidR="00EF3D45" w:rsidRPr="008D237F" w:rsidRDefault="00EF3D45" w:rsidP="0051671D">
      <w:pPr>
        <w:autoSpaceDE w:val="0"/>
        <w:autoSpaceDN w:val="0"/>
        <w:adjustRightInd w:val="0"/>
        <w:spacing w:after="0" w:line="480" w:lineRule="auto"/>
        <w:rPr>
          <w:b/>
        </w:rPr>
      </w:pPr>
      <w:r w:rsidRPr="008D237F">
        <w:rPr>
          <w:b/>
        </w:rPr>
        <w:t>INSERT FIGURE 1</w:t>
      </w:r>
    </w:p>
    <w:p w:rsidR="00C667BA" w:rsidRPr="008D237F" w:rsidRDefault="00C667BA" w:rsidP="0051671D">
      <w:pPr>
        <w:autoSpaceDE w:val="0"/>
        <w:autoSpaceDN w:val="0"/>
        <w:adjustRightInd w:val="0"/>
        <w:spacing w:after="0" w:line="480" w:lineRule="auto"/>
        <w:jc w:val="both"/>
      </w:pPr>
    </w:p>
    <w:p w:rsidR="00E8098C" w:rsidRPr="008D237F" w:rsidRDefault="00C667BA" w:rsidP="0051671D">
      <w:pPr>
        <w:pStyle w:val="Heading3"/>
        <w:spacing w:before="0" w:line="480" w:lineRule="auto"/>
        <w:jc w:val="both"/>
        <w:rPr>
          <w:rFonts w:cs="Arial"/>
          <w:sz w:val="22"/>
          <w:lang w:eastAsia="en-GB"/>
        </w:rPr>
      </w:pPr>
      <w:r w:rsidRPr="008D237F">
        <w:rPr>
          <w:rFonts w:cs="Arial"/>
          <w:sz w:val="22"/>
          <w:lang w:eastAsia="en-GB"/>
        </w:rPr>
        <w:t>Results</w:t>
      </w:r>
      <w:bookmarkEnd w:id="1"/>
    </w:p>
    <w:p w:rsidR="00F94974" w:rsidRPr="00D04863" w:rsidRDefault="00B44FFF" w:rsidP="00F94974">
      <w:pPr>
        <w:rPr>
          <w:iCs/>
        </w:rPr>
      </w:pPr>
      <w:r w:rsidRPr="00D04863">
        <w:rPr>
          <w:lang w:val="en-US" w:eastAsia="en-GB"/>
        </w:rPr>
        <w:t xml:space="preserve">In this section </w:t>
      </w:r>
      <w:r w:rsidRPr="00D04863">
        <w:rPr>
          <w:iCs/>
        </w:rPr>
        <w:t>SPSS Bonferroni adjusted p values are reported.</w:t>
      </w:r>
    </w:p>
    <w:p w:rsidR="00B44FFF" w:rsidRPr="008D237F" w:rsidRDefault="00B44FFF" w:rsidP="00F94974">
      <w:pPr>
        <w:rPr>
          <w:lang w:val="en-US" w:eastAsia="en-GB"/>
        </w:rPr>
      </w:pPr>
    </w:p>
    <w:p w:rsidR="00C667BA" w:rsidRPr="008D237F" w:rsidRDefault="00C667BA" w:rsidP="0051671D">
      <w:pPr>
        <w:spacing w:after="0" w:line="480" w:lineRule="auto"/>
        <w:jc w:val="both"/>
        <w:rPr>
          <w:i/>
          <w:lang w:val="en-US" w:eastAsia="en-GB"/>
        </w:rPr>
      </w:pPr>
      <w:r w:rsidRPr="008D237F">
        <w:rPr>
          <w:i/>
          <w:lang w:val="en-US" w:eastAsia="en-GB"/>
        </w:rPr>
        <w:t>1</w:t>
      </w:r>
      <w:r w:rsidRPr="008D237F">
        <w:rPr>
          <w:i/>
          <w:vertAlign w:val="superscript"/>
          <w:lang w:val="en-US" w:eastAsia="en-GB"/>
        </w:rPr>
        <w:t>st</w:t>
      </w:r>
      <w:r w:rsidRPr="008D237F">
        <w:rPr>
          <w:i/>
          <w:lang w:val="en-US" w:eastAsia="en-GB"/>
        </w:rPr>
        <w:t xml:space="preserve"> session – flat material</w:t>
      </w:r>
    </w:p>
    <w:p w:rsidR="008D6EC2" w:rsidRPr="00EC6B8A" w:rsidRDefault="00C667BA" w:rsidP="0051671D">
      <w:pPr>
        <w:spacing w:after="0" w:line="480" w:lineRule="auto"/>
        <w:jc w:val="both"/>
        <w:rPr>
          <w:lang w:val="en-US" w:eastAsia="en-GB"/>
        </w:rPr>
      </w:pPr>
      <w:r w:rsidRPr="008D237F">
        <w:rPr>
          <w:lang w:val="en-US" w:eastAsia="en-GB"/>
        </w:rPr>
        <w:t xml:space="preserve">Mean values for stance duration and F-Scan in shoe measurements are provided in </w:t>
      </w:r>
      <w:r w:rsidR="00C74DCF" w:rsidRPr="008D237F">
        <w:t>Table 1</w:t>
      </w:r>
      <w:r w:rsidRPr="008D237F">
        <w:rPr>
          <w:lang w:val="en-US" w:eastAsia="en-GB"/>
        </w:rPr>
        <w:t xml:space="preserve"> with lower limb kinematic data presented in</w:t>
      </w:r>
      <w:r w:rsidR="00C74DCF" w:rsidRPr="008D237F">
        <w:t xml:space="preserve"> Table 2</w:t>
      </w:r>
      <w:r w:rsidRPr="00EC6B8A">
        <w:rPr>
          <w:lang w:val="en-US" w:eastAsia="en-GB"/>
        </w:rPr>
        <w:t>.</w:t>
      </w:r>
      <w:r w:rsidR="0013684A" w:rsidRPr="00EC6B8A">
        <w:rPr>
          <w:lang w:val="en-US" w:eastAsia="en-GB"/>
        </w:rPr>
        <w:t xml:space="preserve"> </w:t>
      </w:r>
      <w:r w:rsidR="0013684A" w:rsidRPr="00EC6B8A">
        <w:rPr>
          <w:lang w:eastAsia="en-GB"/>
        </w:rPr>
        <w:t>The stance phase duration was significantly less for medium density EVA than low density EVA (0.70 ± 0.03s vs. 0.71 ± 0.03s). The shoe only condition produced significantly greater peak pressures than the other conditions at the 1</w:t>
      </w:r>
      <w:r w:rsidR="0013684A" w:rsidRPr="00EC6B8A">
        <w:rPr>
          <w:vertAlign w:val="superscript"/>
          <w:lang w:eastAsia="en-GB"/>
        </w:rPr>
        <w:t>st</w:t>
      </w:r>
      <w:r w:rsidR="0013684A" w:rsidRPr="00EC6B8A">
        <w:rPr>
          <w:lang w:eastAsia="en-GB"/>
        </w:rPr>
        <w:t xml:space="preserve"> and lateral metatarsal regions only. The addition of medium density PU resulted in reduced peak pressure at the 1</w:t>
      </w:r>
      <w:r w:rsidR="0013684A" w:rsidRPr="00EC6B8A">
        <w:rPr>
          <w:vertAlign w:val="superscript"/>
          <w:lang w:eastAsia="en-GB"/>
        </w:rPr>
        <w:t>st</w:t>
      </w:r>
      <w:r w:rsidR="0013684A" w:rsidRPr="00EC6B8A">
        <w:rPr>
          <w:lang w:eastAsia="en-GB"/>
        </w:rPr>
        <w:t xml:space="preserve"> metatarsal region, and all conditions except medium density EVA, resulted in reduced peak pressure at the lateral metatarsal region. </w:t>
      </w:r>
      <w:r w:rsidR="0013684A" w:rsidRPr="00EC6B8A">
        <w:rPr>
          <w:lang w:val="en-US" w:eastAsia="en-GB"/>
        </w:rPr>
        <w:t>Where significant differences were evident between the conditions medium density EVA always produced greater peak pressures than at least one of the other material conditions.</w:t>
      </w:r>
      <w:r w:rsidR="0013684A" w:rsidRPr="00EC6B8A">
        <w:rPr>
          <w:lang w:eastAsia="en-GB"/>
        </w:rPr>
        <w:t xml:space="preserve"> Where significant differences were evident for peak force medium density EVA was found to produce greater peak forces at the lateral metatarsal region than all the other materials and than low density EVA and PU at the </w:t>
      </w:r>
      <w:r w:rsidR="0013684A" w:rsidRPr="00EC6B8A">
        <w:rPr>
          <w:lang w:eastAsia="en-GB"/>
        </w:rPr>
        <w:lastRenderedPageBreak/>
        <w:t>medial heel. In general the low and medium density PU were the most effective at increasing average contact area and at reducing pressure time integral.</w:t>
      </w:r>
      <w:r w:rsidR="0013684A" w:rsidRPr="00EC6B8A">
        <w:rPr>
          <w:lang w:val="en-US" w:eastAsia="en-GB"/>
        </w:rPr>
        <w:t xml:space="preserve"> </w:t>
      </w:r>
      <w:r w:rsidR="008D6EC2" w:rsidRPr="00EC6B8A">
        <w:rPr>
          <w:lang w:val="en-US" w:eastAsia="en-GB"/>
        </w:rPr>
        <w:t xml:space="preserve">Significant differences for range of motion were evident for femur/tibia adduction </w:t>
      </w:r>
      <w:r w:rsidR="003A2099" w:rsidRPr="00EC6B8A">
        <w:rPr>
          <w:lang w:val="en-US" w:eastAsia="en-GB"/>
        </w:rPr>
        <w:t xml:space="preserve">with low density EVA significantly greater than medium density EVA </w:t>
      </w:r>
      <w:r w:rsidR="008D6EC2" w:rsidRPr="00EC6B8A">
        <w:rPr>
          <w:lang w:val="en-US" w:eastAsia="en-GB"/>
        </w:rPr>
        <w:t>and forefoot/hindfoot supination</w:t>
      </w:r>
      <w:r w:rsidR="003A2099" w:rsidRPr="00EC6B8A">
        <w:rPr>
          <w:lang w:val="en-US" w:eastAsia="en-GB"/>
        </w:rPr>
        <w:t xml:space="preserve"> with the shoe only condition significantly less than medium density EVA. When going from heel strike to 6% of the gait cycle the change in angle for femur/tibia flexion was significantly greater for medium density EVA than the shoe only condition.</w:t>
      </w:r>
    </w:p>
    <w:p w:rsidR="008D6EC2" w:rsidRPr="00EC6B8A" w:rsidRDefault="008D6EC2" w:rsidP="0051671D">
      <w:pPr>
        <w:spacing w:after="0" w:line="480" w:lineRule="auto"/>
        <w:jc w:val="both"/>
        <w:rPr>
          <w:lang w:val="en-US" w:eastAsia="en-GB"/>
        </w:rPr>
      </w:pPr>
    </w:p>
    <w:p w:rsidR="00C667BA" w:rsidRPr="00EC6B8A" w:rsidRDefault="00C667BA" w:rsidP="0051671D">
      <w:pPr>
        <w:spacing w:after="0" w:line="480" w:lineRule="auto"/>
        <w:jc w:val="both"/>
        <w:rPr>
          <w:i/>
          <w:lang w:val="en-US" w:eastAsia="en-GB"/>
        </w:rPr>
      </w:pPr>
      <w:r w:rsidRPr="00EC6B8A">
        <w:rPr>
          <w:i/>
          <w:lang w:val="en-US" w:eastAsia="en-GB"/>
        </w:rPr>
        <w:t>2</w:t>
      </w:r>
      <w:r w:rsidRPr="00EC6B8A">
        <w:rPr>
          <w:i/>
          <w:vertAlign w:val="superscript"/>
          <w:lang w:val="en-US" w:eastAsia="en-GB"/>
        </w:rPr>
        <w:t>nd</w:t>
      </w:r>
      <w:r w:rsidRPr="00EC6B8A">
        <w:rPr>
          <w:i/>
          <w:lang w:val="en-US" w:eastAsia="en-GB"/>
        </w:rPr>
        <w:t xml:space="preserve"> session – custom device</w:t>
      </w:r>
    </w:p>
    <w:p w:rsidR="003A2099" w:rsidRPr="00EC6B8A" w:rsidRDefault="00C667BA" w:rsidP="0051671D">
      <w:pPr>
        <w:spacing w:after="0" w:line="480" w:lineRule="auto"/>
        <w:jc w:val="both"/>
        <w:rPr>
          <w:lang w:val="en-US" w:eastAsia="en-GB"/>
        </w:rPr>
      </w:pPr>
      <w:r w:rsidRPr="00EC6B8A">
        <w:rPr>
          <w:lang w:val="en-US" w:eastAsia="en-GB"/>
        </w:rPr>
        <w:t xml:space="preserve">Mean values for stance duration and F-Scan in shoe measurements are provided in </w:t>
      </w:r>
      <w:r w:rsidR="00C74DCF" w:rsidRPr="00EC6B8A">
        <w:t xml:space="preserve">Table 3 </w:t>
      </w:r>
      <w:r w:rsidRPr="00EC6B8A">
        <w:rPr>
          <w:lang w:val="en-US" w:eastAsia="en-GB"/>
        </w:rPr>
        <w:t>with lower limb kinematic data presented in</w:t>
      </w:r>
      <w:r w:rsidR="00C74DCF" w:rsidRPr="00EC6B8A">
        <w:t xml:space="preserve"> Table 4</w:t>
      </w:r>
      <w:r w:rsidRPr="00EC6B8A">
        <w:rPr>
          <w:lang w:val="en-US" w:eastAsia="en-GB"/>
        </w:rPr>
        <w:t>.</w:t>
      </w:r>
      <w:r w:rsidR="0013684A" w:rsidRPr="00EC6B8A">
        <w:rPr>
          <w:lang w:val="en-US" w:eastAsia="en-GB"/>
        </w:rPr>
        <w:t xml:space="preserve"> Medium density EVA and PU were found to significantly increase peak pressure at the hallux when compared to the shoe only condition. </w:t>
      </w:r>
      <w:r w:rsidR="0013684A" w:rsidRPr="00EC6B8A">
        <w:rPr>
          <w:lang w:eastAsia="en-GB"/>
        </w:rPr>
        <w:t>Both low density materials (PU and EVA) were found to significantly reduce peak pressure at the 1</w:t>
      </w:r>
      <w:r w:rsidR="0013684A" w:rsidRPr="00EC6B8A">
        <w:rPr>
          <w:vertAlign w:val="superscript"/>
          <w:lang w:eastAsia="en-GB"/>
        </w:rPr>
        <w:t>st</w:t>
      </w:r>
      <w:r w:rsidR="0013684A" w:rsidRPr="00EC6B8A">
        <w:rPr>
          <w:lang w:eastAsia="en-GB"/>
        </w:rPr>
        <w:t xml:space="preserve"> and lateral metatarsals when compared to the shoe only condition.</w:t>
      </w:r>
      <w:r w:rsidR="0013684A" w:rsidRPr="00EC6B8A">
        <w:rPr>
          <w:lang w:val="en-US" w:eastAsia="en-GB"/>
        </w:rPr>
        <w:t xml:space="preserve"> All the materials were effective at significantly reducing peak pressure at the medial and lateral heel when compared to the shoe only condition. </w:t>
      </w:r>
      <w:r w:rsidR="0013684A" w:rsidRPr="00EC6B8A">
        <w:rPr>
          <w:lang w:eastAsia="en-GB"/>
        </w:rPr>
        <w:t xml:space="preserve">Medium density PU and EVA increased peak force at the hallux and midfoot when compared to the shoe only condition. </w:t>
      </w:r>
      <w:r w:rsidR="0013684A" w:rsidRPr="00EC6B8A">
        <w:rPr>
          <w:lang w:val="en-US" w:eastAsia="en-GB"/>
        </w:rPr>
        <w:t xml:space="preserve">All the materials were effective at significantly reducing peak force at the medial and lateral heel. </w:t>
      </w:r>
      <w:r w:rsidR="0013684A" w:rsidRPr="00EC6B8A">
        <w:rPr>
          <w:lang w:eastAsia="en-GB"/>
        </w:rPr>
        <w:t xml:space="preserve">When compared to the shoe only condition contact area was significantly increased by all materials at the hallux and midfoot. </w:t>
      </w:r>
      <w:r w:rsidR="0013684A" w:rsidRPr="00EC6B8A">
        <w:rPr>
          <w:lang w:val="en-US" w:eastAsia="en-GB"/>
        </w:rPr>
        <w:t xml:space="preserve"> </w:t>
      </w:r>
      <w:r w:rsidR="0013684A" w:rsidRPr="00EC6B8A">
        <w:rPr>
          <w:lang w:eastAsia="en-GB"/>
        </w:rPr>
        <w:t>All materials reduced pressure time integral at the lateral metatarsals and the medial and lateral heel.</w:t>
      </w:r>
      <w:r w:rsidR="0013684A" w:rsidRPr="00EC6B8A">
        <w:rPr>
          <w:lang w:val="en-US" w:eastAsia="en-GB"/>
        </w:rPr>
        <w:t xml:space="preserve"> </w:t>
      </w:r>
      <w:r w:rsidR="003A2099" w:rsidRPr="00EC6B8A">
        <w:rPr>
          <w:lang w:val="en-US" w:eastAsia="en-GB"/>
        </w:rPr>
        <w:t xml:space="preserve">Significant differences for range of motion were evident for </w:t>
      </w:r>
      <w:r w:rsidR="003A2099" w:rsidRPr="00EC6B8A">
        <w:rPr>
          <w:lang w:val="en-US" w:eastAsia="en-GB"/>
        </w:rPr>
        <w:lastRenderedPageBreak/>
        <w:t>forefoot/hindfoot supination with the shoe only condition significantly greater than both PU conditions. When going from heel strike to 6% of the gait cycle the change in angle for femur/tibia flexion was significantly greater for low density PU than low density EVA.</w:t>
      </w:r>
    </w:p>
    <w:p w:rsidR="003A2099" w:rsidRPr="008D237F" w:rsidRDefault="003A2099" w:rsidP="0051671D">
      <w:pPr>
        <w:spacing w:after="0" w:line="480" w:lineRule="auto"/>
        <w:jc w:val="both"/>
        <w:rPr>
          <w:lang w:val="en-US" w:eastAsia="en-GB"/>
        </w:rPr>
      </w:pPr>
    </w:p>
    <w:p w:rsidR="00EF3D45" w:rsidRPr="008D237F" w:rsidRDefault="00EF3D45" w:rsidP="0051671D">
      <w:pPr>
        <w:autoSpaceDE w:val="0"/>
        <w:autoSpaceDN w:val="0"/>
        <w:adjustRightInd w:val="0"/>
        <w:spacing w:after="0" w:line="480" w:lineRule="auto"/>
        <w:rPr>
          <w:b/>
        </w:rPr>
      </w:pPr>
      <w:r w:rsidRPr="008D237F">
        <w:rPr>
          <w:b/>
        </w:rPr>
        <w:t>INSERT TABLES 1-4</w:t>
      </w:r>
    </w:p>
    <w:p w:rsidR="00EF3D45" w:rsidRPr="008D237F" w:rsidRDefault="00EF3D45" w:rsidP="0051671D">
      <w:pPr>
        <w:spacing w:after="0" w:line="480" w:lineRule="auto"/>
        <w:jc w:val="both"/>
        <w:rPr>
          <w:b/>
          <w:lang w:val="en-US" w:eastAsia="en-GB"/>
        </w:rPr>
      </w:pPr>
    </w:p>
    <w:p w:rsidR="00C667BA" w:rsidRPr="008D237F" w:rsidRDefault="00C667BA" w:rsidP="0051671D">
      <w:pPr>
        <w:spacing w:after="0" w:line="480" w:lineRule="auto"/>
        <w:jc w:val="both"/>
        <w:rPr>
          <w:b/>
          <w:lang w:eastAsia="en-GB"/>
        </w:rPr>
      </w:pPr>
      <w:r w:rsidRPr="008D237F">
        <w:rPr>
          <w:b/>
          <w:lang w:eastAsia="en-GB"/>
        </w:rPr>
        <w:t>Discussion</w:t>
      </w:r>
    </w:p>
    <w:p w:rsidR="00F94974" w:rsidRPr="008D237F" w:rsidRDefault="00F94974" w:rsidP="0051671D">
      <w:pPr>
        <w:spacing w:after="0" w:line="480" w:lineRule="auto"/>
        <w:jc w:val="both"/>
        <w:rPr>
          <w:b/>
          <w:lang w:eastAsia="en-GB"/>
        </w:rPr>
      </w:pPr>
    </w:p>
    <w:p w:rsidR="007A7162" w:rsidRPr="00D04863" w:rsidRDefault="00CD3D4F" w:rsidP="0051671D">
      <w:pPr>
        <w:spacing w:after="0" w:line="480" w:lineRule="auto"/>
        <w:jc w:val="both"/>
        <w:rPr>
          <w:lang w:eastAsia="en-GB"/>
        </w:rPr>
      </w:pPr>
      <w:r w:rsidRPr="008D237F">
        <w:rPr>
          <w:lang w:eastAsia="en-GB"/>
        </w:rPr>
        <w:t>As hypothesised various</w:t>
      </w:r>
      <w:r w:rsidR="007A7162" w:rsidRPr="008D237F">
        <w:rPr>
          <w:lang w:eastAsia="en-GB"/>
        </w:rPr>
        <w:t xml:space="preserve"> </w:t>
      </w:r>
      <w:r w:rsidR="007A7162" w:rsidRPr="00D04863">
        <w:rPr>
          <w:lang w:eastAsia="en-GB"/>
        </w:rPr>
        <w:t>insole material</w:t>
      </w:r>
      <w:r w:rsidRPr="00D04863">
        <w:rPr>
          <w:lang w:eastAsia="en-GB"/>
        </w:rPr>
        <w:t>s</w:t>
      </w:r>
      <w:r w:rsidR="007A7162" w:rsidRPr="00D04863">
        <w:rPr>
          <w:lang w:eastAsia="en-GB"/>
        </w:rPr>
        <w:t xml:space="preserve"> </w:t>
      </w:r>
      <w:r w:rsidRPr="00D04863">
        <w:rPr>
          <w:lang w:eastAsia="en-GB"/>
        </w:rPr>
        <w:t xml:space="preserve">and different construction </w:t>
      </w:r>
      <w:r w:rsidR="007A7162" w:rsidRPr="00D04863">
        <w:rPr>
          <w:lang w:eastAsia="en-GB"/>
        </w:rPr>
        <w:t>w</w:t>
      </w:r>
      <w:r w:rsidRPr="00D04863">
        <w:rPr>
          <w:lang w:eastAsia="en-GB"/>
        </w:rPr>
        <w:t>ere</w:t>
      </w:r>
      <w:r w:rsidR="007A7162" w:rsidRPr="00D04863">
        <w:rPr>
          <w:lang w:eastAsia="en-GB"/>
        </w:rPr>
        <w:t xml:space="preserve"> found to have an effect on </w:t>
      </w:r>
      <w:r w:rsidRPr="00D04863">
        <w:rPr>
          <w:lang w:eastAsia="en-GB"/>
        </w:rPr>
        <w:t>plantar pressure</w:t>
      </w:r>
      <w:r w:rsidR="001B5552" w:rsidRPr="00D04863">
        <w:rPr>
          <w:lang w:eastAsia="en-GB"/>
        </w:rPr>
        <w:t>, however in contrast to our hypothesis</w:t>
      </w:r>
      <w:r w:rsidRPr="00D04863">
        <w:rPr>
          <w:lang w:eastAsia="en-GB"/>
        </w:rPr>
        <w:t xml:space="preserve"> </w:t>
      </w:r>
      <w:r w:rsidR="001B5552" w:rsidRPr="00D04863">
        <w:rPr>
          <w:lang w:eastAsia="en-GB"/>
        </w:rPr>
        <w:t>there was</w:t>
      </w:r>
      <w:r w:rsidR="007A7162" w:rsidRPr="00D04863">
        <w:rPr>
          <w:lang w:eastAsia="en-GB"/>
        </w:rPr>
        <w:t xml:space="preserve"> little effect on lower limb kinematics. </w:t>
      </w:r>
    </w:p>
    <w:p w:rsidR="00560E0B" w:rsidRPr="008D237F" w:rsidRDefault="00560E0B" w:rsidP="0051671D">
      <w:pPr>
        <w:spacing w:after="0" w:line="480" w:lineRule="auto"/>
        <w:jc w:val="both"/>
        <w:rPr>
          <w:lang w:eastAsia="en-GB"/>
        </w:rPr>
      </w:pPr>
    </w:p>
    <w:p w:rsidR="00C667BA" w:rsidRPr="008D237F" w:rsidRDefault="00C667BA" w:rsidP="0051671D">
      <w:pPr>
        <w:spacing w:after="0" w:line="480" w:lineRule="auto"/>
        <w:jc w:val="both"/>
        <w:rPr>
          <w:i/>
          <w:lang w:eastAsia="en-GB"/>
        </w:rPr>
      </w:pPr>
      <w:r w:rsidRPr="008D237F">
        <w:rPr>
          <w:i/>
          <w:lang w:eastAsia="en-GB"/>
        </w:rPr>
        <w:t>Kinematics</w:t>
      </w:r>
    </w:p>
    <w:p w:rsidR="00C667BA" w:rsidRPr="00A160F1" w:rsidRDefault="00C667BA" w:rsidP="0051671D">
      <w:pPr>
        <w:spacing w:after="0" w:line="480" w:lineRule="auto"/>
        <w:jc w:val="both"/>
        <w:rPr>
          <w:b/>
          <w:lang w:eastAsia="en-GB"/>
        </w:rPr>
      </w:pPr>
      <w:r w:rsidRPr="008D237F">
        <w:rPr>
          <w:lang w:eastAsia="en-GB"/>
        </w:rPr>
        <w:t>Lower limb kinematics were assessed to examine the effect of the materials on ankle and foot joint mobility. Few significant differences were evident between conditions</w:t>
      </w:r>
      <w:r w:rsidR="004D09D4" w:rsidRPr="008D237F">
        <w:rPr>
          <w:lang w:eastAsia="en-GB"/>
        </w:rPr>
        <w:t xml:space="preserve">. Since </w:t>
      </w:r>
      <w:r w:rsidRPr="008D237F">
        <w:rPr>
          <w:lang w:eastAsia="en-GB"/>
        </w:rPr>
        <w:t xml:space="preserve">these differences were small </w:t>
      </w:r>
      <w:r w:rsidR="00D04863" w:rsidRPr="00D04863">
        <w:rPr>
          <w:lang w:eastAsia="en-GB"/>
        </w:rPr>
        <w:t>changes in actual joint angles and may not contribute to significant modifications in clinical intervention.</w:t>
      </w:r>
      <w:r w:rsidR="00D04863" w:rsidRPr="00A160F1">
        <w:rPr>
          <w:b/>
          <w:lang w:eastAsia="en-GB"/>
        </w:rPr>
        <w:t xml:space="preserve"> </w:t>
      </w:r>
      <w:r w:rsidRPr="008D237F">
        <w:rPr>
          <w:lang w:eastAsia="en-GB"/>
        </w:rPr>
        <w:t>(0.7°-1.49°)</w:t>
      </w:r>
      <w:r w:rsidR="004D09D4" w:rsidRPr="008D237F">
        <w:rPr>
          <w:lang w:eastAsia="en-GB"/>
        </w:rPr>
        <w:t>,</w:t>
      </w:r>
      <w:r w:rsidRPr="008D237F">
        <w:rPr>
          <w:lang w:eastAsia="en-GB"/>
        </w:rPr>
        <w:t xml:space="preserve"> they were not considered relevant</w:t>
      </w:r>
      <w:r w:rsidR="0000516B" w:rsidRPr="008D237F">
        <w:rPr>
          <w:lang w:eastAsia="en-GB"/>
        </w:rPr>
        <w:fldChar w:fldCharType="begin"/>
      </w:r>
      <w:r w:rsidR="00165C2B" w:rsidRPr="008D237F">
        <w:rPr>
          <w:lang w:eastAsia="en-GB"/>
        </w:rPr>
        <w:instrText>ADDIN RW.CITE{{265 Nigg, B.M. 1998}}</w:instrText>
      </w:r>
      <w:r w:rsidR="0000516B" w:rsidRPr="008D237F">
        <w:rPr>
          <w:lang w:eastAsia="en-GB"/>
        </w:rPr>
        <w:fldChar w:fldCharType="separate"/>
      </w:r>
      <w:r w:rsidR="008D237F" w:rsidRPr="008D237F">
        <w:rPr>
          <w:vertAlign w:val="superscript"/>
        </w:rPr>
        <w:t>31</w:t>
      </w:r>
      <w:r w:rsidR="0000516B" w:rsidRPr="008D237F">
        <w:rPr>
          <w:lang w:eastAsia="en-GB"/>
        </w:rPr>
        <w:fldChar w:fldCharType="end"/>
      </w:r>
      <w:r w:rsidRPr="008D237F">
        <w:rPr>
          <w:lang w:eastAsia="en-GB"/>
        </w:rPr>
        <w:t>. Similarly for the custom device</w:t>
      </w:r>
      <w:r w:rsidR="004D09D4" w:rsidRPr="008D237F">
        <w:rPr>
          <w:lang w:eastAsia="en-GB"/>
        </w:rPr>
        <w:t>s</w:t>
      </w:r>
      <w:r w:rsidR="0013684A" w:rsidRPr="008D237F">
        <w:rPr>
          <w:lang w:eastAsia="en-GB"/>
        </w:rPr>
        <w:t xml:space="preserve"> some small differences (1.13°-</w:t>
      </w:r>
      <w:r w:rsidRPr="008D237F">
        <w:rPr>
          <w:lang w:eastAsia="en-GB"/>
        </w:rPr>
        <w:t>1.92°) in lower limb kinematics were evident between conditions.</w:t>
      </w:r>
      <w:r w:rsidR="004D09D4" w:rsidRPr="008D237F">
        <w:rPr>
          <w:lang w:eastAsia="en-GB"/>
        </w:rPr>
        <w:t xml:space="preserve"> </w:t>
      </w:r>
      <w:r w:rsidR="004D09D4" w:rsidRPr="008D237F">
        <w:rPr>
          <w:b/>
          <w:lang w:eastAsia="en-GB"/>
        </w:rPr>
        <w:t xml:space="preserve"> </w:t>
      </w:r>
      <w:r w:rsidR="00F27B6D" w:rsidRPr="00D04863">
        <w:rPr>
          <w:lang w:eastAsia="en-GB"/>
        </w:rPr>
        <w:t>These small differences may be attributed to extrinsic factors such as marker placement procedures and related skin movement and intrinsic factors such as variability in functional anatomy between the participants. These factors might have had an influence in the</w:t>
      </w:r>
      <w:r w:rsidR="00F27B6D" w:rsidRPr="00A160F1">
        <w:rPr>
          <w:b/>
          <w:lang w:eastAsia="en-GB"/>
        </w:rPr>
        <w:t xml:space="preserve"> </w:t>
      </w:r>
    </w:p>
    <w:p w:rsidR="00C667BA" w:rsidRPr="008D237F" w:rsidRDefault="00C667BA" w:rsidP="0051671D">
      <w:pPr>
        <w:spacing w:after="0" w:line="480" w:lineRule="auto"/>
        <w:jc w:val="both"/>
        <w:rPr>
          <w:lang w:eastAsia="en-GB"/>
        </w:rPr>
      </w:pPr>
    </w:p>
    <w:p w:rsidR="0051671D" w:rsidRPr="008D237F" w:rsidRDefault="00CD3D4F" w:rsidP="0051671D">
      <w:pPr>
        <w:spacing w:after="0" w:line="480" w:lineRule="auto"/>
        <w:jc w:val="both"/>
        <w:rPr>
          <w:i/>
          <w:lang w:eastAsia="en-GB"/>
        </w:rPr>
      </w:pPr>
      <w:r w:rsidRPr="008D237F">
        <w:rPr>
          <w:i/>
          <w:lang w:eastAsia="en-GB"/>
        </w:rPr>
        <w:t>Plantar Pressure</w:t>
      </w:r>
    </w:p>
    <w:p w:rsidR="004B044D" w:rsidRPr="00A160F1" w:rsidRDefault="00560E0B" w:rsidP="0051671D">
      <w:pPr>
        <w:spacing w:after="0" w:line="480" w:lineRule="auto"/>
        <w:jc w:val="both"/>
        <w:rPr>
          <w:b/>
          <w:lang w:eastAsia="en-GB"/>
        </w:rPr>
      </w:pPr>
      <w:r w:rsidRPr="00A160F1">
        <w:rPr>
          <w:lang w:eastAsia="en-GB"/>
        </w:rPr>
        <w:t xml:space="preserve">Results for the flat insoles showed that </w:t>
      </w:r>
      <w:r w:rsidRPr="00A160F1">
        <w:rPr>
          <w:lang w:val="en-US" w:eastAsia="en-GB"/>
        </w:rPr>
        <w:t>medium density EVA always produced greater peak pressures than at least one of the other material conditions and that both PU insoles were most effective at increasing contact area and reducing pressure time integral, indicating the possibility that PU is superior to EVA when pressure reduction is a requirement.</w:t>
      </w:r>
      <w:r w:rsidR="00737878" w:rsidRPr="00A160F1">
        <w:rPr>
          <w:lang w:val="en-US" w:eastAsia="en-GB"/>
        </w:rPr>
        <w:t xml:space="preserve"> </w:t>
      </w:r>
      <w:r w:rsidR="00C667BA" w:rsidRPr="00A160F1">
        <w:rPr>
          <w:lang w:eastAsia="en-GB"/>
        </w:rPr>
        <w:t>When</w:t>
      </w:r>
      <w:r w:rsidRPr="008D237F">
        <w:rPr>
          <w:lang w:eastAsia="en-GB"/>
        </w:rPr>
        <w:t xml:space="preserve"> the percentage change in peak </w:t>
      </w:r>
      <w:r w:rsidR="00C667BA" w:rsidRPr="008D237F">
        <w:rPr>
          <w:lang w:eastAsia="en-GB"/>
        </w:rPr>
        <w:t>pressure of the custom devices were compared to the shoe only condition</w:t>
      </w:r>
      <w:r w:rsidR="00CD3D4F" w:rsidRPr="008D237F">
        <w:rPr>
          <w:lang w:eastAsia="en-GB"/>
        </w:rPr>
        <w:t>,</w:t>
      </w:r>
      <w:r w:rsidR="00C667BA" w:rsidRPr="008D237F">
        <w:rPr>
          <w:lang w:eastAsia="en-GB"/>
        </w:rPr>
        <w:t xml:space="preserve"> findings were similar to previous research</w:t>
      </w:r>
      <w:r w:rsidR="0000516B" w:rsidRPr="008D237F">
        <w:rPr>
          <w:lang w:eastAsia="en-GB"/>
        </w:rPr>
        <w:fldChar w:fldCharType="begin"/>
      </w:r>
      <w:r w:rsidR="00165C2B" w:rsidRPr="008D237F">
        <w:rPr>
          <w:lang w:eastAsia="en-GB"/>
        </w:rPr>
        <w:instrText>ADDIN RW.CITE{{216 Yuk San Tsung, B. 2004}}</w:instrText>
      </w:r>
      <w:r w:rsidR="0000516B" w:rsidRPr="008D237F">
        <w:rPr>
          <w:lang w:eastAsia="en-GB"/>
        </w:rPr>
        <w:fldChar w:fldCharType="separate"/>
      </w:r>
      <w:r w:rsidR="008D237F" w:rsidRPr="008D237F">
        <w:rPr>
          <w:vertAlign w:val="superscript"/>
        </w:rPr>
        <w:t>24</w:t>
      </w:r>
      <w:r w:rsidR="0000516B" w:rsidRPr="008D237F">
        <w:rPr>
          <w:lang w:eastAsia="en-GB"/>
        </w:rPr>
        <w:fldChar w:fldCharType="end"/>
      </w:r>
      <w:r w:rsidR="00C667BA" w:rsidRPr="008D237F">
        <w:rPr>
          <w:lang w:eastAsia="en-GB"/>
        </w:rPr>
        <w:t xml:space="preserve"> whose custom devices were also found to increase </w:t>
      </w:r>
      <w:r w:rsidR="00C667BA" w:rsidRPr="00D04863">
        <w:rPr>
          <w:lang w:eastAsia="en-GB"/>
        </w:rPr>
        <w:t xml:space="preserve">peak pressure at the hallux. </w:t>
      </w:r>
      <w:r w:rsidR="004B044D" w:rsidRPr="00D04863">
        <w:rPr>
          <w:lang w:eastAsia="en-GB"/>
        </w:rPr>
        <w:t xml:space="preserve">Whilst it is difficult to identify </w:t>
      </w:r>
      <w:r w:rsidR="00CD3D4F" w:rsidRPr="00D04863">
        <w:rPr>
          <w:lang w:eastAsia="en-GB"/>
        </w:rPr>
        <w:t xml:space="preserve">specific </w:t>
      </w:r>
      <w:r w:rsidRPr="00D04863">
        <w:rPr>
          <w:lang w:eastAsia="en-GB"/>
        </w:rPr>
        <w:t>reason</w:t>
      </w:r>
      <w:r w:rsidR="004B044D" w:rsidRPr="00D04863">
        <w:rPr>
          <w:lang w:eastAsia="en-GB"/>
        </w:rPr>
        <w:t>s for this increase, the changes could be attributed</w:t>
      </w:r>
      <w:r w:rsidR="00CD3D4F" w:rsidRPr="00D04863">
        <w:rPr>
          <w:lang w:eastAsia="en-GB"/>
        </w:rPr>
        <w:t xml:space="preserve"> </w:t>
      </w:r>
      <w:r w:rsidR="004B044D" w:rsidRPr="00D04863">
        <w:rPr>
          <w:lang w:eastAsia="en-GB"/>
        </w:rPr>
        <w:t>to the relationship between the participants’ plantar surface contour and the construction of the custom devices.</w:t>
      </w:r>
    </w:p>
    <w:p w:rsidR="0051671D" w:rsidRPr="008D237F" w:rsidRDefault="0051671D" w:rsidP="0051671D">
      <w:pPr>
        <w:spacing w:after="0" w:line="480" w:lineRule="auto"/>
        <w:jc w:val="both"/>
      </w:pPr>
    </w:p>
    <w:p w:rsidR="00C667BA" w:rsidRPr="008D237F" w:rsidRDefault="00C667BA" w:rsidP="0051671D">
      <w:pPr>
        <w:spacing w:after="0" w:line="480" w:lineRule="auto"/>
        <w:jc w:val="both"/>
        <w:rPr>
          <w:lang w:eastAsia="en-GB"/>
        </w:rPr>
      </w:pPr>
      <w:r w:rsidRPr="008D237F">
        <w:t>While no significant differences were evident between the materials for average contact area further analysis showed that when compared to the shoe only condition medium density PU increased the average contact area by a greater percentage than the three other materials in all six areas of the foot; hallux (30-38% greater), 1</w:t>
      </w:r>
      <w:r w:rsidRPr="008D237F">
        <w:rPr>
          <w:vertAlign w:val="superscript"/>
        </w:rPr>
        <w:t>st</w:t>
      </w:r>
      <w:r w:rsidRPr="008D237F">
        <w:t xml:space="preserve"> met (16-20%), lateral metatarsals (8-11%), midfoot (20-26%), lateral heel (9-10%) and medial heel (26-32%).</w:t>
      </w:r>
      <w:r w:rsidRPr="008D237F">
        <w:rPr>
          <w:lang w:eastAsia="en-GB"/>
        </w:rPr>
        <w:t xml:space="preserve"> </w:t>
      </w:r>
      <w:r w:rsidRPr="008D237F">
        <w:t xml:space="preserve">This suggests a possible difference in the loading characteristics of the material with medium density PU appearing to conform more with pressure therefore spreading the load over a greater area. This does not affect other measurements such as peak pressure in the zone, but does indicate a contouring around the anatomical structure that </w:t>
      </w:r>
      <w:r w:rsidRPr="008D237F">
        <w:lastRenderedPageBreak/>
        <w:t>is applying the pressure such as the 1</w:t>
      </w:r>
      <w:r w:rsidRPr="008D237F">
        <w:rPr>
          <w:vertAlign w:val="superscript"/>
        </w:rPr>
        <w:t>st</w:t>
      </w:r>
      <w:r w:rsidRPr="008D237F">
        <w:t xml:space="preserve"> metatarsal head or the hallux. This could have a clinical significance in the ability of the material to “off load” areas of the foot by distributing the force over a greater area and therefore changing the shape of the point of contact. Clinicians may consider this useful when choosing a material that needs to be supportive, corrective and have good pressure attenuation characteristics for patients with compromised ability to deal with pressure.</w:t>
      </w:r>
      <w:r w:rsidRPr="008D237F">
        <w:rPr>
          <w:lang w:eastAsia="en-GB"/>
        </w:rPr>
        <w:t xml:space="preserve"> </w:t>
      </w:r>
    </w:p>
    <w:p w:rsidR="0051671D" w:rsidRPr="008D237F" w:rsidRDefault="0051671D" w:rsidP="0051671D">
      <w:pPr>
        <w:spacing w:after="0" w:line="480" w:lineRule="auto"/>
        <w:jc w:val="both"/>
        <w:rPr>
          <w:lang w:eastAsia="en-GB"/>
        </w:rPr>
      </w:pPr>
    </w:p>
    <w:p w:rsidR="00C667BA" w:rsidRPr="008D237F" w:rsidRDefault="00C667BA" w:rsidP="0051671D">
      <w:pPr>
        <w:spacing w:after="0" w:line="480" w:lineRule="auto"/>
        <w:jc w:val="both"/>
        <w:rPr>
          <w:lang w:eastAsia="en-GB"/>
        </w:rPr>
      </w:pPr>
      <w:r w:rsidRPr="008D237F">
        <w:rPr>
          <w:lang w:eastAsia="en-GB"/>
        </w:rPr>
        <w:t>Additionally, while the average contact area for the medial and lateral heel in the custom devices was not significantly different to the shoe only condition the F-Scan sensors were cut to fit the shoe without the devices and therefore the sensors did not cover all of the heel contour on the custom devices and subsequently could not measure the entire contact area of the heel contour.</w:t>
      </w:r>
    </w:p>
    <w:p w:rsidR="0051671D" w:rsidRPr="008D237F" w:rsidRDefault="0051671D" w:rsidP="0051671D">
      <w:pPr>
        <w:spacing w:after="0" w:line="480" w:lineRule="auto"/>
        <w:jc w:val="both"/>
        <w:rPr>
          <w:lang w:eastAsia="en-GB"/>
        </w:rPr>
      </w:pPr>
    </w:p>
    <w:p w:rsidR="00C667BA" w:rsidRPr="008D237F" w:rsidRDefault="00C667BA" w:rsidP="0051671D">
      <w:pPr>
        <w:spacing w:after="0" w:line="480" w:lineRule="auto"/>
        <w:jc w:val="both"/>
        <w:rPr>
          <w:lang w:eastAsia="en-GB"/>
        </w:rPr>
      </w:pPr>
      <w:r w:rsidRPr="008D237F">
        <w:rPr>
          <w:lang w:eastAsia="en-GB"/>
        </w:rPr>
        <w:t>The effect of the manufacturing process on the production of custom devices also needs to be considered, manufacturing techniques may cause material deformation which may influence the material performance characteristics</w:t>
      </w:r>
      <w:r w:rsidR="0000516B" w:rsidRPr="008D237F">
        <w:rPr>
          <w:lang w:eastAsia="en-GB"/>
        </w:rPr>
        <w:fldChar w:fldCharType="begin"/>
      </w:r>
      <w:r w:rsidR="00165C2B" w:rsidRPr="008D237F">
        <w:rPr>
          <w:lang w:eastAsia="en-GB"/>
        </w:rPr>
        <w:instrText>ADDIN RW.CITE{{283 Mills, N.J. 2001}}</w:instrText>
      </w:r>
      <w:r w:rsidR="0000516B" w:rsidRPr="008D237F">
        <w:rPr>
          <w:lang w:eastAsia="en-GB"/>
        </w:rPr>
        <w:fldChar w:fldCharType="separate"/>
      </w:r>
      <w:r w:rsidR="008D237F" w:rsidRPr="008D237F">
        <w:rPr>
          <w:vertAlign w:val="superscript"/>
        </w:rPr>
        <w:t>32</w:t>
      </w:r>
      <w:r w:rsidR="0000516B" w:rsidRPr="008D237F">
        <w:rPr>
          <w:lang w:eastAsia="en-GB"/>
        </w:rPr>
        <w:fldChar w:fldCharType="end"/>
      </w:r>
      <w:r w:rsidRPr="008D237F">
        <w:rPr>
          <w:lang w:eastAsia="en-GB"/>
        </w:rPr>
        <w:t>.</w:t>
      </w:r>
    </w:p>
    <w:p w:rsidR="00C667BA" w:rsidRPr="008D237F" w:rsidRDefault="00C667BA" w:rsidP="0051671D">
      <w:pPr>
        <w:spacing w:after="0" w:line="480" w:lineRule="auto"/>
        <w:ind w:firstLine="720"/>
        <w:jc w:val="both"/>
        <w:rPr>
          <w:lang w:eastAsia="en-GB"/>
        </w:rPr>
      </w:pPr>
    </w:p>
    <w:p w:rsidR="00C667BA" w:rsidRPr="008D237F" w:rsidRDefault="00C667BA" w:rsidP="0051671D">
      <w:pPr>
        <w:spacing w:after="0" w:line="480" w:lineRule="auto"/>
        <w:jc w:val="both"/>
        <w:rPr>
          <w:i/>
          <w:lang w:eastAsia="en-GB"/>
        </w:rPr>
      </w:pPr>
      <w:r w:rsidRPr="008D237F">
        <w:rPr>
          <w:i/>
          <w:lang w:eastAsia="en-GB"/>
        </w:rPr>
        <w:t>Flat insoles versus custom devices</w:t>
      </w:r>
    </w:p>
    <w:p w:rsidR="00C667BA" w:rsidRPr="008D237F" w:rsidRDefault="00C667BA" w:rsidP="0051671D">
      <w:pPr>
        <w:spacing w:after="0" w:line="480" w:lineRule="auto"/>
        <w:jc w:val="both"/>
        <w:rPr>
          <w:b/>
          <w:lang w:eastAsia="en-GB"/>
        </w:rPr>
      </w:pPr>
      <w:r w:rsidRPr="008D237F">
        <w:rPr>
          <w:lang w:eastAsia="en-GB"/>
        </w:rPr>
        <w:t xml:space="preserve">As significant differences were evident when the results </w:t>
      </w:r>
      <w:r w:rsidR="007036DC" w:rsidRPr="008D237F">
        <w:rPr>
          <w:lang w:eastAsia="en-GB"/>
        </w:rPr>
        <w:t>f</w:t>
      </w:r>
      <w:r w:rsidR="00C57526" w:rsidRPr="008D237F">
        <w:rPr>
          <w:lang w:eastAsia="en-GB"/>
        </w:rPr>
        <w:t>or</w:t>
      </w:r>
      <w:r w:rsidR="007036DC" w:rsidRPr="008D237F">
        <w:rPr>
          <w:lang w:eastAsia="en-GB"/>
        </w:rPr>
        <w:t xml:space="preserve"> the shoe only condition from both the flat insoles and custom device</w:t>
      </w:r>
      <w:r w:rsidRPr="008D237F">
        <w:rPr>
          <w:lang w:eastAsia="en-GB"/>
        </w:rPr>
        <w:t xml:space="preserve"> </w:t>
      </w:r>
      <w:r w:rsidR="007036DC" w:rsidRPr="008D237F">
        <w:rPr>
          <w:lang w:eastAsia="en-GB"/>
        </w:rPr>
        <w:t xml:space="preserve">sessions </w:t>
      </w:r>
      <w:r w:rsidRPr="008D237F">
        <w:rPr>
          <w:lang w:eastAsia="en-GB"/>
        </w:rPr>
        <w:t>were tested subsequent comparisons between the two sessions were not completed.</w:t>
      </w:r>
      <w:r w:rsidR="0090041E" w:rsidRPr="008D237F">
        <w:rPr>
          <w:lang w:eastAsia="en-GB"/>
        </w:rPr>
        <w:t xml:space="preserve"> </w:t>
      </w:r>
    </w:p>
    <w:p w:rsidR="0051671D" w:rsidRPr="008D237F" w:rsidRDefault="0051671D" w:rsidP="0051671D">
      <w:pPr>
        <w:spacing w:after="0" w:line="480" w:lineRule="auto"/>
        <w:jc w:val="both"/>
        <w:rPr>
          <w:lang w:val="en-US" w:eastAsia="en-GB"/>
        </w:rPr>
      </w:pPr>
    </w:p>
    <w:p w:rsidR="00C667BA" w:rsidRPr="00A160F1" w:rsidRDefault="00C667BA" w:rsidP="0051671D">
      <w:pPr>
        <w:spacing w:after="0" w:line="480" w:lineRule="auto"/>
        <w:jc w:val="both"/>
        <w:rPr>
          <w:lang w:val="en-US" w:eastAsia="en-GB"/>
        </w:rPr>
      </w:pPr>
      <w:r w:rsidRPr="008D237F">
        <w:rPr>
          <w:lang w:val="en-US" w:eastAsia="en-GB"/>
        </w:rPr>
        <w:lastRenderedPageBreak/>
        <w:t xml:space="preserve">While the present study examined the effect on plantar pressure and joint mobility of different materials used in orthoses prescribed for people with diabetes, normal population participants </w:t>
      </w:r>
      <w:r w:rsidRPr="00A160F1">
        <w:rPr>
          <w:lang w:val="en-US" w:eastAsia="en-GB"/>
        </w:rPr>
        <w:t xml:space="preserve">were recruited as research to date has not examined orthotic materials in this way before with this study providing baseline data </w:t>
      </w:r>
      <w:r w:rsidR="00242F1A" w:rsidRPr="00A160F1">
        <w:rPr>
          <w:lang w:val="en-US" w:eastAsia="en-GB"/>
        </w:rPr>
        <w:t xml:space="preserve">on the performance of the tested materials </w:t>
      </w:r>
      <w:r w:rsidRPr="00A160F1">
        <w:rPr>
          <w:lang w:val="en-US" w:eastAsia="en-GB"/>
        </w:rPr>
        <w:t xml:space="preserve">for the normal population. </w:t>
      </w:r>
    </w:p>
    <w:p w:rsidR="00C667BA" w:rsidRPr="00A160F1" w:rsidRDefault="00C667BA" w:rsidP="0051671D">
      <w:pPr>
        <w:spacing w:after="0" w:line="480" w:lineRule="auto"/>
        <w:ind w:firstLine="720"/>
        <w:jc w:val="both"/>
        <w:rPr>
          <w:lang w:val="en-US" w:eastAsia="en-GB"/>
        </w:rPr>
      </w:pPr>
    </w:p>
    <w:p w:rsidR="00C667BA" w:rsidRPr="008D237F" w:rsidRDefault="00C667BA" w:rsidP="0051671D">
      <w:pPr>
        <w:spacing w:after="0" w:line="480" w:lineRule="auto"/>
        <w:jc w:val="both"/>
        <w:rPr>
          <w:b/>
          <w:lang w:eastAsia="en-GB"/>
        </w:rPr>
      </w:pPr>
      <w:r w:rsidRPr="008D237F">
        <w:rPr>
          <w:b/>
          <w:lang w:eastAsia="en-GB"/>
        </w:rPr>
        <w:t>Conclusion</w:t>
      </w:r>
    </w:p>
    <w:p w:rsidR="00C667BA" w:rsidRPr="008D237F" w:rsidRDefault="00C667BA" w:rsidP="0051671D">
      <w:pPr>
        <w:spacing w:after="0" w:line="480" w:lineRule="auto"/>
        <w:jc w:val="both"/>
        <w:rPr>
          <w:lang w:val="en-US" w:eastAsia="en-GB"/>
        </w:rPr>
      </w:pPr>
      <w:r w:rsidRPr="008D237F">
        <w:t>Results for the flat insoles suggest the use of PU for patients where a reduction in peak pressures is required. With regard to the custom devices the results for average contact area for medium density PU suggests a possible difference in the loading characteristics of the material, indicating that it may be a suitable material for patients with a compromised ability to deal with pressure.</w:t>
      </w:r>
    </w:p>
    <w:p w:rsidR="00C667BA" w:rsidRDefault="00C667BA" w:rsidP="0051671D">
      <w:pPr>
        <w:spacing w:line="480" w:lineRule="auto"/>
      </w:pPr>
    </w:p>
    <w:p w:rsidR="00A160F1" w:rsidRDefault="00A160F1" w:rsidP="0051671D">
      <w:pPr>
        <w:spacing w:line="480" w:lineRule="auto"/>
      </w:pPr>
    </w:p>
    <w:p w:rsidR="00A160F1" w:rsidRDefault="00A160F1" w:rsidP="0051671D">
      <w:pPr>
        <w:spacing w:line="480" w:lineRule="auto"/>
      </w:pPr>
    </w:p>
    <w:p w:rsidR="00A160F1" w:rsidRPr="008D237F" w:rsidRDefault="00A160F1" w:rsidP="0051671D">
      <w:pPr>
        <w:spacing w:line="480" w:lineRule="auto"/>
      </w:pPr>
    </w:p>
    <w:p w:rsidR="0051671D" w:rsidRPr="008D237F" w:rsidRDefault="00F94974" w:rsidP="0051671D">
      <w:pPr>
        <w:spacing w:line="480" w:lineRule="auto"/>
      </w:pPr>
      <w:r w:rsidRPr="008D237F">
        <w:t xml:space="preserve">Word count: </w:t>
      </w:r>
      <w:r w:rsidR="008D237F" w:rsidRPr="008D237F">
        <w:t>3,028</w:t>
      </w:r>
    </w:p>
    <w:p w:rsidR="0051671D" w:rsidRPr="008D237F" w:rsidRDefault="0051671D" w:rsidP="0051671D">
      <w:pPr>
        <w:spacing w:line="480" w:lineRule="auto"/>
      </w:pPr>
    </w:p>
    <w:p w:rsidR="00EF2EF8" w:rsidRPr="008D237F" w:rsidRDefault="00EF2EF8" w:rsidP="0051671D">
      <w:pPr>
        <w:spacing w:line="480" w:lineRule="auto"/>
        <w:jc w:val="both"/>
        <w:rPr>
          <w:b/>
        </w:rPr>
      </w:pPr>
      <w:r w:rsidRPr="008D237F">
        <w:rPr>
          <w:b/>
        </w:rPr>
        <w:t>References</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lastRenderedPageBreak/>
        <w:fldChar w:fldCharType="begin"/>
      </w:r>
      <w:r w:rsidRPr="008D237F">
        <w:rPr>
          <w:rFonts w:ascii="Arial" w:hAnsi="Arial" w:cs="Arial"/>
          <w:sz w:val="22"/>
          <w:szCs w:val="22"/>
        </w:rPr>
        <w:instrText>ADDIN RW.BIB</w:instrText>
      </w:r>
      <w:r w:rsidRPr="008D237F">
        <w:rPr>
          <w:rFonts w:ascii="Arial" w:hAnsi="Arial" w:cs="Arial"/>
          <w:sz w:val="22"/>
          <w:szCs w:val="22"/>
        </w:rPr>
        <w:fldChar w:fldCharType="separate"/>
      </w:r>
      <w:r w:rsidRPr="008D237F">
        <w:rPr>
          <w:rFonts w:ascii="Arial" w:hAnsi="Arial" w:cs="Arial"/>
          <w:sz w:val="22"/>
          <w:szCs w:val="22"/>
        </w:rPr>
        <w:t xml:space="preserve">1. Spencer S. Pressure relieving interventions for preventing and treating diabetic foot ulcers. Cochrane Database Syst Rev 2000; 3.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2. Bus SA, Valk GD, van Deursen RW, Armstrong DG, Caravaggi C, Hlaváček P, et al. The effectiveness of footwear and offloading interventions to prevent and heal foot ulcers and reduce plantar pressure in diabetes: a systematic review. Diabetes Metab Res Rev 2008; 24: S162-S180.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3. Paton J, Bruce G, Jones R, Stenhouse E. Effectiveness of insoles used for the prevention of ulceration in the neuropathic diabetic foot: a systematic review. J Diabetes Complications 2011; 25: 52-62.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4. Mason J, O’Keeffe C, Hutchinson A, McIntosh A, Young R, Booth A. A systematic review of foot ulcer in patients with Type 2 diabetes mellitus. II: treatment. Diabetic Med 1999; 16: 889-909.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5. Healy A, Dunning DN, Chockalingam N. Materials used for footwear orthoses: a review. Footwear Sci 2010; 2: 93-110.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6. Rosenbaum D, Becker HP. Plantar pressure distribution measurements. Technical background and clinical applications. Foot Ankle Surg 1997; 3: 1-14.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7. Bus SA, Ulbrecht JS, Cavanagh PR. Pressure relief and load redistribution by custom-made insoles in diabetic patients with neuropathy and foot deformity. Clin Biomech 2004; 19: 629-638.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lastRenderedPageBreak/>
        <w:t xml:space="preserve">8. Mueller MJ, Lott DJ, Hastings MK, Commean PK, Smith KE, Pilgram TK. Efficacy and mechanism of orthotic devices to unload metatarsal heads in people with diabetes and a history of plantar ulcers. Phys Ther 2006; 86: 833-842.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9. Lavery LA, Vela SA, Ashry HR, Lanctot DR, Athanasiou KA. Novel methodology to obtain salient biomechanical characteristics of insole materials. J Am Podiatr Med Assoc 1997; 87: 266.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10. Burns J, Wegener C, Begg L, Vicaretti M, Fletcher J. Randomized trial of custom orthoses and footwear on foot pain and plantar pressure in diabetic peripheral arterial disease. Diabet Med 2009; 26: 893-899.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11. Stokes IAF, Faris IB, Hutton WC. The neuropathic ulcer and loads on the foot in diabetic patients. Acta Orthop Scand 1975; 46: 839-847.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12. Veves A, Murray HJ, Young MJ, Boulton AJM. The risk of foot ulceration in diabetic patients with high foot pressure: a prospective study. Diabetologia 1992; 35: 660-663.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13. Reiber GE, Vileikyte L, Boyko EJ, del Aguila M, Smith DG, Lavery LA, et al. Causal pathways for incident lower-extremity ulcers in patients with diabetes from two settings. Diabetes Care 1999; 22: 157-162.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14. Van Schie CHM. A review of the biomechanics of the diabetic foot. Int J Low Extrem Wounds 2005; 4: 160-170.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lastRenderedPageBreak/>
        <w:t xml:space="preserve">15. Viswanathan V, Snehalatha C, Sivagami M, Seena R, Ramachandran A. Association of limited joint mobility and high plantar pressure in diabetic foot ulceration in Asian Indians. Diabetes Res Clin Pract 2003; 60: 57-61.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16. Fernando DJ, Masson EA, Veves A, Boulton AJ. Relationship of limited joint mobility to abnormal foot pressures and diabetic foot ulceration. Diabetes Care 1991; 14: 8-11.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17. Delbridge L, Perry P, Marr S, Arnold N, Yue DK, Turtle JR, et al. Limited joint mobility in the diabetic foot: relationship to neuropathic ulceration. Diabetic Med 1988; 5: 333-337.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18. Mohamed O, Cerny K, Rojek L, Herbert K, Turner R, Waistell S. The Effects of Plastazote</w:t>
      </w:r>
      <w:r w:rsidRPr="008D237F">
        <w:rPr>
          <w:rFonts w:ascii="Arial" w:hAnsi="Arial" w:cs="Arial"/>
          <w:sz w:val="22"/>
          <w:szCs w:val="22"/>
          <w:vertAlign w:val="superscript"/>
        </w:rPr>
        <w:t>®</w:t>
      </w:r>
      <w:r w:rsidRPr="008D237F">
        <w:rPr>
          <w:rFonts w:ascii="Arial" w:hAnsi="Arial" w:cs="Arial"/>
          <w:sz w:val="22"/>
          <w:szCs w:val="22"/>
        </w:rPr>
        <w:t xml:space="preserve"> and Aliplast</w:t>
      </w:r>
      <w:r w:rsidRPr="008D237F">
        <w:rPr>
          <w:rFonts w:ascii="Arial" w:hAnsi="Arial" w:cs="Arial"/>
          <w:sz w:val="22"/>
          <w:szCs w:val="22"/>
          <w:vertAlign w:val="superscript"/>
        </w:rPr>
        <w:t>®</w:t>
      </w:r>
      <w:r w:rsidRPr="008D237F">
        <w:rPr>
          <w:rFonts w:ascii="Arial" w:hAnsi="Arial" w:cs="Arial"/>
          <w:sz w:val="22"/>
          <w:szCs w:val="22"/>
        </w:rPr>
        <w:t>/Plastazote</w:t>
      </w:r>
      <w:r w:rsidRPr="008D237F">
        <w:rPr>
          <w:rFonts w:ascii="Arial" w:hAnsi="Arial" w:cs="Arial"/>
          <w:sz w:val="22"/>
          <w:szCs w:val="22"/>
          <w:vertAlign w:val="superscript"/>
        </w:rPr>
        <w:t>®</w:t>
      </w:r>
      <w:r w:rsidRPr="008D237F">
        <w:rPr>
          <w:rFonts w:ascii="Arial" w:hAnsi="Arial" w:cs="Arial"/>
          <w:sz w:val="22"/>
          <w:szCs w:val="22"/>
        </w:rPr>
        <w:t xml:space="preserve"> Orthoses on Plantar Pressures in Elderly Persons With Diabetic Neuropathy. J Prosthet Orthot 2004; 16: 55-63.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19. Burns J, Begg L, Vicaretti M. Comparison of orthotic materials on foot pain, comfort, and plantar pressure in the neuroischemic diabetic foot: a case report. J Am Podiatr Med Assoc 2008; 98: 143.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20. Birke JA, Foto JG, Pfiefer LA. Effect of orthosis material hardness on walking pressure in high-risk diabetes patients. J Prosthet Orthot 1999; 11: 43-46.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21. Tong JWK, Ng EYK. Preliminary investigation on the reduction of plantar loading pressure with different insole materials (SRP - Slow Recovery Poron</w:t>
      </w:r>
      <w:r w:rsidRPr="008D237F">
        <w:rPr>
          <w:rFonts w:ascii="Arial" w:hAnsi="Arial" w:cs="Arial"/>
          <w:sz w:val="22"/>
          <w:szCs w:val="22"/>
          <w:vertAlign w:val="superscript"/>
        </w:rPr>
        <w:t>®</w:t>
      </w:r>
      <w:r w:rsidRPr="008D237F">
        <w:rPr>
          <w:rFonts w:ascii="Arial" w:hAnsi="Arial" w:cs="Arial"/>
          <w:sz w:val="22"/>
          <w:szCs w:val="22"/>
        </w:rPr>
        <w:t>, P - Poron</w:t>
      </w:r>
      <w:r w:rsidRPr="008D237F">
        <w:rPr>
          <w:rFonts w:ascii="Arial" w:hAnsi="Arial" w:cs="Arial"/>
          <w:sz w:val="22"/>
          <w:szCs w:val="22"/>
          <w:vertAlign w:val="superscript"/>
        </w:rPr>
        <w:t>®</w:t>
      </w:r>
      <w:r w:rsidRPr="008D237F">
        <w:rPr>
          <w:rFonts w:ascii="Arial" w:hAnsi="Arial" w:cs="Arial"/>
          <w:sz w:val="22"/>
          <w:szCs w:val="22"/>
        </w:rPr>
        <w:t xml:space="preserve">, PPF </w:t>
      </w:r>
      <w:r w:rsidRPr="008D237F">
        <w:rPr>
          <w:rFonts w:ascii="Arial" w:hAnsi="Arial" w:cs="Arial"/>
          <w:sz w:val="22"/>
          <w:szCs w:val="22"/>
        </w:rPr>
        <w:lastRenderedPageBreak/>
        <w:t>- Poron</w:t>
      </w:r>
      <w:r w:rsidRPr="008D237F">
        <w:rPr>
          <w:rFonts w:ascii="Arial" w:hAnsi="Arial" w:cs="Arial"/>
          <w:sz w:val="22"/>
          <w:szCs w:val="22"/>
          <w:vertAlign w:val="superscript"/>
        </w:rPr>
        <w:t>®</w:t>
      </w:r>
      <w:r w:rsidRPr="008D237F">
        <w:rPr>
          <w:rFonts w:ascii="Arial" w:hAnsi="Arial" w:cs="Arial"/>
          <w:sz w:val="22"/>
          <w:szCs w:val="22"/>
        </w:rPr>
        <w:t xml:space="preserve"> + Plastazote, firm and PPS - Poron</w:t>
      </w:r>
      <w:r w:rsidRPr="008D237F">
        <w:rPr>
          <w:rFonts w:ascii="Arial" w:hAnsi="Arial" w:cs="Arial"/>
          <w:sz w:val="22"/>
          <w:szCs w:val="22"/>
          <w:vertAlign w:val="superscript"/>
        </w:rPr>
        <w:t>®</w:t>
      </w:r>
      <w:r w:rsidRPr="008D237F">
        <w:rPr>
          <w:rFonts w:ascii="Arial" w:hAnsi="Arial" w:cs="Arial"/>
          <w:sz w:val="22"/>
          <w:szCs w:val="22"/>
        </w:rPr>
        <w:t xml:space="preserve"> + Plastazote, soft). The Foot 2010; 20: 1-6.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22. Healy A, Dunning D, Chockalingam N, Naemi R. An investigation into the prescription procedures and material choice involved in the provision of bespoke foot orthoses for Diabetic patients. 2010; Presented to 8th Staffordshire Conference on Clinical Biomechanics. Stoke on Trent, UK.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23. Duffin AC, Kidd R, Chan A, Donaghue KC. High plantar pressure and callus in diabetic adolescents: Incidence and treatment. J Am Podiatr Med Assoc 2003; 93: 214-220.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24. Yuk San Tsung B, Zhang M, Fuk Tat Mak A, Wan Nar Wong M. Effectiveness of insoles on plantar pressure redistribution. J Rehabil Res Dev 2004; 41: 767-774.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25. Lord M, Hosein R. Pressure redistribution by molded inserts in diabetic footwear: a pilot study. J Rehabil Res Dev 1994; 31: 214-221.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26. Ashry HR, Lavery LA, Murdoch DP, Frolich M, Lavery DC. Effectiveness of diabetic insoles to reduce foot pressures. J Foot Ankle Surg 1997; 36: 268-271.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27. Branthwaite HR, Payton CJ, Chockalingam N. The effect of simple insoles on three-dimensional foot motion during normal walking. Clin Biomech 2004; 19: 972-977.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lastRenderedPageBreak/>
        <w:t xml:space="preserve">28. Bates BT, Dufek JS, Davis HP. The effect of trial size on statistical power. Med Sci Sports Exerc 1992; 24: 1059.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29. Stebbins J, Harrington M, Thompson N, Zavatsky A, Theologis T. Repeatability of a model for measuring multi-segment foot kinematics in children. Gait Posture 2006; 23: 401-410.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30. Perry J. Gait analysis: Normal and Pathological Function. New Jersey: SLACK Inc.; 1992.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31. Nigg BM, Khan A, Fisher V, Stefanyshyn D. Effect of shoe insert construction on foot and leg movement. Med Sci Sports Exerc 1998; 30: 550-555. </w:t>
      </w:r>
    </w:p>
    <w:p w:rsidR="008D237F" w:rsidRPr="008D237F" w:rsidRDefault="008D237F">
      <w:pPr>
        <w:pStyle w:val="NormalWeb"/>
        <w:spacing w:line="480" w:lineRule="auto"/>
        <w:divId w:val="1787191172"/>
        <w:rPr>
          <w:rFonts w:ascii="Arial" w:hAnsi="Arial" w:cs="Arial"/>
          <w:sz w:val="22"/>
          <w:szCs w:val="22"/>
        </w:rPr>
      </w:pPr>
      <w:r w:rsidRPr="008D237F">
        <w:rPr>
          <w:rFonts w:ascii="Arial" w:hAnsi="Arial" w:cs="Arial"/>
          <w:sz w:val="22"/>
          <w:szCs w:val="22"/>
        </w:rPr>
        <w:t xml:space="preserve">32. Mills NJ, Rodriguez-Perez MA. Modelling the gas-loss creep mechanism in EVA foam from running shoes. Cell Polym 2001; 20: 79-100. </w:t>
      </w:r>
    </w:p>
    <w:p w:rsidR="002E046A" w:rsidRDefault="008D237F" w:rsidP="0051671D">
      <w:pPr>
        <w:pStyle w:val="NormalWeb"/>
        <w:spacing w:line="480" w:lineRule="auto"/>
        <w:rPr>
          <w:rFonts w:ascii="Arial" w:hAnsi="Arial" w:cs="Arial"/>
          <w:sz w:val="22"/>
          <w:szCs w:val="22"/>
        </w:rPr>
        <w:sectPr w:rsidR="002E046A" w:rsidSect="001719AF">
          <w:headerReference w:type="even" r:id="rId8"/>
          <w:headerReference w:type="default" r:id="rId9"/>
          <w:footerReference w:type="even" r:id="rId10"/>
          <w:footerReference w:type="default" r:id="rId11"/>
          <w:headerReference w:type="first" r:id="rId12"/>
          <w:footerReference w:type="first" r:id="rId13"/>
          <w:pgSz w:w="11906" w:h="16838"/>
          <w:pgMar w:top="2835" w:right="1701" w:bottom="2835" w:left="1701" w:header="709" w:footer="709" w:gutter="0"/>
          <w:cols w:space="708"/>
          <w:docGrid w:linePitch="360"/>
        </w:sectPr>
      </w:pPr>
      <w:r w:rsidRPr="008D237F">
        <w:rPr>
          <w:rFonts w:ascii="Arial" w:hAnsi="Arial" w:cs="Arial"/>
          <w:sz w:val="22"/>
          <w:szCs w:val="22"/>
        </w:rPr>
        <w:fldChar w:fldCharType="end"/>
      </w:r>
    </w:p>
    <w:p w:rsidR="002E046A" w:rsidRDefault="002E046A" w:rsidP="002E046A">
      <w:r>
        <w:rPr>
          <w:noProof/>
        </w:rPr>
        <w:lastRenderedPageBreak/>
        <w:drawing>
          <wp:inline distT="0" distB="0" distL="0" distR="0">
            <wp:extent cx="6038215" cy="70942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215" cy="7094220"/>
                    </a:xfrm>
                    <a:prstGeom prst="rect">
                      <a:avLst/>
                    </a:prstGeom>
                    <a:noFill/>
                    <a:ln>
                      <a:noFill/>
                    </a:ln>
                  </pic:spPr>
                </pic:pic>
              </a:graphicData>
            </a:graphic>
          </wp:inline>
        </w:drawing>
      </w:r>
    </w:p>
    <w:p w:rsidR="002E046A" w:rsidRDefault="002E046A" w:rsidP="002E046A"/>
    <w:p w:rsidR="002E046A" w:rsidRDefault="002E046A" w:rsidP="002E046A">
      <w:pPr>
        <w:pStyle w:val="NormalWeb"/>
      </w:pPr>
      <w:bookmarkStart w:id="2" w:name="_Ref273351565"/>
      <w:bookmarkStart w:id="3" w:name="_Toc263879720"/>
      <w:r>
        <w:t xml:space="preserve">Figure </w:t>
      </w:r>
      <w:r>
        <w:fldChar w:fldCharType="begin"/>
      </w:r>
      <w:r>
        <w:instrText xml:space="preserve"> SEQ Figure \* ARABIC </w:instrText>
      </w:r>
      <w:r>
        <w:fldChar w:fldCharType="separate"/>
      </w:r>
      <w:r>
        <w:rPr>
          <w:noProof/>
        </w:rPr>
        <w:t>1</w:t>
      </w:r>
      <w:r>
        <w:rPr>
          <w:noProof/>
        </w:rPr>
        <w:fldChar w:fldCharType="end"/>
      </w:r>
      <w:bookmarkEnd w:id="2"/>
      <w:r>
        <w:t>. Definition for division of foot into 6 sections.</w:t>
      </w:r>
      <w:bookmarkEnd w:id="3"/>
      <w:r w:rsidRPr="00D00463">
        <w:t xml:space="preserve"> </w:t>
      </w:r>
    </w:p>
    <w:p w:rsidR="002E046A" w:rsidRPr="002B23F6" w:rsidRDefault="002E046A" w:rsidP="002E046A"/>
    <w:p w:rsidR="002E046A" w:rsidRDefault="002E046A" w:rsidP="0051671D">
      <w:pPr>
        <w:pStyle w:val="NormalWeb"/>
        <w:spacing w:line="480" w:lineRule="auto"/>
        <w:rPr>
          <w:rFonts w:ascii="Arial" w:hAnsi="Arial" w:cs="Arial"/>
          <w:sz w:val="22"/>
          <w:szCs w:val="22"/>
        </w:rPr>
        <w:sectPr w:rsidR="002E046A" w:rsidSect="0021315F">
          <w:pgSz w:w="11906" w:h="16838"/>
          <w:pgMar w:top="1440" w:right="1440" w:bottom="1440" w:left="1440" w:header="708" w:footer="708" w:gutter="0"/>
          <w:cols w:space="708"/>
          <w:docGrid w:linePitch="360"/>
        </w:sectPr>
      </w:pPr>
    </w:p>
    <w:p w:rsidR="002E046A" w:rsidRDefault="002E046A" w:rsidP="002E046A">
      <w:pPr>
        <w:pStyle w:val="Caption"/>
        <w:spacing w:line="240" w:lineRule="auto"/>
        <w:rPr>
          <w:color w:val="000000"/>
          <w:szCs w:val="18"/>
        </w:rPr>
      </w:pPr>
      <w:bookmarkStart w:id="4" w:name="_Ref273703536"/>
      <w:r>
        <w:lastRenderedPageBreak/>
        <w:t>Table</w:t>
      </w:r>
      <w:bookmarkEnd w:id="4"/>
      <w:r>
        <w:t xml:space="preserve"> 1. Comparison of</w:t>
      </w:r>
      <w:r w:rsidRPr="00B77BB4">
        <w:t xml:space="preserve"> F-Scan in shoe pressure </w:t>
      </w:r>
      <w:r w:rsidRPr="00B77BB4">
        <w:rPr>
          <w:szCs w:val="18"/>
        </w:rPr>
        <w:t>measurement</w:t>
      </w:r>
      <w:r>
        <w:rPr>
          <w:szCs w:val="18"/>
        </w:rPr>
        <w:t xml:space="preserve">s between conditions </w:t>
      </w:r>
      <w:r>
        <w:t>for flat material session</w:t>
      </w:r>
      <w:r w:rsidRPr="00B77BB4">
        <w:rPr>
          <w:szCs w:val="18"/>
        </w:rPr>
        <w:t xml:space="preserve"> (mean </w:t>
      </w:r>
      <w:r w:rsidRPr="00B77BB4">
        <w:rPr>
          <w:color w:val="000000"/>
          <w:szCs w:val="18"/>
        </w:rPr>
        <w:t>± standard deviation).</w:t>
      </w:r>
    </w:p>
    <w:tbl>
      <w:tblPr>
        <w:tblpPr w:leftFromText="180" w:rightFromText="180" w:vertAnchor="page" w:horzAnchor="margin" w:tblpXSpec="center" w:tblpY="1913"/>
        <w:tblW w:w="16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
        <w:gridCol w:w="2290"/>
        <w:gridCol w:w="1302"/>
        <w:gridCol w:w="1419"/>
        <w:gridCol w:w="1303"/>
        <w:gridCol w:w="1517"/>
        <w:gridCol w:w="1303"/>
        <w:gridCol w:w="834"/>
        <w:gridCol w:w="5172"/>
      </w:tblGrid>
      <w:tr w:rsidR="002E046A" w:rsidRPr="00780860" w:rsidTr="003C617E">
        <w:tc>
          <w:tcPr>
            <w:tcW w:w="1047" w:type="dxa"/>
            <w:tcBorders>
              <w:top w:val="single" w:sz="4" w:space="0" w:color="auto"/>
              <w:left w:val="nil"/>
              <w:bottom w:val="single" w:sz="4" w:space="0" w:color="auto"/>
              <w:right w:val="nil"/>
            </w:tcBorders>
            <w:vAlign w:val="center"/>
          </w:tcPr>
          <w:p w:rsidR="002E046A" w:rsidRPr="00780860" w:rsidRDefault="002E046A" w:rsidP="003C617E">
            <w:pPr>
              <w:spacing w:after="0" w:line="240" w:lineRule="auto"/>
              <w:jc w:val="center"/>
              <w:rPr>
                <w:color w:val="000000"/>
                <w:sz w:val="14"/>
                <w:szCs w:val="14"/>
              </w:rPr>
            </w:pPr>
            <w:r w:rsidRPr="00780860">
              <w:rPr>
                <w:color w:val="000000"/>
                <w:sz w:val="14"/>
                <w:szCs w:val="14"/>
              </w:rPr>
              <w:t>Foot area</w:t>
            </w:r>
          </w:p>
        </w:tc>
        <w:tc>
          <w:tcPr>
            <w:tcW w:w="2290" w:type="dxa"/>
            <w:tcBorders>
              <w:top w:val="single" w:sz="4" w:space="0" w:color="auto"/>
              <w:left w:val="nil"/>
              <w:bottom w:val="single" w:sz="4" w:space="0" w:color="auto"/>
              <w:right w:val="nil"/>
            </w:tcBorders>
            <w:vAlign w:val="center"/>
          </w:tcPr>
          <w:p w:rsidR="002E046A" w:rsidRPr="00780860" w:rsidRDefault="002E046A" w:rsidP="003C617E">
            <w:pPr>
              <w:spacing w:after="0" w:line="240" w:lineRule="auto"/>
              <w:jc w:val="center"/>
              <w:rPr>
                <w:color w:val="000000"/>
                <w:sz w:val="14"/>
                <w:szCs w:val="14"/>
              </w:rPr>
            </w:pPr>
            <w:r w:rsidRPr="00780860">
              <w:rPr>
                <w:color w:val="000000"/>
                <w:sz w:val="14"/>
                <w:szCs w:val="14"/>
              </w:rPr>
              <w:t>Variable</w:t>
            </w:r>
          </w:p>
        </w:tc>
        <w:tc>
          <w:tcPr>
            <w:tcW w:w="1302" w:type="dxa"/>
            <w:tcBorders>
              <w:top w:val="single" w:sz="4" w:space="0" w:color="auto"/>
              <w:left w:val="nil"/>
              <w:bottom w:val="single" w:sz="4" w:space="0" w:color="auto"/>
              <w:right w:val="nil"/>
            </w:tcBorders>
            <w:vAlign w:val="center"/>
          </w:tcPr>
          <w:p w:rsidR="002E046A" w:rsidRPr="00780860" w:rsidRDefault="002E046A" w:rsidP="003C617E">
            <w:pPr>
              <w:spacing w:after="0" w:line="240" w:lineRule="auto"/>
              <w:jc w:val="center"/>
              <w:rPr>
                <w:color w:val="000000"/>
                <w:sz w:val="14"/>
                <w:szCs w:val="14"/>
              </w:rPr>
            </w:pPr>
            <w:r w:rsidRPr="00780860">
              <w:rPr>
                <w:color w:val="000000"/>
                <w:sz w:val="14"/>
                <w:szCs w:val="14"/>
              </w:rPr>
              <w:t>Shoe only</w:t>
            </w:r>
          </w:p>
        </w:tc>
        <w:tc>
          <w:tcPr>
            <w:tcW w:w="1419" w:type="dxa"/>
            <w:tcBorders>
              <w:top w:val="single" w:sz="4" w:space="0" w:color="auto"/>
              <w:left w:val="nil"/>
              <w:bottom w:val="single" w:sz="4" w:space="0" w:color="auto"/>
              <w:right w:val="nil"/>
            </w:tcBorders>
            <w:vAlign w:val="center"/>
          </w:tcPr>
          <w:p w:rsidR="002E046A" w:rsidRPr="00780860" w:rsidRDefault="002E046A" w:rsidP="003C617E">
            <w:pPr>
              <w:spacing w:after="0" w:line="240" w:lineRule="auto"/>
              <w:jc w:val="center"/>
              <w:rPr>
                <w:color w:val="000000"/>
                <w:sz w:val="14"/>
                <w:szCs w:val="14"/>
              </w:rPr>
            </w:pPr>
            <w:r w:rsidRPr="00780860">
              <w:rPr>
                <w:color w:val="000000"/>
                <w:sz w:val="14"/>
                <w:szCs w:val="14"/>
              </w:rPr>
              <w:t>PU Medium Density</w:t>
            </w:r>
          </w:p>
        </w:tc>
        <w:tc>
          <w:tcPr>
            <w:tcW w:w="1303" w:type="dxa"/>
            <w:tcBorders>
              <w:top w:val="single" w:sz="4" w:space="0" w:color="auto"/>
              <w:left w:val="nil"/>
              <w:bottom w:val="single" w:sz="4" w:space="0" w:color="auto"/>
              <w:right w:val="nil"/>
            </w:tcBorders>
            <w:vAlign w:val="center"/>
          </w:tcPr>
          <w:p w:rsidR="002E046A" w:rsidRPr="00780860" w:rsidRDefault="002E046A" w:rsidP="003C617E">
            <w:pPr>
              <w:spacing w:after="0" w:line="240" w:lineRule="auto"/>
              <w:jc w:val="center"/>
              <w:rPr>
                <w:color w:val="000000"/>
                <w:sz w:val="14"/>
                <w:szCs w:val="14"/>
              </w:rPr>
            </w:pPr>
            <w:r w:rsidRPr="00780860">
              <w:rPr>
                <w:color w:val="000000"/>
                <w:sz w:val="14"/>
                <w:szCs w:val="14"/>
              </w:rPr>
              <w:t>PU Low Density</w:t>
            </w:r>
          </w:p>
        </w:tc>
        <w:tc>
          <w:tcPr>
            <w:tcW w:w="1517" w:type="dxa"/>
            <w:tcBorders>
              <w:top w:val="single" w:sz="4" w:space="0" w:color="auto"/>
              <w:left w:val="nil"/>
              <w:bottom w:val="single" w:sz="4" w:space="0" w:color="auto"/>
              <w:right w:val="nil"/>
            </w:tcBorders>
            <w:vAlign w:val="center"/>
          </w:tcPr>
          <w:p w:rsidR="002E046A" w:rsidRPr="00780860" w:rsidRDefault="002E046A" w:rsidP="003C617E">
            <w:pPr>
              <w:spacing w:after="0" w:line="240" w:lineRule="auto"/>
              <w:jc w:val="center"/>
              <w:rPr>
                <w:color w:val="000000"/>
                <w:sz w:val="14"/>
                <w:szCs w:val="14"/>
              </w:rPr>
            </w:pPr>
            <w:r w:rsidRPr="00780860">
              <w:rPr>
                <w:color w:val="000000"/>
                <w:sz w:val="14"/>
                <w:szCs w:val="14"/>
              </w:rPr>
              <w:t>EVA  Medium Density</w:t>
            </w:r>
          </w:p>
        </w:tc>
        <w:tc>
          <w:tcPr>
            <w:tcW w:w="1303" w:type="dxa"/>
            <w:tcBorders>
              <w:top w:val="single" w:sz="4" w:space="0" w:color="auto"/>
              <w:left w:val="nil"/>
              <w:bottom w:val="single" w:sz="4" w:space="0" w:color="auto"/>
              <w:right w:val="nil"/>
            </w:tcBorders>
            <w:vAlign w:val="center"/>
          </w:tcPr>
          <w:p w:rsidR="002E046A" w:rsidRPr="00780860" w:rsidRDefault="002E046A" w:rsidP="003C617E">
            <w:pPr>
              <w:spacing w:after="0" w:line="240" w:lineRule="auto"/>
              <w:jc w:val="center"/>
              <w:rPr>
                <w:color w:val="000000"/>
                <w:sz w:val="14"/>
                <w:szCs w:val="14"/>
              </w:rPr>
            </w:pPr>
            <w:r w:rsidRPr="00780860">
              <w:rPr>
                <w:color w:val="000000"/>
                <w:sz w:val="14"/>
                <w:szCs w:val="14"/>
              </w:rPr>
              <w:t>EVA  Low Density</w:t>
            </w:r>
          </w:p>
        </w:tc>
        <w:tc>
          <w:tcPr>
            <w:tcW w:w="834" w:type="dxa"/>
            <w:tcBorders>
              <w:top w:val="single" w:sz="4" w:space="0" w:color="auto"/>
              <w:left w:val="nil"/>
              <w:bottom w:val="single" w:sz="4" w:space="0" w:color="auto"/>
              <w:right w:val="nil"/>
            </w:tcBorders>
            <w:vAlign w:val="center"/>
          </w:tcPr>
          <w:p w:rsidR="002E046A" w:rsidRPr="00780860" w:rsidRDefault="002E046A" w:rsidP="003C617E">
            <w:pPr>
              <w:spacing w:after="0" w:line="240" w:lineRule="auto"/>
              <w:jc w:val="center"/>
              <w:rPr>
                <w:color w:val="000000"/>
                <w:sz w:val="14"/>
                <w:szCs w:val="14"/>
              </w:rPr>
            </w:pPr>
            <w:r w:rsidRPr="00780860">
              <w:rPr>
                <w:color w:val="000000"/>
                <w:sz w:val="14"/>
                <w:szCs w:val="14"/>
              </w:rPr>
              <w:t>p value</w:t>
            </w:r>
          </w:p>
        </w:tc>
        <w:tc>
          <w:tcPr>
            <w:tcW w:w="5172" w:type="dxa"/>
            <w:tcBorders>
              <w:top w:val="single" w:sz="4" w:space="0" w:color="auto"/>
              <w:left w:val="nil"/>
              <w:bottom w:val="single" w:sz="4" w:space="0" w:color="auto"/>
              <w:right w:val="nil"/>
            </w:tcBorders>
            <w:vAlign w:val="center"/>
          </w:tcPr>
          <w:p w:rsidR="002E046A" w:rsidRPr="00780860" w:rsidRDefault="002E046A" w:rsidP="003C617E">
            <w:pPr>
              <w:spacing w:after="0" w:line="240" w:lineRule="auto"/>
              <w:jc w:val="center"/>
              <w:rPr>
                <w:color w:val="000000"/>
                <w:sz w:val="14"/>
                <w:szCs w:val="14"/>
              </w:rPr>
            </w:pPr>
            <w:r w:rsidRPr="00780860">
              <w:rPr>
                <w:color w:val="000000"/>
                <w:sz w:val="14"/>
                <w:szCs w:val="14"/>
              </w:rPr>
              <w:t>Post hoc results</w:t>
            </w:r>
          </w:p>
        </w:tc>
      </w:tr>
      <w:tr w:rsidR="002E046A" w:rsidRPr="00780860" w:rsidTr="003C617E">
        <w:tc>
          <w:tcPr>
            <w:tcW w:w="1047" w:type="dxa"/>
            <w:tcBorders>
              <w:top w:val="single" w:sz="4" w:space="0" w:color="auto"/>
              <w:left w:val="nil"/>
              <w:bottom w:val="nil"/>
              <w:right w:val="nil"/>
            </w:tcBorders>
          </w:tcPr>
          <w:p w:rsidR="002E046A" w:rsidRPr="00780860" w:rsidRDefault="002E046A" w:rsidP="003C617E">
            <w:pPr>
              <w:spacing w:after="120" w:line="240" w:lineRule="auto"/>
              <w:jc w:val="center"/>
              <w:rPr>
                <w:color w:val="000000"/>
                <w:sz w:val="14"/>
                <w:szCs w:val="14"/>
              </w:rPr>
            </w:pPr>
          </w:p>
        </w:tc>
        <w:tc>
          <w:tcPr>
            <w:tcW w:w="2290" w:type="dxa"/>
            <w:tcBorders>
              <w:top w:val="single" w:sz="4" w:space="0" w:color="auto"/>
              <w:left w:val="nil"/>
              <w:bottom w:val="nil"/>
              <w:right w:val="nil"/>
            </w:tcBorders>
          </w:tcPr>
          <w:p w:rsidR="002E046A" w:rsidRPr="00780860" w:rsidRDefault="002E046A" w:rsidP="003C617E">
            <w:pPr>
              <w:spacing w:after="120" w:line="240" w:lineRule="auto"/>
              <w:jc w:val="center"/>
              <w:rPr>
                <w:color w:val="000000"/>
                <w:sz w:val="14"/>
                <w:szCs w:val="14"/>
              </w:rPr>
            </w:pPr>
            <w:r>
              <w:rPr>
                <w:color w:val="000000"/>
                <w:sz w:val="14"/>
                <w:szCs w:val="14"/>
              </w:rPr>
              <w:t>Stance duration (s)</w:t>
            </w:r>
          </w:p>
        </w:tc>
        <w:tc>
          <w:tcPr>
            <w:tcW w:w="1302" w:type="dxa"/>
            <w:tcBorders>
              <w:top w:val="single" w:sz="4" w:space="0" w:color="auto"/>
              <w:left w:val="nil"/>
              <w:bottom w:val="nil"/>
              <w:right w:val="nil"/>
            </w:tcBorders>
            <w:vAlign w:val="bottom"/>
          </w:tcPr>
          <w:p w:rsidR="002E046A" w:rsidRPr="004639C5" w:rsidRDefault="002E046A" w:rsidP="003C617E">
            <w:pPr>
              <w:spacing w:before="20" w:after="120" w:line="240" w:lineRule="auto"/>
              <w:jc w:val="center"/>
              <w:rPr>
                <w:color w:val="000000"/>
                <w:sz w:val="14"/>
                <w:szCs w:val="14"/>
                <w:lang w:eastAsia="en-GB"/>
              </w:rPr>
            </w:pPr>
            <w:r w:rsidRPr="004639C5">
              <w:rPr>
                <w:color w:val="000000"/>
                <w:sz w:val="14"/>
                <w:szCs w:val="14"/>
                <w:lang w:eastAsia="en-GB"/>
              </w:rPr>
              <w:t>0.70 ± 0.03</w:t>
            </w:r>
          </w:p>
        </w:tc>
        <w:tc>
          <w:tcPr>
            <w:tcW w:w="1419" w:type="dxa"/>
            <w:tcBorders>
              <w:top w:val="single" w:sz="4" w:space="0" w:color="auto"/>
              <w:left w:val="nil"/>
              <w:bottom w:val="nil"/>
              <w:right w:val="nil"/>
            </w:tcBorders>
            <w:vAlign w:val="bottom"/>
          </w:tcPr>
          <w:p w:rsidR="002E046A" w:rsidRPr="004639C5" w:rsidRDefault="002E046A" w:rsidP="003C617E">
            <w:pPr>
              <w:spacing w:before="20" w:after="120" w:line="240" w:lineRule="auto"/>
              <w:jc w:val="center"/>
              <w:rPr>
                <w:color w:val="000000"/>
                <w:sz w:val="14"/>
                <w:szCs w:val="14"/>
                <w:lang w:eastAsia="en-GB"/>
              </w:rPr>
            </w:pPr>
            <w:r w:rsidRPr="004639C5">
              <w:rPr>
                <w:color w:val="000000"/>
                <w:sz w:val="14"/>
                <w:szCs w:val="14"/>
                <w:lang w:eastAsia="en-GB"/>
              </w:rPr>
              <w:t>0.70 ± 0.04</w:t>
            </w:r>
          </w:p>
        </w:tc>
        <w:tc>
          <w:tcPr>
            <w:tcW w:w="1303" w:type="dxa"/>
            <w:tcBorders>
              <w:top w:val="single" w:sz="4" w:space="0" w:color="auto"/>
              <w:left w:val="nil"/>
              <w:bottom w:val="nil"/>
              <w:right w:val="nil"/>
            </w:tcBorders>
            <w:vAlign w:val="bottom"/>
          </w:tcPr>
          <w:p w:rsidR="002E046A" w:rsidRPr="004639C5" w:rsidRDefault="002E046A" w:rsidP="003C617E">
            <w:pPr>
              <w:spacing w:before="20" w:after="120" w:line="240" w:lineRule="auto"/>
              <w:jc w:val="center"/>
              <w:rPr>
                <w:color w:val="000000"/>
                <w:sz w:val="14"/>
                <w:szCs w:val="14"/>
                <w:lang w:eastAsia="en-GB"/>
              </w:rPr>
            </w:pPr>
            <w:r w:rsidRPr="004639C5">
              <w:rPr>
                <w:color w:val="000000"/>
                <w:sz w:val="14"/>
                <w:szCs w:val="14"/>
                <w:lang w:eastAsia="en-GB"/>
              </w:rPr>
              <w:t>0.71 ± 0.04</w:t>
            </w:r>
          </w:p>
        </w:tc>
        <w:tc>
          <w:tcPr>
            <w:tcW w:w="1517" w:type="dxa"/>
            <w:tcBorders>
              <w:top w:val="single" w:sz="4" w:space="0" w:color="auto"/>
              <w:left w:val="nil"/>
              <w:bottom w:val="nil"/>
              <w:right w:val="nil"/>
            </w:tcBorders>
            <w:vAlign w:val="bottom"/>
          </w:tcPr>
          <w:p w:rsidR="002E046A" w:rsidRPr="004639C5" w:rsidRDefault="002E046A" w:rsidP="003C617E">
            <w:pPr>
              <w:spacing w:before="20" w:after="120" w:line="240" w:lineRule="auto"/>
              <w:jc w:val="center"/>
              <w:rPr>
                <w:color w:val="000000"/>
                <w:sz w:val="14"/>
                <w:szCs w:val="14"/>
                <w:lang w:eastAsia="en-GB"/>
              </w:rPr>
            </w:pPr>
            <w:r w:rsidRPr="004639C5">
              <w:rPr>
                <w:color w:val="000000"/>
                <w:sz w:val="14"/>
                <w:szCs w:val="14"/>
                <w:lang w:eastAsia="en-GB"/>
              </w:rPr>
              <w:t>0.70 ± 0.03</w:t>
            </w:r>
          </w:p>
        </w:tc>
        <w:tc>
          <w:tcPr>
            <w:tcW w:w="1303" w:type="dxa"/>
            <w:tcBorders>
              <w:top w:val="single" w:sz="4" w:space="0" w:color="auto"/>
              <w:left w:val="nil"/>
              <w:bottom w:val="nil"/>
              <w:right w:val="nil"/>
            </w:tcBorders>
            <w:vAlign w:val="bottom"/>
          </w:tcPr>
          <w:p w:rsidR="002E046A" w:rsidRPr="004639C5" w:rsidRDefault="002E046A" w:rsidP="003C617E">
            <w:pPr>
              <w:spacing w:before="20" w:after="120" w:line="240" w:lineRule="auto"/>
              <w:jc w:val="center"/>
              <w:rPr>
                <w:color w:val="000000"/>
                <w:sz w:val="14"/>
                <w:szCs w:val="14"/>
                <w:lang w:eastAsia="en-GB"/>
              </w:rPr>
            </w:pPr>
            <w:r w:rsidRPr="004639C5">
              <w:rPr>
                <w:color w:val="000000"/>
                <w:sz w:val="14"/>
                <w:szCs w:val="14"/>
                <w:lang w:eastAsia="en-GB"/>
              </w:rPr>
              <w:t>0.71 ± 0.03</w:t>
            </w:r>
          </w:p>
        </w:tc>
        <w:tc>
          <w:tcPr>
            <w:tcW w:w="834" w:type="dxa"/>
            <w:tcBorders>
              <w:top w:val="single" w:sz="4" w:space="0" w:color="auto"/>
              <w:left w:val="nil"/>
              <w:bottom w:val="nil"/>
              <w:right w:val="nil"/>
            </w:tcBorders>
            <w:vAlign w:val="bottom"/>
          </w:tcPr>
          <w:p w:rsidR="002E046A" w:rsidRPr="004639C5" w:rsidRDefault="002E046A" w:rsidP="003C617E">
            <w:pPr>
              <w:spacing w:before="20" w:after="120" w:line="240" w:lineRule="auto"/>
              <w:jc w:val="center"/>
              <w:rPr>
                <w:sz w:val="14"/>
                <w:szCs w:val="14"/>
                <w:lang w:eastAsia="en-GB"/>
              </w:rPr>
            </w:pPr>
            <w:r w:rsidRPr="004639C5">
              <w:rPr>
                <w:sz w:val="14"/>
                <w:szCs w:val="14"/>
                <w:lang w:eastAsia="en-GB"/>
              </w:rPr>
              <w:t>0.034*</w:t>
            </w:r>
          </w:p>
        </w:tc>
        <w:tc>
          <w:tcPr>
            <w:tcW w:w="5172" w:type="dxa"/>
            <w:tcBorders>
              <w:top w:val="single" w:sz="4" w:space="0" w:color="auto"/>
              <w:left w:val="nil"/>
              <w:bottom w:val="nil"/>
              <w:right w:val="nil"/>
            </w:tcBorders>
            <w:vAlign w:val="bottom"/>
          </w:tcPr>
          <w:p w:rsidR="002E046A" w:rsidRPr="004639C5" w:rsidRDefault="002E046A" w:rsidP="003C617E">
            <w:pPr>
              <w:spacing w:before="20" w:after="120" w:line="240" w:lineRule="auto"/>
              <w:rPr>
                <w:color w:val="000000"/>
                <w:sz w:val="14"/>
                <w:szCs w:val="14"/>
                <w:lang w:eastAsia="en-GB"/>
              </w:rPr>
            </w:pPr>
            <w:r w:rsidRPr="004639C5">
              <w:rPr>
                <w:color w:val="000000"/>
                <w:sz w:val="14"/>
                <w:szCs w:val="14"/>
                <w:lang w:eastAsia="en-GB"/>
              </w:rPr>
              <w:t>EVA MD &lt; EVA LD</w:t>
            </w:r>
          </w:p>
        </w:tc>
      </w:tr>
      <w:tr w:rsidR="002E046A" w:rsidRPr="00780860" w:rsidTr="003C617E">
        <w:tc>
          <w:tcPr>
            <w:tcW w:w="1047" w:type="dxa"/>
            <w:vMerge w:val="restart"/>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Hallux</w:t>
            </w: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Peak  Pressure  (kPa)</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172.34 ± 78.15</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151.67 ± 48.82</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149.43 ± 58.97</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197.64 ± 94.13</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171.54 ± 61.12</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bCs/>
                <w:sz w:val="14"/>
                <w:szCs w:val="14"/>
              </w:rPr>
            </w:pPr>
            <w:r w:rsidRPr="00780860">
              <w:rPr>
                <w:bCs/>
                <w:sz w:val="14"/>
                <w:szCs w:val="14"/>
              </w:rPr>
              <w:t>0.001*</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EVA MD &gt; PU LD</w:t>
            </w: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Peak force (N/BW)</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0.027 ± 0.014</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0.025 ± 0.009</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0.024 ± 0.010</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0.032 ± 0.017</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0.027 ± 0.011</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bCs/>
                <w:sz w:val="14"/>
                <w:szCs w:val="14"/>
              </w:rPr>
            </w:pPr>
            <w:r w:rsidRPr="00780860">
              <w:rPr>
                <w:bCs/>
                <w:sz w:val="14"/>
                <w:szCs w:val="14"/>
              </w:rPr>
              <w:t>0.021*</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NSD in post hoc tests</w:t>
            </w:r>
          </w:p>
        </w:tc>
      </w:tr>
      <w:tr w:rsidR="002E046A" w:rsidRPr="00F34DA2"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Average contact area (cm</w:t>
            </w:r>
            <w:r w:rsidRPr="00780860">
              <w:rPr>
                <w:color w:val="000000"/>
                <w:sz w:val="14"/>
                <w:szCs w:val="14"/>
                <w:vertAlign w:val="superscript"/>
              </w:rPr>
              <w:t>2</w:t>
            </w:r>
            <w:r w:rsidRPr="00780860">
              <w:rPr>
                <w:color w:val="000000"/>
                <w:sz w:val="14"/>
                <w:szCs w:val="14"/>
              </w:rPr>
              <w:t>)</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3.24 ± 1.37</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4.10 ± 1.21</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4.38 ± 1.66</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3.81 ± 1.40</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3.90 ± 1.47</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bCs/>
                <w:sz w:val="14"/>
                <w:szCs w:val="14"/>
              </w:rPr>
            </w:pPr>
            <w:r w:rsidRPr="00780860">
              <w:rPr>
                <w:bCs/>
                <w:sz w:val="14"/>
                <w:szCs w:val="14"/>
              </w:rPr>
              <w:t>&lt; 0.001*</w:t>
            </w:r>
          </w:p>
        </w:tc>
        <w:tc>
          <w:tcPr>
            <w:tcW w:w="5172" w:type="dxa"/>
            <w:tcBorders>
              <w:top w:val="nil"/>
              <w:left w:val="nil"/>
              <w:bottom w:val="nil"/>
              <w:right w:val="nil"/>
            </w:tcBorders>
            <w:vAlign w:val="bottom"/>
          </w:tcPr>
          <w:p w:rsidR="002E046A" w:rsidRPr="00F34DA2" w:rsidRDefault="002E046A" w:rsidP="003C617E">
            <w:pPr>
              <w:spacing w:after="0" w:line="240" w:lineRule="auto"/>
              <w:rPr>
                <w:color w:val="000000"/>
                <w:sz w:val="14"/>
                <w:szCs w:val="14"/>
                <w:lang w:val="fr-FR"/>
              </w:rPr>
            </w:pPr>
            <w:r w:rsidRPr="00F34DA2">
              <w:rPr>
                <w:color w:val="000000"/>
                <w:sz w:val="14"/>
                <w:szCs w:val="14"/>
                <w:lang w:val="fr-FR"/>
              </w:rPr>
              <w:t>PU MD, PU LD + EVA LD &gt; SO</w:t>
            </w:r>
          </w:p>
        </w:tc>
      </w:tr>
      <w:tr w:rsidR="002E046A" w:rsidRPr="00780860" w:rsidTr="003C617E">
        <w:tc>
          <w:tcPr>
            <w:tcW w:w="1047" w:type="dxa"/>
            <w:vMerge/>
            <w:tcBorders>
              <w:top w:val="nil"/>
              <w:left w:val="nil"/>
              <w:bottom w:val="nil"/>
              <w:right w:val="nil"/>
            </w:tcBorders>
          </w:tcPr>
          <w:p w:rsidR="002E046A" w:rsidRPr="00F34DA2" w:rsidRDefault="002E046A" w:rsidP="003C617E">
            <w:pPr>
              <w:spacing w:before="240" w:after="0" w:line="240" w:lineRule="auto"/>
              <w:jc w:val="center"/>
              <w:rPr>
                <w:color w:val="000000"/>
                <w:sz w:val="14"/>
                <w:szCs w:val="14"/>
                <w:lang w:val="fr-FR"/>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PTI (kPa s)</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23.41 ± 14.81</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24.23 ± 11.15</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22.27 ± 9.39</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27.21 ± 15.00</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25.08 ± 11.22</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sz w:val="14"/>
                <w:szCs w:val="14"/>
              </w:rPr>
            </w:pPr>
            <w:r w:rsidRPr="00780860">
              <w:rPr>
                <w:sz w:val="14"/>
                <w:szCs w:val="14"/>
              </w:rPr>
              <w:t> 0.114</w:t>
            </w:r>
          </w:p>
        </w:tc>
        <w:tc>
          <w:tcPr>
            <w:tcW w:w="517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p>
        </w:tc>
      </w:tr>
      <w:tr w:rsidR="002E046A" w:rsidRPr="00780860" w:rsidTr="003C617E">
        <w:tc>
          <w:tcPr>
            <w:tcW w:w="1047" w:type="dxa"/>
            <w:vMerge w:val="restart"/>
            <w:tcBorders>
              <w:top w:val="nil"/>
              <w:left w:val="nil"/>
              <w:bottom w:val="nil"/>
              <w:right w:val="nil"/>
            </w:tcBorders>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1st met</w:t>
            </w:r>
          </w:p>
        </w:tc>
        <w:tc>
          <w:tcPr>
            <w:tcW w:w="2290" w:type="dxa"/>
            <w:tcBorders>
              <w:top w:val="nil"/>
              <w:left w:val="nil"/>
              <w:bottom w:val="nil"/>
              <w:right w:val="nil"/>
            </w:tcBorders>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Peak  Pressure  (kPa)</w:t>
            </w:r>
          </w:p>
        </w:tc>
        <w:tc>
          <w:tcPr>
            <w:tcW w:w="1302"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215.73 ± 69.80</w:t>
            </w:r>
          </w:p>
        </w:tc>
        <w:tc>
          <w:tcPr>
            <w:tcW w:w="1419"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180.04 ± 67.15</w:t>
            </w:r>
          </w:p>
        </w:tc>
        <w:tc>
          <w:tcPr>
            <w:tcW w:w="1303"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191.46 ± 79.32</w:t>
            </w:r>
          </w:p>
        </w:tc>
        <w:tc>
          <w:tcPr>
            <w:tcW w:w="1517"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211.24 ± 62.94</w:t>
            </w:r>
          </w:p>
        </w:tc>
        <w:tc>
          <w:tcPr>
            <w:tcW w:w="1303"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185.35 ± 69.45</w:t>
            </w:r>
          </w:p>
        </w:tc>
        <w:tc>
          <w:tcPr>
            <w:tcW w:w="834" w:type="dxa"/>
            <w:tcBorders>
              <w:top w:val="nil"/>
              <w:left w:val="nil"/>
              <w:bottom w:val="nil"/>
              <w:right w:val="nil"/>
            </w:tcBorders>
            <w:vAlign w:val="bottom"/>
          </w:tcPr>
          <w:p w:rsidR="002E046A" w:rsidRPr="00780860" w:rsidRDefault="002E046A" w:rsidP="003C617E">
            <w:pPr>
              <w:spacing w:before="120" w:after="0" w:line="240" w:lineRule="auto"/>
              <w:jc w:val="center"/>
              <w:rPr>
                <w:bCs/>
                <w:sz w:val="14"/>
                <w:szCs w:val="14"/>
              </w:rPr>
            </w:pPr>
            <w:r w:rsidRPr="00780860">
              <w:rPr>
                <w:bCs/>
                <w:sz w:val="14"/>
                <w:szCs w:val="14"/>
              </w:rPr>
              <w:t>&lt; 0.001*</w:t>
            </w:r>
          </w:p>
        </w:tc>
        <w:tc>
          <w:tcPr>
            <w:tcW w:w="5172" w:type="dxa"/>
            <w:tcBorders>
              <w:top w:val="nil"/>
              <w:left w:val="nil"/>
              <w:bottom w:val="nil"/>
              <w:right w:val="nil"/>
            </w:tcBorders>
            <w:vAlign w:val="bottom"/>
          </w:tcPr>
          <w:p w:rsidR="002E046A" w:rsidRPr="00780860" w:rsidRDefault="002E046A" w:rsidP="003C617E">
            <w:pPr>
              <w:spacing w:before="120" w:after="0" w:line="240" w:lineRule="auto"/>
              <w:rPr>
                <w:color w:val="000000"/>
                <w:sz w:val="14"/>
                <w:szCs w:val="14"/>
              </w:rPr>
            </w:pPr>
            <w:r w:rsidRPr="00780860">
              <w:rPr>
                <w:color w:val="000000"/>
                <w:sz w:val="14"/>
                <w:szCs w:val="14"/>
              </w:rPr>
              <w:t>SO + EVA MD &gt; PU MD</w:t>
            </w: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Peak force (N/BW)</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0.034 ± 0.012</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0.029 ± 0.012</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0.031 ± 0.014</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0.034 ± 0.012</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0.029 ± 0.011</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bCs/>
                <w:sz w:val="14"/>
                <w:szCs w:val="14"/>
              </w:rPr>
            </w:pPr>
            <w:r w:rsidRPr="00780860">
              <w:rPr>
                <w:bCs/>
                <w:sz w:val="14"/>
                <w:szCs w:val="14"/>
              </w:rPr>
              <w:t>0.007*</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NSD in post hoc tests</w:t>
            </w: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Average contact area (cm</w:t>
            </w:r>
            <w:r w:rsidRPr="00780860">
              <w:rPr>
                <w:color w:val="000000"/>
                <w:sz w:val="14"/>
                <w:szCs w:val="14"/>
                <w:vertAlign w:val="superscript"/>
              </w:rPr>
              <w:t>2</w:t>
            </w:r>
            <w:r w:rsidRPr="00780860">
              <w:rPr>
                <w:color w:val="000000"/>
                <w:sz w:val="14"/>
                <w:szCs w:val="14"/>
              </w:rPr>
              <w:t>)</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8.86 ± 2.67</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9.80 ± 2.79</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10.57 ± 3.00</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9.06 ± 2.04</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9.36 ± 2.80</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bCs/>
                <w:sz w:val="14"/>
                <w:szCs w:val="14"/>
              </w:rPr>
            </w:pPr>
            <w:r w:rsidRPr="00780860">
              <w:rPr>
                <w:bCs/>
                <w:sz w:val="14"/>
                <w:szCs w:val="14"/>
              </w:rPr>
              <w:t>&lt; 0.001*</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PU MD &gt; SO; PU LD &gt; SO, EVA MD + EVA LD</w:t>
            </w:r>
          </w:p>
        </w:tc>
      </w:tr>
      <w:tr w:rsidR="002E046A" w:rsidRPr="00F34DA2"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PTI (kPa s)</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40.17 ± 14.98</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33.37 ± 11.23</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34.28 ± 13.11</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36.38 ± 9.95</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35.38 ± 12.83</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bCs/>
                <w:sz w:val="14"/>
                <w:szCs w:val="14"/>
              </w:rPr>
            </w:pPr>
            <w:r w:rsidRPr="00780860">
              <w:rPr>
                <w:bCs/>
                <w:sz w:val="14"/>
                <w:szCs w:val="14"/>
              </w:rPr>
              <w:t>0.001*</w:t>
            </w:r>
          </w:p>
        </w:tc>
        <w:tc>
          <w:tcPr>
            <w:tcW w:w="5172" w:type="dxa"/>
            <w:tcBorders>
              <w:top w:val="nil"/>
              <w:left w:val="nil"/>
              <w:bottom w:val="nil"/>
              <w:right w:val="nil"/>
            </w:tcBorders>
            <w:vAlign w:val="bottom"/>
          </w:tcPr>
          <w:p w:rsidR="002E046A" w:rsidRPr="00F34DA2" w:rsidRDefault="002E046A" w:rsidP="003C617E">
            <w:pPr>
              <w:spacing w:after="0" w:line="240" w:lineRule="auto"/>
              <w:rPr>
                <w:color w:val="000000"/>
                <w:sz w:val="14"/>
                <w:szCs w:val="14"/>
                <w:lang w:val="fr-FR"/>
              </w:rPr>
            </w:pPr>
            <w:r w:rsidRPr="00F34DA2">
              <w:rPr>
                <w:color w:val="000000"/>
                <w:sz w:val="14"/>
                <w:szCs w:val="14"/>
                <w:lang w:val="fr-FR"/>
              </w:rPr>
              <w:t>SO &gt; PU MD + PU LD</w:t>
            </w:r>
          </w:p>
        </w:tc>
      </w:tr>
      <w:tr w:rsidR="002E046A" w:rsidRPr="00780860" w:rsidTr="003C617E">
        <w:tc>
          <w:tcPr>
            <w:tcW w:w="1047" w:type="dxa"/>
            <w:vMerge w:val="restart"/>
            <w:tcBorders>
              <w:top w:val="nil"/>
              <w:left w:val="nil"/>
              <w:bottom w:val="nil"/>
              <w:right w:val="nil"/>
            </w:tcBorders>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Lateral mets</w:t>
            </w:r>
          </w:p>
        </w:tc>
        <w:tc>
          <w:tcPr>
            <w:tcW w:w="2290" w:type="dxa"/>
            <w:tcBorders>
              <w:top w:val="nil"/>
              <w:left w:val="nil"/>
              <w:bottom w:val="nil"/>
              <w:right w:val="nil"/>
            </w:tcBorders>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Peak Pressure (kPa)</w:t>
            </w:r>
          </w:p>
        </w:tc>
        <w:tc>
          <w:tcPr>
            <w:tcW w:w="1302"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352.45 ± 77.39</w:t>
            </w:r>
          </w:p>
        </w:tc>
        <w:tc>
          <w:tcPr>
            <w:tcW w:w="1419"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288.02 ± 62.90</w:t>
            </w:r>
          </w:p>
        </w:tc>
        <w:tc>
          <w:tcPr>
            <w:tcW w:w="1303"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292.15 ± 51.61</w:t>
            </w:r>
          </w:p>
        </w:tc>
        <w:tc>
          <w:tcPr>
            <w:tcW w:w="1517"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337.26 ± 57.22</w:t>
            </w:r>
          </w:p>
        </w:tc>
        <w:tc>
          <w:tcPr>
            <w:tcW w:w="1303"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295.71 ± 54.79</w:t>
            </w:r>
          </w:p>
        </w:tc>
        <w:tc>
          <w:tcPr>
            <w:tcW w:w="834" w:type="dxa"/>
            <w:tcBorders>
              <w:top w:val="nil"/>
              <w:left w:val="nil"/>
              <w:bottom w:val="nil"/>
              <w:right w:val="nil"/>
            </w:tcBorders>
            <w:vAlign w:val="bottom"/>
          </w:tcPr>
          <w:p w:rsidR="002E046A" w:rsidRPr="00780860" w:rsidRDefault="002E046A" w:rsidP="003C617E">
            <w:pPr>
              <w:spacing w:before="120" w:after="0" w:line="240" w:lineRule="auto"/>
              <w:jc w:val="center"/>
              <w:rPr>
                <w:bCs/>
                <w:sz w:val="14"/>
                <w:szCs w:val="14"/>
              </w:rPr>
            </w:pPr>
            <w:r w:rsidRPr="00780860">
              <w:rPr>
                <w:bCs/>
                <w:sz w:val="14"/>
                <w:szCs w:val="14"/>
              </w:rPr>
              <w:t>&lt; 0.001*</w:t>
            </w:r>
          </w:p>
        </w:tc>
        <w:tc>
          <w:tcPr>
            <w:tcW w:w="5172" w:type="dxa"/>
            <w:tcBorders>
              <w:top w:val="nil"/>
              <w:left w:val="nil"/>
              <w:bottom w:val="nil"/>
              <w:right w:val="nil"/>
            </w:tcBorders>
            <w:vAlign w:val="bottom"/>
          </w:tcPr>
          <w:p w:rsidR="002E046A" w:rsidRPr="00780860" w:rsidRDefault="002E046A" w:rsidP="003C617E">
            <w:pPr>
              <w:spacing w:before="120" w:after="0" w:line="240" w:lineRule="auto"/>
              <w:rPr>
                <w:color w:val="000000"/>
                <w:sz w:val="14"/>
                <w:szCs w:val="14"/>
              </w:rPr>
            </w:pPr>
            <w:r w:rsidRPr="00780860">
              <w:rPr>
                <w:color w:val="000000"/>
                <w:sz w:val="14"/>
                <w:szCs w:val="14"/>
              </w:rPr>
              <w:t>SO + EVA MD &gt; PU MD, PU LD + EVA LD</w:t>
            </w: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Peak force (N/BW)</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0.057 ± 0.017</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b/>
                <w:color w:val="000000"/>
                <w:sz w:val="14"/>
                <w:szCs w:val="14"/>
              </w:rPr>
            </w:pPr>
            <w:r w:rsidRPr="00780860">
              <w:rPr>
                <w:color w:val="000000"/>
                <w:sz w:val="14"/>
                <w:szCs w:val="14"/>
              </w:rPr>
              <w:t>0.046 ± 0.011</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0.047 ± 0.010</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0.054 ± 0.012</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0.047 ± 0.011</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bCs/>
                <w:sz w:val="14"/>
                <w:szCs w:val="14"/>
              </w:rPr>
            </w:pPr>
            <w:r w:rsidRPr="00780860">
              <w:rPr>
                <w:bCs/>
                <w:sz w:val="14"/>
                <w:szCs w:val="14"/>
              </w:rPr>
              <w:t>&lt; 0.001*</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SO + EVA MD &gt; PU MD, PU LD + EVA LD</w:t>
            </w: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Average contact area (cm</w:t>
            </w:r>
            <w:r w:rsidRPr="00780860">
              <w:rPr>
                <w:color w:val="000000"/>
                <w:sz w:val="14"/>
                <w:szCs w:val="14"/>
                <w:vertAlign w:val="superscript"/>
              </w:rPr>
              <w:t>2</w:t>
            </w:r>
            <w:r w:rsidRPr="00780860">
              <w:rPr>
                <w:color w:val="000000"/>
                <w:sz w:val="14"/>
                <w:szCs w:val="14"/>
              </w:rPr>
              <w:t>)</w:t>
            </w:r>
          </w:p>
        </w:tc>
        <w:tc>
          <w:tcPr>
            <w:tcW w:w="1302"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24.42 ± 3.96</w:t>
            </w:r>
          </w:p>
        </w:tc>
        <w:tc>
          <w:tcPr>
            <w:tcW w:w="1419"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25.98 ± 3.63</w:t>
            </w:r>
          </w:p>
        </w:tc>
        <w:tc>
          <w:tcPr>
            <w:tcW w:w="1303"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28.00 ± 3.74</w:t>
            </w:r>
          </w:p>
        </w:tc>
        <w:tc>
          <w:tcPr>
            <w:tcW w:w="1517"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25.47 ± 3.87</w:t>
            </w:r>
          </w:p>
        </w:tc>
        <w:tc>
          <w:tcPr>
            <w:tcW w:w="1303"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25.38 ± 3.95</w:t>
            </w:r>
          </w:p>
        </w:tc>
        <w:tc>
          <w:tcPr>
            <w:tcW w:w="834" w:type="dxa"/>
            <w:tcBorders>
              <w:top w:val="nil"/>
              <w:left w:val="nil"/>
              <w:bottom w:val="nil"/>
              <w:right w:val="nil"/>
            </w:tcBorders>
          </w:tcPr>
          <w:p w:rsidR="002E046A" w:rsidRPr="00780860" w:rsidRDefault="002E046A" w:rsidP="003C617E">
            <w:pPr>
              <w:spacing w:after="0" w:line="240" w:lineRule="auto"/>
              <w:jc w:val="center"/>
              <w:rPr>
                <w:bCs/>
                <w:sz w:val="14"/>
                <w:szCs w:val="14"/>
              </w:rPr>
            </w:pPr>
            <w:r w:rsidRPr="00780860">
              <w:rPr>
                <w:bCs/>
                <w:sz w:val="14"/>
                <w:szCs w:val="14"/>
              </w:rPr>
              <w:t>&lt; 0.001*</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PU MD, PU LD, EVA MD + EVA LD</w:t>
            </w:r>
            <w:r>
              <w:rPr>
                <w:color w:val="000000"/>
                <w:sz w:val="14"/>
                <w:szCs w:val="14"/>
              </w:rPr>
              <w:t xml:space="preserve"> &gt; SO</w:t>
            </w:r>
            <w:r w:rsidRPr="00780860">
              <w:rPr>
                <w:color w:val="000000"/>
                <w:sz w:val="14"/>
                <w:szCs w:val="14"/>
              </w:rPr>
              <w:t>; PU LD &gt; PU MD, EVA MD + EVA LD</w:t>
            </w: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PTI (kPa s)</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48.44 ± 11.07</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43.93 ± 11.43</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39.73 ± 9.37</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47.67 ± 10.63</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45.52 ± 11.00</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sz w:val="14"/>
                <w:szCs w:val="14"/>
              </w:rPr>
            </w:pPr>
            <w:r w:rsidRPr="00780860">
              <w:rPr>
                <w:bCs/>
                <w:sz w:val="14"/>
                <w:szCs w:val="14"/>
              </w:rPr>
              <w:t>&lt; 0.001*</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SO, EVA MD + EVA LD &gt; PU LD; SO &gt; PU MD</w:t>
            </w:r>
          </w:p>
        </w:tc>
      </w:tr>
      <w:tr w:rsidR="002E046A" w:rsidRPr="00780860" w:rsidTr="003C617E">
        <w:tc>
          <w:tcPr>
            <w:tcW w:w="1047" w:type="dxa"/>
            <w:vMerge w:val="restart"/>
            <w:tcBorders>
              <w:top w:val="nil"/>
              <w:left w:val="nil"/>
              <w:bottom w:val="nil"/>
              <w:right w:val="nil"/>
            </w:tcBorders>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Midfoot</w:t>
            </w:r>
          </w:p>
        </w:tc>
        <w:tc>
          <w:tcPr>
            <w:tcW w:w="2290" w:type="dxa"/>
            <w:tcBorders>
              <w:top w:val="nil"/>
              <w:left w:val="nil"/>
              <w:bottom w:val="nil"/>
              <w:right w:val="nil"/>
            </w:tcBorders>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Peak Pressure (kPa)</w:t>
            </w:r>
          </w:p>
        </w:tc>
        <w:tc>
          <w:tcPr>
            <w:tcW w:w="1302"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81.86 ± 57.11</w:t>
            </w:r>
          </w:p>
        </w:tc>
        <w:tc>
          <w:tcPr>
            <w:tcW w:w="1419"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74.55 ± 30.78</w:t>
            </w:r>
          </w:p>
        </w:tc>
        <w:tc>
          <w:tcPr>
            <w:tcW w:w="1303"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76.10 ± 29.37</w:t>
            </w:r>
          </w:p>
        </w:tc>
        <w:tc>
          <w:tcPr>
            <w:tcW w:w="1517"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78.57 ± 35.93</w:t>
            </w:r>
          </w:p>
        </w:tc>
        <w:tc>
          <w:tcPr>
            <w:tcW w:w="1303"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77.35 ± 35.34</w:t>
            </w:r>
          </w:p>
        </w:tc>
        <w:tc>
          <w:tcPr>
            <w:tcW w:w="834" w:type="dxa"/>
            <w:tcBorders>
              <w:top w:val="nil"/>
              <w:left w:val="nil"/>
              <w:bottom w:val="nil"/>
              <w:right w:val="nil"/>
            </w:tcBorders>
            <w:vAlign w:val="bottom"/>
          </w:tcPr>
          <w:p w:rsidR="002E046A" w:rsidRPr="00780860" w:rsidRDefault="002E046A" w:rsidP="003C617E">
            <w:pPr>
              <w:spacing w:before="120" w:after="0" w:line="240" w:lineRule="auto"/>
              <w:jc w:val="center"/>
              <w:rPr>
                <w:sz w:val="14"/>
                <w:szCs w:val="14"/>
              </w:rPr>
            </w:pPr>
            <w:r w:rsidRPr="00780860">
              <w:rPr>
                <w:sz w:val="14"/>
                <w:szCs w:val="14"/>
              </w:rPr>
              <w:t>0.692</w:t>
            </w:r>
          </w:p>
        </w:tc>
        <w:tc>
          <w:tcPr>
            <w:tcW w:w="5172" w:type="dxa"/>
            <w:tcBorders>
              <w:top w:val="nil"/>
              <w:left w:val="nil"/>
              <w:bottom w:val="nil"/>
              <w:right w:val="nil"/>
            </w:tcBorders>
            <w:vAlign w:val="bottom"/>
          </w:tcPr>
          <w:p w:rsidR="002E046A" w:rsidRPr="00780860" w:rsidRDefault="002E046A" w:rsidP="003C617E">
            <w:pPr>
              <w:spacing w:before="120" w:after="0" w:line="240" w:lineRule="auto"/>
              <w:rPr>
                <w:color w:val="000000"/>
                <w:sz w:val="14"/>
                <w:szCs w:val="14"/>
              </w:rPr>
            </w:pPr>
          </w:p>
        </w:tc>
      </w:tr>
      <w:tr w:rsidR="002E046A" w:rsidRPr="00780860" w:rsidTr="003C617E">
        <w:tc>
          <w:tcPr>
            <w:tcW w:w="1047" w:type="dxa"/>
            <w:vMerge/>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Peak force (N/BW)</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0.013 ± 0.010</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0.012 ± 0.005</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0.012 ± 0.005</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0.012 ± 0.005</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0.012 ± 0.006</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sz w:val="14"/>
                <w:szCs w:val="14"/>
              </w:rPr>
            </w:pPr>
            <w:r w:rsidRPr="00780860">
              <w:rPr>
                <w:sz w:val="14"/>
                <w:szCs w:val="14"/>
              </w:rPr>
              <w:t>0.527</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p>
        </w:tc>
      </w:tr>
      <w:tr w:rsidR="002E046A" w:rsidRPr="00780860" w:rsidTr="003C617E">
        <w:tc>
          <w:tcPr>
            <w:tcW w:w="1047" w:type="dxa"/>
            <w:vMerge/>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Average contact area (cm</w:t>
            </w:r>
            <w:r w:rsidRPr="00780860">
              <w:rPr>
                <w:color w:val="000000"/>
                <w:sz w:val="14"/>
                <w:szCs w:val="14"/>
                <w:vertAlign w:val="superscript"/>
              </w:rPr>
              <w:t>2</w:t>
            </w:r>
            <w:r w:rsidRPr="00780860">
              <w:rPr>
                <w:color w:val="000000"/>
                <w:sz w:val="14"/>
                <w:szCs w:val="14"/>
              </w:rPr>
              <w:t>)</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10.28 ± 5.06</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11.42 ± 4.49</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12.74 ± 4.29</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10.55 ± 4.94</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11.29 ± 4.69</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bCs/>
                <w:sz w:val="14"/>
                <w:szCs w:val="14"/>
              </w:rPr>
            </w:pPr>
            <w:r w:rsidRPr="00780860">
              <w:rPr>
                <w:bCs/>
                <w:sz w:val="14"/>
                <w:szCs w:val="14"/>
              </w:rPr>
              <w:t>&lt; 0.001*</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PU LD &gt; SO, PU MD, EVA MD + EVA LD</w:t>
            </w:r>
          </w:p>
        </w:tc>
      </w:tr>
      <w:tr w:rsidR="002E046A" w:rsidRPr="00780860" w:rsidTr="003C617E">
        <w:tc>
          <w:tcPr>
            <w:tcW w:w="1047" w:type="dxa"/>
            <w:vMerge/>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PTI (kPa s)</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18.15 ± 6.35</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18.96 ± 5.57</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18.54 ± 5.92</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18.81 ± 5.12</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19.20 ± 5.88</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sz w:val="14"/>
                <w:szCs w:val="14"/>
              </w:rPr>
            </w:pPr>
            <w:r w:rsidRPr="00780860">
              <w:rPr>
                <w:sz w:val="14"/>
                <w:szCs w:val="14"/>
              </w:rPr>
              <w:t>0.574</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p>
        </w:tc>
      </w:tr>
      <w:tr w:rsidR="002E046A" w:rsidRPr="00780860" w:rsidTr="003C617E">
        <w:tc>
          <w:tcPr>
            <w:tcW w:w="1047" w:type="dxa"/>
            <w:vMerge w:val="restart"/>
            <w:tcBorders>
              <w:top w:val="nil"/>
              <w:left w:val="nil"/>
              <w:bottom w:val="nil"/>
              <w:right w:val="nil"/>
            </w:tcBorders>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Medial heel</w:t>
            </w:r>
          </w:p>
        </w:tc>
        <w:tc>
          <w:tcPr>
            <w:tcW w:w="2290" w:type="dxa"/>
            <w:tcBorders>
              <w:top w:val="nil"/>
              <w:left w:val="nil"/>
              <w:bottom w:val="nil"/>
              <w:right w:val="nil"/>
            </w:tcBorders>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Peak Pressure (kPa)</w:t>
            </w:r>
          </w:p>
        </w:tc>
        <w:tc>
          <w:tcPr>
            <w:tcW w:w="1302"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254.25 ± 69.36</w:t>
            </w:r>
          </w:p>
        </w:tc>
        <w:tc>
          <w:tcPr>
            <w:tcW w:w="1419"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224.40 ± 73.18</w:t>
            </w:r>
          </w:p>
        </w:tc>
        <w:tc>
          <w:tcPr>
            <w:tcW w:w="1303"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228.03 ± 56.81</w:t>
            </w:r>
          </w:p>
        </w:tc>
        <w:tc>
          <w:tcPr>
            <w:tcW w:w="1517"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255.71 ± 63.08</w:t>
            </w:r>
          </w:p>
        </w:tc>
        <w:tc>
          <w:tcPr>
            <w:tcW w:w="1303"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232.65 ± 59.19</w:t>
            </w:r>
          </w:p>
        </w:tc>
        <w:tc>
          <w:tcPr>
            <w:tcW w:w="834" w:type="dxa"/>
            <w:tcBorders>
              <w:top w:val="nil"/>
              <w:left w:val="nil"/>
              <w:bottom w:val="nil"/>
              <w:right w:val="nil"/>
            </w:tcBorders>
            <w:vAlign w:val="bottom"/>
          </w:tcPr>
          <w:p w:rsidR="002E046A" w:rsidRPr="00780860" w:rsidRDefault="002E046A" w:rsidP="003C617E">
            <w:pPr>
              <w:spacing w:before="120" w:after="0" w:line="240" w:lineRule="auto"/>
              <w:jc w:val="center"/>
              <w:rPr>
                <w:bCs/>
                <w:sz w:val="14"/>
                <w:szCs w:val="14"/>
              </w:rPr>
            </w:pPr>
            <w:r w:rsidRPr="00780860">
              <w:rPr>
                <w:bCs/>
                <w:sz w:val="14"/>
                <w:szCs w:val="14"/>
              </w:rPr>
              <w:t>0.008*</w:t>
            </w:r>
          </w:p>
        </w:tc>
        <w:tc>
          <w:tcPr>
            <w:tcW w:w="5172" w:type="dxa"/>
            <w:tcBorders>
              <w:top w:val="nil"/>
              <w:left w:val="nil"/>
              <w:bottom w:val="nil"/>
              <w:right w:val="nil"/>
            </w:tcBorders>
            <w:vAlign w:val="bottom"/>
          </w:tcPr>
          <w:p w:rsidR="002E046A" w:rsidRPr="00780860" w:rsidRDefault="002E046A" w:rsidP="003C617E">
            <w:pPr>
              <w:spacing w:before="120" w:after="0" w:line="240" w:lineRule="auto"/>
              <w:rPr>
                <w:color w:val="000000"/>
                <w:sz w:val="14"/>
                <w:szCs w:val="14"/>
              </w:rPr>
            </w:pPr>
            <w:r w:rsidRPr="00780860">
              <w:rPr>
                <w:color w:val="000000"/>
                <w:sz w:val="14"/>
                <w:szCs w:val="14"/>
              </w:rPr>
              <w:t>EVA MD &gt; PU LD + EVA LD</w:t>
            </w: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Peak force (N/BW)</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0.041 ± 0.013</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0.036 ± 0.012</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0.037 ± 0.010</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0.041 ± 0.011</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0.038 ± 0.010</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bCs/>
                <w:sz w:val="14"/>
                <w:szCs w:val="14"/>
              </w:rPr>
            </w:pPr>
            <w:r w:rsidRPr="00780860">
              <w:rPr>
                <w:bCs/>
                <w:sz w:val="14"/>
                <w:szCs w:val="14"/>
              </w:rPr>
              <w:t>0.043*</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EVA MD &gt; PU LD + EVA LD</w:t>
            </w: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Average contact area (cm</w:t>
            </w:r>
            <w:r w:rsidRPr="00780860">
              <w:rPr>
                <w:color w:val="000000"/>
                <w:sz w:val="14"/>
                <w:szCs w:val="14"/>
                <w:vertAlign w:val="superscript"/>
              </w:rPr>
              <w:t>2</w:t>
            </w:r>
            <w:r w:rsidRPr="00780860">
              <w:rPr>
                <w:color w:val="000000"/>
                <w:sz w:val="14"/>
                <w:szCs w:val="14"/>
              </w:rPr>
              <w:t>)</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7.77 ± 2.72</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8.44 ± 2.38</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8.65 ± 2.07</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8.31 ± 2.45</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8.52 ± 2.54</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sz w:val="14"/>
                <w:szCs w:val="14"/>
              </w:rPr>
            </w:pPr>
            <w:r w:rsidRPr="00780860">
              <w:rPr>
                <w:sz w:val="14"/>
                <w:szCs w:val="14"/>
              </w:rPr>
              <w:t>0.072</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jc w:val="center"/>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PTI (kPa s)</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41.69 ± 12.71</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37.73 ± 13.23</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34.84 ± 11.09</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41.23 ± 12.90</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39.27 ± 12.98</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sz w:val="14"/>
                <w:szCs w:val="14"/>
              </w:rPr>
            </w:pPr>
            <w:r w:rsidRPr="00780860">
              <w:rPr>
                <w:sz w:val="14"/>
                <w:szCs w:val="14"/>
              </w:rPr>
              <w:t>0.001</w:t>
            </w:r>
            <w:r w:rsidRPr="00780860">
              <w:rPr>
                <w:bCs/>
                <w:sz w:val="14"/>
                <w:szCs w:val="14"/>
              </w:rPr>
              <w:t>*</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SO,  EVA MD + EVA LD &gt; PU LD</w:t>
            </w:r>
          </w:p>
        </w:tc>
      </w:tr>
      <w:tr w:rsidR="002E046A" w:rsidRPr="00780860" w:rsidTr="003C617E">
        <w:tc>
          <w:tcPr>
            <w:tcW w:w="1047" w:type="dxa"/>
            <w:vMerge w:val="restart"/>
            <w:tcBorders>
              <w:top w:val="nil"/>
              <w:left w:val="nil"/>
              <w:bottom w:val="nil"/>
              <w:right w:val="nil"/>
            </w:tcBorders>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Lateral heel</w:t>
            </w:r>
          </w:p>
        </w:tc>
        <w:tc>
          <w:tcPr>
            <w:tcW w:w="2290" w:type="dxa"/>
            <w:tcBorders>
              <w:top w:val="nil"/>
              <w:left w:val="nil"/>
              <w:bottom w:val="nil"/>
              <w:right w:val="nil"/>
            </w:tcBorders>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Peak Pressure (kPa)</w:t>
            </w:r>
          </w:p>
        </w:tc>
        <w:tc>
          <w:tcPr>
            <w:tcW w:w="1302"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262.60 ± 75.93</w:t>
            </w:r>
          </w:p>
        </w:tc>
        <w:tc>
          <w:tcPr>
            <w:tcW w:w="1419"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239.11 ± 70.21</w:t>
            </w:r>
          </w:p>
        </w:tc>
        <w:tc>
          <w:tcPr>
            <w:tcW w:w="1303"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243.65 ± 57.33</w:t>
            </w:r>
          </w:p>
        </w:tc>
        <w:tc>
          <w:tcPr>
            <w:tcW w:w="1517"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267.83 ± 75.53</w:t>
            </w:r>
          </w:p>
        </w:tc>
        <w:tc>
          <w:tcPr>
            <w:tcW w:w="1303" w:type="dxa"/>
            <w:tcBorders>
              <w:top w:val="nil"/>
              <w:left w:val="nil"/>
              <w:bottom w:val="nil"/>
              <w:right w:val="nil"/>
            </w:tcBorders>
            <w:vAlign w:val="bottom"/>
          </w:tcPr>
          <w:p w:rsidR="002E046A" w:rsidRPr="00780860" w:rsidRDefault="002E046A" w:rsidP="003C617E">
            <w:pPr>
              <w:spacing w:before="120" w:after="0" w:line="240" w:lineRule="auto"/>
              <w:jc w:val="center"/>
              <w:rPr>
                <w:color w:val="000000"/>
                <w:sz w:val="14"/>
                <w:szCs w:val="14"/>
              </w:rPr>
            </w:pPr>
            <w:r w:rsidRPr="00780860">
              <w:rPr>
                <w:color w:val="000000"/>
                <w:sz w:val="14"/>
                <w:szCs w:val="14"/>
              </w:rPr>
              <w:t>244.49 ± 64.50</w:t>
            </w:r>
          </w:p>
        </w:tc>
        <w:tc>
          <w:tcPr>
            <w:tcW w:w="834" w:type="dxa"/>
            <w:tcBorders>
              <w:top w:val="nil"/>
              <w:left w:val="nil"/>
              <w:bottom w:val="nil"/>
              <w:right w:val="nil"/>
            </w:tcBorders>
            <w:vAlign w:val="bottom"/>
          </w:tcPr>
          <w:p w:rsidR="002E046A" w:rsidRPr="00780860" w:rsidRDefault="002E046A" w:rsidP="003C617E">
            <w:pPr>
              <w:spacing w:before="120" w:after="0" w:line="240" w:lineRule="auto"/>
              <w:jc w:val="center"/>
              <w:rPr>
                <w:bCs/>
                <w:sz w:val="14"/>
                <w:szCs w:val="14"/>
              </w:rPr>
            </w:pPr>
            <w:r w:rsidRPr="00780860">
              <w:rPr>
                <w:bCs/>
                <w:sz w:val="14"/>
                <w:szCs w:val="14"/>
              </w:rPr>
              <w:t>0.003*</w:t>
            </w:r>
          </w:p>
        </w:tc>
        <w:tc>
          <w:tcPr>
            <w:tcW w:w="5172" w:type="dxa"/>
            <w:tcBorders>
              <w:top w:val="nil"/>
              <w:left w:val="nil"/>
              <w:bottom w:val="nil"/>
              <w:right w:val="nil"/>
            </w:tcBorders>
            <w:vAlign w:val="bottom"/>
          </w:tcPr>
          <w:p w:rsidR="002E046A" w:rsidRPr="00780860" w:rsidRDefault="002E046A" w:rsidP="003C617E">
            <w:pPr>
              <w:spacing w:before="120" w:after="0" w:line="240" w:lineRule="auto"/>
              <w:rPr>
                <w:color w:val="000000"/>
                <w:sz w:val="14"/>
                <w:szCs w:val="14"/>
              </w:rPr>
            </w:pPr>
            <w:r w:rsidRPr="00780860">
              <w:rPr>
                <w:color w:val="000000"/>
                <w:sz w:val="14"/>
                <w:szCs w:val="14"/>
              </w:rPr>
              <w:t>EVA MD &gt; EVA LD</w:t>
            </w: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Peak force (N/BW)</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0.042 ± 0.014</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0.039 ± 0.013</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0.039 ± 0.012</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0.043 ± 0.014</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0.039 ± 0.012</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sz w:val="14"/>
                <w:szCs w:val="14"/>
              </w:rPr>
            </w:pPr>
            <w:r w:rsidRPr="00780860">
              <w:rPr>
                <w:sz w:val="14"/>
                <w:szCs w:val="14"/>
              </w:rPr>
              <w:t>0.075</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p>
        </w:tc>
      </w:tr>
      <w:tr w:rsidR="002E046A" w:rsidRPr="00780860" w:rsidTr="003C617E">
        <w:tc>
          <w:tcPr>
            <w:tcW w:w="1047" w:type="dxa"/>
            <w:vMerge/>
            <w:tcBorders>
              <w:top w:val="nil"/>
              <w:left w:val="nil"/>
              <w:bottom w:val="nil"/>
              <w:right w:val="nil"/>
            </w:tcBorders>
          </w:tcPr>
          <w:p w:rsidR="002E046A" w:rsidRPr="00780860" w:rsidRDefault="002E046A" w:rsidP="003C617E">
            <w:pPr>
              <w:spacing w:after="0" w:line="240" w:lineRule="auto"/>
              <w:rPr>
                <w:color w:val="000000"/>
                <w:sz w:val="14"/>
                <w:szCs w:val="14"/>
              </w:rPr>
            </w:pPr>
          </w:p>
        </w:tc>
        <w:tc>
          <w:tcPr>
            <w:tcW w:w="2290" w:type="dxa"/>
            <w:tcBorders>
              <w:top w:val="nil"/>
              <w:left w:val="nil"/>
              <w:bottom w:val="nil"/>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Average contact area (cm</w:t>
            </w:r>
            <w:r w:rsidRPr="00780860">
              <w:rPr>
                <w:color w:val="000000"/>
                <w:sz w:val="14"/>
                <w:szCs w:val="14"/>
                <w:vertAlign w:val="superscript"/>
              </w:rPr>
              <w:t>2</w:t>
            </w:r>
            <w:r w:rsidRPr="00780860">
              <w:rPr>
                <w:color w:val="000000"/>
                <w:sz w:val="14"/>
                <w:szCs w:val="14"/>
              </w:rPr>
              <w:t>)</w:t>
            </w:r>
          </w:p>
        </w:tc>
        <w:tc>
          <w:tcPr>
            <w:tcW w:w="1302"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12.60 ± 3.16</w:t>
            </w:r>
          </w:p>
        </w:tc>
        <w:tc>
          <w:tcPr>
            <w:tcW w:w="1419"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13.59 ± 3.53</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13.54 ± 3.13</w:t>
            </w:r>
          </w:p>
        </w:tc>
        <w:tc>
          <w:tcPr>
            <w:tcW w:w="1517"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13.28 ± 3.48</w:t>
            </w:r>
          </w:p>
        </w:tc>
        <w:tc>
          <w:tcPr>
            <w:tcW w:w="1303" w:type="dxa"/>
            <w:tcBorders>
              <w:top w:val="nil"/>
              <w:left w:val="nil"/>
              <w:bottom w:val="nil"/>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13.40 ± 3.25</w:t>
            </w:r>
          </w:p>
        </w:tc>
        <w:tc>
          <w:tcPr>
            <w:tcW w:w="834" w:type="dxa"/>
            <w:tcBorders>
              <w:top w:val="nil"/>
              <w:left w:val="nil"/>
              <w:bottom w:val="nil"/>
              <w:right w:val="nil"/>
            </w:tcBorders>
            <w:vAlign w:val="bottom"/>
          </w:tcPr>
          <w:p w:rsidR="002E046A" w:rsidRPr="00780860" w:rsidRDefault="002E046A" w:rsidP="003C617E">
            <w:pPr>
              <w:spacing w:after="0" w:line="240" w:lineRule="auto"/>
              <w:jc w:val="center"/>
              <w:rPr>
                <w:sz w:val="14"/>
                <w:szCs w:val="14"/>
              </w:rPr>
            </w:pPr>
            <w:r w:rsidRPr="00780860">
              <w:rPr>
                <w:sz w:val="14"/>
                <w:szCs w:val="14"/>
              </w:rPr>
              <w:t>0.088</w:t>
            </w:r>
          </w:p>
        </w:tc>
        <w:tc>
          <w:tcPr>
            <w:tcW w:w="5172" w:type="dxa"/>
            <w:tcBorders>
              <w:top w:val="nil"/>
              <w:left w:val="nil"/>
              <w:bottom w:val="nil"/>
              <w:right w:val="nil"/>
            </w:tcBorders>
            <w:vAlign w:val="bottom"/>
          </w:tcPr>
          <w:p w:rsidR="002E046A" w:rsidRPr="00780860" w:rsidRDefault="002E046A" w:rsidP="003C617E">
            <w:pPr>
              <w:spacing w:after="0" w:line="240" w:lineRule="auto"/>
              <w:rPr>
                <w:color w:val="000000"/>
                <w:sz w:val="14"/>
                <w:szCs w:val="14"/>
              </w:rPr>
            </w:pPr>
          </w:p>
        </w:tc>
      </w:tr>
      <w:tr w:rsidR="002E046A" w:rsidRPr="00780860" w:rsidTr="003C617E">
        <w:tc>
          <w:tcPr>
            <w:tcW w:w="1047" w:type="dxa"/>
            <w:vMerge/>
            <w:tcBorders>
              <w:top w:val="nil"/>
              <w:left w:val="nil"/>
              <w:bottom w:val="single" w:sz="4" w:space="0" w:color="auto"/>
              <w:right w:val="nil"/>
            </w:tcBorders>
          </w:tcPr>
          <w:p w:rsidR="002E046A" w:rsidRPr="00780860" w:rsidRDefault="002E046A" w:rsidP="003C617E">
            <w:pPr>
              <w:spacing w:after="0" w:line="240" w:lineRule="auto"/>
              <w:rPr>
                <w:color w:val="000000"/>
                <w:sz w:val="14"/>
                <w:szCs w:val="14"/>
              </w:rPr>
            </w:pPr>
          </w:p>
        </w:tc>
        <w:tc>
          <w:tcPr>
            <w:tcW w:w="2290" w:type="dxa"/>
            <w:tcBorders>
              <w:top w:val="nil"/>
              <w:left w:val="nil"/>
              <w:bottom w:val="single" w:sz="4" w:space="0" w:color="auto"/>
              <w:right w:val="nil"/>
            </w:tcBorders>
          </w:tcPr>
          <w:p w:rsidR="002E046A" w:rsidRPr="00780860" w:rsidRDefault="002E046A" w:rsidP="003C617E">
            <w:pPr>
              <w:spacing w:after="0" w:line="240" w:lineRule="auto"/>
              <w:jc w:val="center"/>
              <w:rPr>
                <w:color w:val="000000"/>
                <w:sz w:val="14"/>
                <w:szCs w:val="14"/>
              </w:rPr>
            </w:pPr>
            <w:r w:rsidRPr="00780860">
              <w:rPr>
                <w:color w:val="000000"/>
                <w:sz w:val="14"/>
                <w:szCs w:val="14"/>
              </w:rPr>
              <w:t>PTI (kPa s)</w:t>
            </w:r>
          </w:p>
        </w:tc>
        <w:tc>
          <w:tcPr>
            <w:tcW w:w="1302" w:type="dxa"/>
            <w:tcBorders>
              <w:top w:val="nil"/>
              <w:left w:val="nil"/>
              <w:bottom w:val="single" w:sz="4" w:space="0" w:color="auto"/>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38.11 ± 12.36</w:t>
            </w:r>
          </w:p>
        </w:tc>
        <w:tc>
          <w:tcPr>
            <w:tcW w:w="1419" w:type="dxa"/>
            <w:tcBorders>
              <w:top w:val="nil"/>
              <w:left w:val="nil"/>
              <w:bottom w:val="single" w:sz="4" w:space="0" w:color="auto"/>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36.83 ± 12.20</w:t>
            </w:r>
          </w:p>
        </w:tc>
        <w:tc>
          <w:tcPr>
            <w:tcW w:w="1303" w:type="dxa"/>
            <w:tcBorders>
              <w:top w:val="nil"/>
              <w:left w:val="nil"/>
              <w:bottom w:val="single" w:sz="4" w:space="0" w:color="auto"/>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34.26 ± 9.39</w:t>
            </w:r>
          </w:p>
        </w:tc>
        <w:tc>
          <w:tcPr>
            <w:tcW w:w="1517" w:type="dxa"/>
            <w:tcBorders>
              <w:top w:val="nil"/>
              <w:left w:val="nil"/>
              <w:bottom w:val="single" w:sz="4" w:space="0" w:color="auto"/>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39.32 ± 11.69</w:t>
            </w:r>
          </w:p>
        </w:tc>
        <w:tc>
          <w:tcPr>
            <w:tcW w:w="1303" w:type="dxa"/>
            <w:tcBorders>
              <w:top w:val="nil"/>
              <w:left w:val="nil"/>
              <w:bottom w:val="single" w:sz="4" w:space="0" w:color="auto"/>
              <w:right w:val="nil"/>
            </w:tcBorders>
            <w:vAlign w:val="bottom"/>
          </w:tcPr>
          <w:p w:rsidR="002E046A" w:rsidRPr="00780860" w:rsidRDefault="002E046A" w:rsidP="003C617E">
            <w:pPr>
              <w:spacing w:after="0" w:line="240" w:lineRule="auto"/>
              <w:jc w:val="center"/>
              <w:rPr>
                <w:color w:val="000000"/>
                <w:sz w:val="14"/>
                <w:szCs w:val="14"/>
              </w:rPr>
            </w:pPr>
            <w:r w:rsidRPr="00780860">
              <w:rPr>
                <w:color w:val="000000"/>
                <w:sz w:val="14"/>
                <w:szCs w:val="14"/>
              </w:rPr>
              <w:t>37.52 ± 10.80</w:t>
            </w:r>
          </w:p>
        </w:tc>
        <w:tc>
          <w:tcPr>
            <w:tcW w:w="834" w:type="dxa"/>
            <w:tcBorders>
              <w:top w:val="nil"/>
              <w:left w:val="nil"/>
              <w:bottom w:val="single" w:sz="4" w:space="0" w:color="auto"/>
              <w:right w:val="nil"/>
            </w:tcBorders>
            <w:vAlign w:val="bottom"/>
          </w:tcPr>
          <w:p w:rsidR="002E046A" w:rsidRPr="00780860" w:rsidRDefault="002E046A" w:rsidP="003C617E">
            <w:pPr>
              <w:spacing w:after="0" w:line="240" w:lineRule="auto"/>
              <w:jc w:val="center"/>
              <w:rPr>
                <w:sz w:val="14"/>
                <w:szCs w:val="14"/>
              </w:rPr>
            </w:pPr>
            <w:r w:rsidRPr="00780860">
              <w:rPr>
                <w:sz w:val="14"/>
                <w:szCs w:val="14"/>
              </w:rPr>
              <w:t>0.007</w:t>
            </w:r>
            <w:r w:rsidRPr="00780860">
              <w:rPr>
                <w:bCs/>
                <w:sz w:val="14"/>
                <w:szCs w:val="14"/>
              </w:rPr>
              <w:t>*</w:t>
            </w:r>
          </w:p>
        </w:tc>
        <w:tc>
          <w:tcPr>
            <w:tcW w:w="5172" w:type="dxa"/>
            <w:tcBorders>
              <w:top w:val="nil"/>
              <w:left w:val="nil"/>
              <w:bottom w:val="single" w:sz="4" w:space="0" w:color="auto"/>
              <w:right w:val="nil"/>
            </w:tcBorders>
            <w:vAlign w:val="bottom"/>
          </w:tcPr>
          <w:p w:rsidR="002E046A" w:rsidRPr="00780860" w:rsidRDefault="002E046A" w:rsidP="003C617E">
            <w:pPr>
              <w:spacing w:after="0" w:line="240" w:lineRule="auto"/>
              <w:rPr>
                <w:color w:val="000000"/>
                <w:sz w:val="14"/>
                <w:szCs w:val="14"/>
              </w:rPr>
            </w:pPr>
            <w:r w:rsidRPr="00780860">
              <w:rPr>
                <w:color w:val="000000"/>
                <w:sz w:val="14"/>
                <w:szCs w:val="14"/>
              </w:rPr>
              <w:t>EVA MD &gt; PU LD</w:t>
            </w:r>
          </w:p>
        </w:tc>
      </w:tr>
    </w:tbl>
    <w:p w:rsidR="002E046A" w:rsidRPr="004639C5" w:rsidRDefault="002E046A" w:rsidP="002E046A">
      <w:pPr>
        <w:spacing w:after="0" w:line="240" w:lineRule="auto"/>
        <w:rPr>
          <w:sz w:val="14"/>
          <w:szCs w:val="14"/>
        </w:rPr>
      </w:pPr>
      <w:r w:rsidRPr="004639C5">
        <w:rPr>
          <w:sz w:val="14"/>
          <w:szCs w:val="14"/>
        </w:rPr>
        <w:t>Note: SO = Shoe only; PU MD = PU medium density; PU LD = PU low density; EVA MD = EVA medium density; EVA LD = EVA low density</w:t>
      </w:r>
      <w:r>
        <w:rPr>
          <w:sz w:val="14"/>
          <w:szCs w:val="14"/>
        </w:rPr>
        <w:t>; NSD = no significant difference</w:t>
      </w:r>
    </w:p>
    <w:p w:rsidR="002E046A" w:rsidRPr="004639C5" w:rsidRDefault="002E046A" w:rsidP="002E046A">
      <w:pPr>
        <w:spacing w:after="0" w:line="240" w:lineRule="auto"/>
        <w:rPr>
          <w:sz w:val="14"/>
          <w:szCs w:val="14"/>
        </w:rPr>
      </w:pPr>
      <w:r w:rsidRPr="004639C5">
        <w:rPr>
          <w:sz w:val="14"/>
          <w:szCs w:val="14"/>
        </w:rPr>
        <w:t>*Significant difference (p ≤ 0.05) between conditions</w:t>
      </w:r>
    </w:p>
    <w:p w:rsidR="002E046A" w:rsidRDefault="002E046A" w:rsidP="002E046A"/>
    <w:p w:rsidR="002E046A" w:rsidRDefault="002E046A" w:rsidP="002E046A"/>
    <w:p w:rsidR="002E046A" w:rsidRDefault="002E046A" w:rsidP="002E046A"/>
    <w:p w:rsidR="002E046A" w:rsidRDefault="002E046A" w:rsidP="002E046A"/>
    <w:p w:rsidR="002E046A" w:rsidRDefault="002E046A" w:rsidP="002E046A"/>
    <w:p w:rsidR="002E046A" w:rsidRDefault="002E046A" w:rsidP="002E046A"/>
    <w:p w:rsidR="002E046A" w:rsidRDefault="002E046A" w:rsidP="002E046A">
      <w:pPr>
        <w:pStyle w:val="Caption"/>
        <w:spacing w:line="240" w:lineRule="auto"/>
      </w:pPr>
      <w:bookmarkStart w:id="5" w:name="_Ref273703788"/>
      <w:r>
        <w:lastRenderedPageBreak/>
        <w:t>Table</w:t>
      </w:r>
      <w:bookmarkEnd w:id="5"/>
      <w:r>
        <w:t xml:space="preserve"> 2. Comparison of kinematic variables </w:t>
      </w:r>
      <w:r>
        <w:rPr>
          <w:szCs w:val="18"/>
        </w:rPr>
        <w:t xml:space="preserve">between conditions </w:t>
      </w:r>
      <w:r>
        <w:t>for flat material session</w:t>
      </w:r>
      <w:r w:rsidRPr="00B77BB4">
        <w:rPr>
          <w:szCs w:val="18"/>
        </w:rPr>
        <w:t xml:space="preserve"> </w:t>
      </w:r>
      <w:r>
        <w:t>(mean ± standard deviation).</w:t>
      </w:r>
    </w:p>
    <w:tbl>
      <w:tblPr>
        <w:tblW w:w="12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302"/>
        <w:gridCol w:w="1072"/>
        <w:gridCol w:w="1601"/>
        <w:gridCol w:w="1352"/>
        <w:gridCol w:w="1734"/>
        <w:gridCol w:w="1485"/>
        <w:gridCol w:w="777"/>
        <w:gridCol w:w="1489"/>
      </w:tblGrid>
      <w:tr w:rsidR="002E046A" w:rsidRPr="004639C5" w:rsidTr="003C617E">
        <w:trPr>
          <w:jc w:val="center"/>
        </w:trPr>
        <w:tc>
          <w:tcPr>
            <w:tcW w:w="959" w:type="dxa"/>
            <w:tcBorders>
              <w:top w:val="single" w:sz="4" w:space="0" w:color="auto"/>
              <w:left w:val="nil"/>
              <w:bottom w:val="single" w:sz="4" w:space="0" w:color="auto"/>
              <w:right w:val="nil"/>
            </w:tcBorders>
          </w:tcPr>
          <w:p w:rsidR="002E046A" w:rsidRPr="004639C5" w:rsidRDefault="002E046A" w:rsidP="003C617E">
            <w:pPr>
              <w:spacing w:before="20" w:after="20" w:line="240" w:lineRule="auto"/>
              <w:jc w:val="center"/>
              <w:rPr>
                <w:b/>
                <w:bCs/>
                <w:color w:val="000000"/>
                <w:sz w:val="14"/>
                <w:szCs w:val="14"/>
              </w:rPr>
            </w:pPr>
            <w:r>
              <w:rPr>
                <w:b/>
                <w:bCs/>
                <w:color w:val="000000"/>
                <w:sz w:val="14"/>
                <w:szCs w:val="14"/>
              </w:rPr>
              <w:t>Variable</w:t>
            </w:r>
          </w:p>
        </w:tc>
        <w:tc>
          <w:tcPr>
            <w:tcW w:w="2302" w:type="dxa"/>
            <w:tcBorders>
              <w:top w:val="single" w:sz="4" w:space="0" w:color="auto"/>
              <w:left w:val="nil"/>
              <w:bottom w:val="single" w:sz="4" w:space="0" w:color="auto"/>
              <w:right w:val="nil"/>
            </w:tcBorders>
            <w:vAlign w:val="center"/>
          </w:tcPr>
          <w:p w:rsidR="002E046A" w:rsidRPr="004639C5" w:rsidRDefault="002E046A" w:rsidP="003C617E">
            <w:pPr>
              <w:spacing w:before="20" w:after="20" w:line="240" w:lineRule="auto"/>
              <w:jc w:val="center"/>
              <w:rPr>
                <w:b/>
                <w:bCs/>
                <w:color w:val="000000"/>
                <w:sz w:val="14"/>
                <w:szCs w:val="14"/>
              </w:rPr>
            </w:pPr>
            <w:r w:rsidRPr="004639C5">
              <w:rPr>
                <w:b/>
                <w:bCs/>
                <w:color w:val="000000"/>
                <w:sz w:val="14"/>
                <w:szCs w:val="14"/>
              </w:rPr>
              <w:t>Angle (°)</w:t>
            </w:r>
          </w:p>
        </w:tc>
        <w:tc>
          <w:tcPr>
            <w:tcW w:w="1072" w:type="dxa"/>
            <w:tcBorders>
              <w:top w:val="single" w:sz="4" w:space="0" w:color="auto"/>
              <w:left w:val="nil"/>
              <w:bottom w:val="single" w:sz="4" w:space="0" w:color="auto"/>
              <w:right w:val="nil"/>
            </w:tcBorders>
            <w:vAlign w:val="center"/>
          </w:tcPr>
          <w:p w:rsidR="002E046A" w:rsidRPr="004639C5" w:rsidRDefault="002E046A" w:rsidP="003C617E">
            <w:pPr>
              <w:spacing w:before="20" w:after="20" w:line="240" w:lineRule="auto"/>
              <w:jc w:val="center"/>
              <w:rPr>
                <w:b/>
                <w:color w:val="000000"/>
                <w:sz w:val="14"/>
                <w:szCs w:val="14"/>
              </w:rPr>
            </w:pPr>
            <w:r w:rsidRPr="004639C5">
              <w:rPr>
                <w:b/>
                <w:color w:val="000000"/>
                <w:sz w:val="14"/>
                <w:szCs w:val="14"/>
              </w:rPr>
              <w:t>Shoe only</w:t>
            </w:r>
          </w:p>
        </w:tc>
        <w:tc>
          <w:tcPr>
            <w:tcW w:w="1601" w:type="dxa"/>
            <w:tcBorders>
              <w:top w:val="single" w:sz="4" w:space="0" w:color="auto"/>
              <w:left w:val="nil"/>
              <w:bottom w:val="single" w:sz="4" w:space="0" w:color="auto"/>
              <w:right w:val="nil"/>
            </w:tcBorders>
            <w:vAlign w:val="center"/>
          </w:tcPr>
          <w:p w:rsidR="002E046A" w:rsidRPr="004639C5" w:rsidRDefault="002E046A" w:rsidP="003C617E">
            <w:pPr>
              <w:spacing w:before="20" w:after="20" w:line="240" w:lineRule="auto"/>
              <w:jc w:val="center"/>
              <w:rPr>
                <w:b/>
                <w:color w:val="000000"/>
                <w:sz w:val="14"/>
                <w:szCs w:val="14"/>
              </w:rPr>
            </w:pPr>
            <w:r w:rsidRPr="004639C5">
              <w:rPr>
                <w:b/>
                <w:color w:val="000000"/>
                <w:sz w:val="14"/>
                <w:szCs w:val="14"/>
              </w:rPr>
              <w:t>PU Medium Density</w:t>
            </w:r>
          </w:p>
        </w:tc>
        <w:tc>
          <w:tcPr>
            <w:tcW w:w="1352" w:type="dxa"/>
            <w:tcBorders>
              <w:top w:val="single" w:sz="4" w:space="0" w:color="auto"/>
              <w:left w:val="nil"/>
              <w:bottom w:val="single" w:sz="4" w:space="0" w:color="auto"/>
              <w:right w:val="nil"/>
            </w:tcBorders>
            <w:vAlign w:val="center"/>
          </w:tcPr>
          <w:p w:rsidR="002E046A" w:rsidRPr="004639C5" w:rsidRDefault="002E046A" w:rsidP="003C617E">
            <w:pPr>
              <w:spacing w:before="20" w:after="20" w:line="240" w:lineRule="auto"/>
              <w:jc w:val="center"/>
              <w:rPr>
                <w:b/>
                <w:color w:val="000000"/>
                <w:sz w:val="14"/>
                <w:szCs w:val="14"/>
              </w:rPr>
            </w:pPr>
            <w:r w:rsidRPr="004639C5">
              <w:rPr>
                <w:b/>
                <w:color w:val="000000"/>
                <w:sz w:val="14"/>
                <w:szCs w:val="14"/>
              </w:rPr>
              <w:t>PU Low Density</w:t>
            </w:r>
          </w:p>
        </w:tc>
        <w:tc>
          <w:tcPr>
            <w:tcW w:w="1734" w:type="dxa"/>
            <w:tcBorders>
              <w:top w:val="single" w:sz="4" w:space="0" w:color="auto"/>
              <w:left w:val="nil"/>
              <w:bottom w:val="single" w:sz="4" w:space="0" w:color="auto"/>
              <w:right w:val="nil"/>
            </w:tcBorders>
            <w:vAlign w:val="center"/>
          </w:tcPr>
          <w:p w:rsidR="002E046A" w:rsidRPr="004639C5" w:rsidRDefault="002E046A" w:rsidP="003C617E">
            <w:pPr>
              <w:spacing w:before="20" w:after="20" w:line="240" w:lineRule="auto"/>
              <w:jc w:val="center"/>
              <w:rPr>
                <w:b/>
                <w:color w:val="000000"/>
                <w:sz w:val="14"/>
                <w:szCs w:val="14"/>
              </w:rPr>
            </w:pPr>
            <w:r w:rsidRPr="004639C5">
              <w:rPr>
                <w:b/>
                <w:color w:val="000000"/>
                <w:sz w:val="14"/>
                <w:szCs w:val="14"/>
              </w:rPr>
              <w:t>EVA  Medium Density</w:t>
            </w:r>
          </w:p>
        </w:tc>
        <w:tc>
          <w:tcPr>
            <w:tcW w:w="1485" w:type="dxa"/>
            <w:tcBorders>
              <w:top w:val="single" w:sz="4" w:space="0" w:color="auto"/>
              <w:left w:val="nil"/>
              <w:bottom w:val="single" w:sz="4" w:space="0" w:color="auto"/>
              <w:right w:val="nil"/>
            </w:tcBorders>
            <w:vAlign w:val="center"/>
          </w:tcPr>
          <w:p w:rsidR="002E046A" w:rsidRPr="004639C5" w:rsidRDefault="002E046A" w:rsidP="003C617E">
            <w:pPr>
              <w:spacing w:before="20" w:after="20" w:line="240" w:lineRule="auto"/>
              <w:jc w:val="center"/>
              <w:rPr>
                <w:b/>
                <w:color w:val="000000"/>
                <w:sz w:val="14"/>
                <w:szCs w:val="14"/>
              </w:rPr>
            </w:pPr>
            <w:r w:rsidRPr="004639C5">
              <w:rPr>
                <w:b/>
                <w:color w:val="000000"/>
                <w:sz w:val="14"/>
                <w:szCs w:val="14"/>
              </w:rPr>
              <w:t>EVA  Low Density</w:t>
            </w:r>
          </w:p>
        </w:tc>
        <w:tc>
          <w:tcPr>
            <w:tcW w:w="777" w:type="dxa"/>
            <w:tcBorders>
              <w:top w:val="single" w:sz="4" w:space="0" w:color="auto"/>
              <w:left w:val="nil"/>
              <w:bottom w:val="single" w:sz="4" w:space="0" w:color="auto"/>
              <w:right w:val="nil"/>
            </w:tcBorders>
            <w:vAlign w:val="center"/>
          </w:tcPr>
          <w:p w:rsidR="002E046A" w:rsidRPr="004639C5" w:rsidRDefault="002E046A" w:rsidP="003C617E">
            <w:pPr>
              <w:spacing w:before="20" w:after="20" w:line="240" w:lineRule="auto"/>
              <w:jc w:val="center"/>
              <w:rPr>
                <w:b/>
                <w:color w:val="000000"/>
                <w:sz w:val="14"/>
                <w:szCs w:val="14"/>
              </w:rPr>
            </w:pPr>
            <w:r w:rsidRPr="004639C5">
              <w:rPr>
                <w:b/>
                <w:color w:val="000000"/>
                <w:sz w:val="14"/>
                <w:szCs w:val="14"/>
              </w:rPr>
              <w:t>p value</w:t>
            </w:r>
          </w:p>
        </w:tc>
        <w:tc>
          <w:tcPr>
            <w:tcW w:w="1489" w:type="dxa"/>
            <w:tcBorders>
              <w:top w:val="single" w:sz="4" w:space="0" w:color="auto"/>
              <w:left w:val="nil"/>
              <w:bottom w:val="single" w:sz="4" w:space="0" w:color="auto"/>
              <w:right w:val="nil"/>
            </w:tcBorders>
            <w:vAlign w:val="center"/>
          </w:tcPr>
          <w:p w:rsidR="002E046A" w:rsidRPr="004639C5" w:rsidRDefault="002E046A" w:rsidP="003C617E">
            <w:pPr>
              <w:spacing w:before="20" w:after="20" w:line="240" w:lineRule="auto"/>
              <w:jc w:val="center"/>
              <w:rPr>
                <w:b/>
                <w:color w:val="000000"/>
                <w:sz w:val="14"/>
                <w:szCs w:val="14"/>
              </w:rPr>
            </w:pPr>
            <w:r w:rsidRPr="004639C5">
              <w:rPr>
                <w:b/>
                <w:color w:val="000000"/>
                <w:sz w:val="14"/>
                <w:szCs w:val="14"/>
              </w:rPr>
              <w:t>Post hoc result</w:t>
            </w:r>
          </w:p>
        </w:tc>
      </w:tr>
      <w:tr w:rsidR="002E046A" w:rsidRPr="004639C5" w:rsidTr="003C617E">
        <w:trPr>
          <w:jc w:val="center"/>
        </w:trPr>
        <w:tc>
          <w:tcPr>
            <w:tcW w:w="959" w:type="dxa"/>
            <w:vMerge w:val="restart"/>
            <w:tcBorders>
              <w:top w:val="single" w:sz="4" w:space="0" w:color="auto"/>
              <w:left w:val="nil"/>
              <w:right w:val="nil"/>
            </w:tcBorders>
          </w:tcPr>
          <w:p w:rsidR="002E046A" w:rsidRPr="004639C5" w:rsidRDefault="002E046A" w:rsidP="003C617E">
            <w:pPr>
              <w:spacing w:before="20" w:after="20" w:line="240" w:lineRule="auto"/>
              <w:rPr>
                <w:color w:val="000000"/>
                <w:sz w:val="14"/>
                <w:szCs w:val="14"/>
              </w:rPr>
            </w:pPr>
            <w:r>
              <w:rPr>
                <w:color w:val="000000"/>
                <w:sz w:val="14"/>
                <w:szCs w:val="14"/>
              </w:rPr>
              <w:t>Range of motion</w:t>
            </w:r>
          </w:p>
        </w:tc>
        <w:tc>
          <w:tcPr>
            <w:tcW w:w="2302" w:type="dxa"/>
            <w:tcBorders>
              <w:top w:val="single" w:sz="4" w:space="0" w:color="auto"/>
              <w:left w:val="nil"/>
              <w:bottom w:val="nil"/>
              <w:right w:val="nil"/>
            </w:tcBorders>
            <w:vAlign w:val="bottom"/>
          </w:tcPr>
          <w:p w:rsidR="002E046A" w:rsidRPr="004639C5" w:rsidRDefault="002E046A" w:rsidP="003C617E">
            <w:pPr>
              <w:spacing w:before="20" w:after="20" w:line="240" w:lineRule="auto"/>
              <w:rPr>
                <w:color w:val="000000"/>
                <w:sz w:val="14"/>
                <w:szCs w:val="14"/>
              </w:rPr>
            </w:pPr>
            <w:r>
              <w:rPr>
                <w:color w:val="000000"/>
                <w:sz w:val="14"/>
                <w:szCs w:val="14"/>
              </w:rPr>
              <w:t>Knee</w:t>
            </w:r>
            <w:r w:rsidRPr="004639C5">
              <w:rPr>
                <w:color w:val="000000"/>
                <w:sz w:val="14"/>
                <w:szCs w:val="14"/>
              </w:rPr>
              <w:t xml:space="preserve"> - Flexion</w:t>
            </w:r>
          </w:p>
        </w:tc>
        <w:tc>
          <w:tcPr>
            <w:tcW w:w="1072" w:type="dxa"/>
            <w:tcBorders>
              <w:top w:val="single" w:sz="4" w:space="0" w:color="auto"/>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62.76 ± 4.56</w:t>
            </w:r>
          </w:p>
        </w:tc>
        <w:tc>
          <w:tcPr>
            <w:tcW w:w="1601" w:type="dxa"/>
            <w:tcBorders>
              <w:top w:val="single" w:sz="4" w:space="0" w:color="auto"/>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62.17 ± 4.15</w:t>
            </w:r>
          </w:p>
        </w:tc>
        <w:tc>
          <w:tcPr>
            <w:tcW w:w="1352" w:type="dxa"/>
            <w:tcBorders>
              <w:top w:val="single" w:sz="4" w:space="0" w:color="auto"/>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63.40 ± 4.35</w:t>
            </w:r>
          </w:p>
        </w:tc>
        <w:tc>
          <w:tcPr>
            <w:tcW w:w="1734" w:type="dxa"/>
            <w:tcBorders>
              <w:top w:val="single" w:sz="4" w:space="0" w:color="auto"/>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62.94 ± 4.71</w:t>
            </w:r>
          </w:p>
        </w:tc>
        <w:tc>
          <w:tcPr>
            <w:tcW w:w="1485" w:type="dxa"/>
            <w:tcBorders>
              <w:top w:val="single" w:sz="4" w:space="0" w:color="auto"/>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63.19 ± 4.78</w:t>
            </w:r>
          </w:p>
        </w:tc>
        <w:tc>
          <w:tcPr>
            <w:tcW w:w="777" w:type="dxa"/>
            <w:tcBorders>
              <w:top w:val="single" w:sz="4" w:space="0" w:color="auto"/>
              <w:left w:val="nil"/>
              <w:bottom w:val="nil"/>
              <w:right w:val="nil"/>
            </w:tcBorders>
            <w:vAlign w:val="bottom"/>
          </w:tcPr>
          <w:p w:rsidR="002E046A" w:rsidRPr="004639C5" w:rsidRDefault="002E046A" w:rsidP="003C617E">
            <w:pPr>
              <w:spacing w:before="20" w:after="20" w:line="240" w:lineRule="auto"/>
              <w:jc w:val="center"/>
              <w:rPr>
                <w:sz w:val="14"/>
                <w:szCs w:val="14"/>
              </w:rPr>
            </w:pPr>
            <w:r w:rsidRPr="004639C5">
              <w:rPr>
                <w:sz w:val="14"/>
                <w:szCs w:val="14"/>
              </w:rPr>
              <w:t>0.405</w:t>
            </w:r>
          </w:p>
        </w:tc>
        <w:tc>
          <w:tcPr>
            <w:tcW w:w="1489" w:type="dxa"/>
            <w:tcBorders>
              <w:top w:val="single" w:sz="4" w:space="0" w:color="auto"/>
              <w:left w:val="nil"/>
              <w:bottom w:val="nil"/>
              <w:right w:val="nil"/>
            </w:tcBorders>
            <w:vAlign w:val="bottom"/>
          </w:tcPr>
          <w:p w:rsidR="002E046A" w:rsidRPr="004639C5" w:rsidRDefault="002E046A" w:rsidP="003C617E">
            <w:pPr>
              <w:spacing w:before="20" w:after="20" w:line="240" w:lineRule="auto"/>
              <w:rPr>
                <w:color w:val="000000"/>
                <w:sz w:val="14"/>
                <w:szCs w:val="14"/>
              </w:rPr>
            </w:pP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20" w:after="20" w:line="240" w:lineRule="auto"/>
              <w:rPr>
                <w:color w:val="000000"/>
                <w:sz w:val="14"/>
                <w:szCs w:val="14"/>
              </w:rPr>
            </w:pPr>
          </w:p>
        </w:tc>
        <w:tc>
          <w:tcPr>
            <w:tcW w:w="2302"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Pr>
                <w:color w:val="000000"/>
                <w:sz w:val="14"/>
                <w:szCs w:val="14"/>
              </w:rPr>
              <w:t>Knee</w:t>
            </w:r>
            <w:r w:rsidRPr="004639C5">
              <w:rPr>
                <w:color w:val="000000"/>
                <w:sz w:val="14"/>
                <w:szCs w:val="14"/>
              </w:rPr>
              <w:t xml:space="preserve"> - Adduction</w:t>
            </w:r>
          </w:p>
        </w:tc>
        <w:tc>
          <w:tcPr>
            <w:tcW w:w="107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13.51 ± 7.59</w:t>
            </w:r>
          </w:p>
        </w:tc>
        <w:tc>
          <w:tcPr>
            <w:tcW w:w="1601"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13.81 ± 7.37</w:t>
            </w:r>
          </w:p>
        </w:tc>
        <w:tc>
          <w:tcPr>
            <w:tcW w:w="135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14.37 ± 7.26</w:t>
            </w:r>
          </w:p>
        </w:tc>
        <w:tc>
          <w:tcPr>
            <w:tcW w:w="1734"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13.71 ± 6.24</w:t>
            </w:r>
          </w:p>
        </w:tc>
        <w:tc>
          <w:tcPr>
            <w:tcW w:w="1485"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14.58 ± 6.79</w:t>
            </w:r>
          </w:p>
        </w:tc>
        <w:tc>
          <w:tcPr>
            <w:tcW w:w="777" w:type="dxa"/>
            <w:tcBorders>
              <w:top w:val="nil"/>
              <w:left w:val="nil"/>
              <w:bottom w:val="nil"/>
              <w:right w:val="nil"/>
            </w:tcBorders>
            <w:vAlign w:val="bottom"/>
          </w:tcPr>
          <w:p w:rsidR="002E046A" w:rsidRPr="004639C5" w:rsidRDefault="002E046A" w:rsidP="003C617E">
            <w:pPr>
              <w:spacing w:before="20" w:after="20" w:line="240" w:lineRule="auto"/>
              <w:jc w:val="center"/>
              <w:rPr>
                <w:bCs/>
                <w:sz w:val="14"/>
                <w:szCs w:val="14"/>
              </w:rPr>
            </w:pPr>
            <w:r w:rsidRPr="004639C5">
              <w:rPr>
                <w:bCs/>
                <w:sz w:val="14"/>
                <w:szCs w:val="14"/>
              </w:rPr>
              <w:t>0.035*</w:t>
            </w:r>
          </w:p>
        </w:tc>
        <w:tc>
          <w:tcPr>
            <w:tcW w:w="1489"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sidRPr="004639C5">
              <w:rPr>
                <w:color w:val="000000"/>
                <w:sz w:val="14"/>
                <w:szCs w:val="14"/>
              </w:rPr>
              <w:t>EVA LD &gt; EVA MD</w:t>
            </w: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20" w:after="20" w:line="240" w:lineRule="auto"/>
              <w:rPr>
                <w:color w:val="000000"/>
                <w:sz w:val="14"/>
                <w:szCs w:val="14"/>
              </w:rPr>
            </w:pPr>
          </w:p>
        </w:tc>
        <w:tc>
          <w:tcPr>
            <w:tcW w:w="2302"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Pr>
                <w:color w:val="000000"/>
                <w:sz w:val="14"/>
                <w:szCs w:val="14"/>
              </w:rPr>
              <w:t>Knee</w:t>
            </w:r>
            <w:r w:rsidRPr="004639C5">
              <w:rPr>
                <w:color w:val="000000"/>
                <w:sz w:val="14"/>
                <w:szCs w:val="14"/>
              </w:rPr>
              <w:t xml:space="preserve"> - Rotation</w:t>
            </w:r>
          </w:p>
        </w:tc>
        <w:tc>
          <w:tcPr>
            <w:tcW w:w="107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23.84 ± 7.18</w:t>
            </w:r>
          </w:p>
        </w:tc>
        <w:tc>
          <w:tcPr>
            <w:tcW w:w="1601"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23.73 ± 7.87</w:t>
            </w:r>
          </w:p>
        </w:tc>
        <w:tc>
          <w:tcPr>
            <w:tcW w:w="135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23.99 ± 7.84</w:t>
            </w:r>
          </w:p>
        </w:tc>
        <w:tc>
          <w:tcPr>
            <w:tcW w:w="1734"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24.19 ± 8.29</w:t>
            </w:r>
          </w:p>
        </w:tc>
        <w:tc>
          <w:tcPr>
            <w:tcW w:w="1485"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23.79 ± 7.61</w:t>
            </w:r>
          </w:p>
        </w:tc>
        <w:tc>
          <w:tcPr>
            <w:tcW w:w="777" w:type="dxa"/>
            <w:tcBorders>
              <w:top w:val="nil"/>
              <w:left w:val="nil"/>
              <w:bottom w:val="nil"/>
              <w:right w:val="nil"/>
            </w:tcBorders>
            <w:vAlign w:val="bottom"/>
          </w:tcPr>
          <w:p w:rsidR="002E046A" w:rsidRPr="004639C5" w:rsidRDefault="002E046A" w:rsidP="003C617E">
            <w:pPr>
              <w:spacing w:before="20" w:after="20" w:line="240" w:lineRule="auto"/>
              <w:jc w:val="center"/>
              <w:rPr>
                <w:sz w:val="14"/>
                <w:szCs w:val="14"/>
              </w:rPr>
            </w:pPr>
            <w:r w:rsidRPr="004639C5">
              <w:rPr>
                <w:sz w:val="14"/>
                <w:szCs w:val="14"/>
              </w:rPr>
              <w:t>0.729</w:t>
            </w:r>
          </w:p>
        </w:tc>
        <w:tc>
          <w:tcPr>
            <w:tcW w:w="1489"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120" w:after="20" w:line="240" w:lineRule="auto"/>
              <w:rPr>
                <w:color w:val="000000"/>
                <w:sz w:val="14"/>
                <w:szCs w:val="14"/>
              </w:rPr>
            </w:pPr>
          </w:p>
        </w:tc>
        <w:tc>
          <w:tcPr>
            <w:tcW w:w="2302" w:type="dxa"/>
            <w:tcBorders>
              <w:top w:val="nil"/>
              <w:left w:val="nil"/>
              <w:bottom w:val="nil"/>
              <w:right w:val="nil"/>
            </w:tcBorders>
            <w:vAlign w:val="bottom"/>
          </w:tcPr>
          <w:p w:rsidR="002E046A" w:rsidRPr="004639C5" w:rsidRDefault="002E046A" w:rsidP="003C617E">
            <w:pPr>
              <w:spacing w:before="120" w:after="20" w:line="240" w:lineRule="auto"/>
              <w:rPr>
                <w:color w:val="000000"/>
                <w:sz w:val="14"/>
                <w:szCs w:val="14"/>
              </w:rPr>
            </w:pPr>
            <w:r w:rsidRPr="004639C5">
              <w:rPr>
                <w:color w:val="000000"/>
                <w:sz w:val="14"/>
                <w:szCs w:val="14"/>
              </w:rPr>
              <w:t xml:space="preserve">Forefoot/Hindfoot – Dorsiflexion </w:t>
            </w:r>
          </w:p>
        </w:tc>
        <w:tc>
          <w:tcPr>
            <w:tcW w:w="1072"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6.07 ± 1.65</w:t>
            </w:r>
          </w:p>
        </w:tc>
        <w:tc>
          <w:tcPr>
            <w:tcW w:w="1601"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5.73 ± 1.82</w:t>
            </w:r>
          </w:p>
        </w:tc>
        <w:tc>
          <w:tcPr>
            <w:tcW w:w="1352"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5.68 ± 2.03</w:t>
            </w:r>
          </w:p>
        </w:tc>
        <w:tc>
          <w:tcPr>
            <w:tcW w:w="1734"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5.57 ± 2.01</w:t>
            </w:r>
          </w:p>
        </w:tc>
        <w:tc>
          <w:tcPr>
            <w:tcW w:w="1485"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5.78 ± 2.14</w:t>
            </w:r>
          </w:p>
        </w:tc>
        <w:tc>
          <w:tcPr>
            <w:tcW w:w="777" w:type="dxa"/>
            <w:tcBorders>
              <w:top w:val="nil"/>
              <w:left w:val="nil"/>
              <w:bottom w:val="nil"/>
              <w:right w:val="nil"/>
            </w:tcBorders>
            <w:vAlign w:val="bottom"/>
          </w:tcPr>
          <w:p w:rsidR="002E046A" w:rsidRPr="004639C5" w:rsidRDefault="002E046A" w:rsidP="003C617E">
            <w:pPr>
              <w:spacing w:before="120" w:after="20" w:line="240" w:lineRule="auto"/>
              <w:jc w:val="center"/>
              <w:rPr>
                <w:sz w:val="14"/>
                <w:szCs w:val="14"/>
              </w:rPr>
            </w:pPr>
            <w:r w:rsidRPr="004639C5">
              <w:rPr>
                <w:sz w:val="14"/>
                <w:szCs w:val="14"/>
              </w:rPr>
              <w:t>0.603</w:t>
            </w:r>
          </w:p>
        </w:tc>
        <w:tc>
          <w:tcPr>
            <w:tcW w:w="1489" w:type="dxa"/>
            <w:tcBorders>
              <w:top w:val="nil"/>
              <w:left w:val="nil"/>
              <w:bottom w:val="nil"/>
              <w:right w:val="nil"/>
            </w:tcBorders>
            <w:vAlign w:val="bottom"/>
          </w:tcPr>
          <w:p w:rsidR="002E046A" w:rsidRPr="004639C5" w:rsidRDefault="002E046A" w:rsidP="003C617E">
            <w:pPr>
              <w:spacing w:before="120" w:after="20" w:line="240" w:lineRule="auto"/>
              <w:rPr>
                <w:color w:val="000000"/>
                <w:sz w:val="14"/>
                <w:szCs w:val="14"/>
              </w:rPr>
            </w:pP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20" w:after="20" w:line="240" w:lineRule="auto"/>
              <w:rPr>
                <w:color w:val="000000"/>
                <w:sz w:val="14"/>
                <w:szCs w:val="14"/>
              </w:rPr>
            </w:pPr>
          </w:p>
        </w:tc>
        <w:tc>
          <w:tcPr>
            <w:tcW w:w="2302"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sidRPr="004639C5">
              <w:rPr>
                <w:color w:val="000000"/>
                <w:sz w:val="14"/>
                <w:szCs w:val="14"/>
              </w:rPr>
              <w:t>Forefoot/Hindfoot  - Adduction</w:t>
            </w:r>
          </w:p>
        </w:tc>
        <w:tc>
          <w:tcPr>
            <w:tcW w:w="107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5.54 ± 1.38</w:t>
            </w:r>
          </w:p>
        </w:tc>
        <w:tc>
          <w:tcPr>
            <w:tcW w:w="1601"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4.89 ± 1.22</w:t>
            </w:r>
          </w:p>
        </w:tc>
        <w:tc>
          <w:tcPr>
            <w:tcW w:w="135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5.04 ± 1.55</w:t>
            </w:r>
          </w:p>
        </w:tc>
        <w:tc>
          <w:tcPr>
            <w:tcW w:w="1734"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4.42 ± 1.89</w:t>
            </w:r>
          </w:p>
        </w:tc>
        <w:tc>
          <w:tcPr>
            <w:tcW w:w="1485"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4.65 ± 2.06</w:t>
            </w:r>
          </w:p>
        </w:tc>
        <w:tc>
          <w:tcPr>
            <w:tcW w:w="777" w:type="dxa"/>
            <w:tcBorders>
              <w:top w:val="nil"/>
              <w:left w:val="nil"/>
              <w:bottom w:val="nil"/>
              <w:right w:val="nil"/>
            </w:tcBorders>
            <w:vAlign w:val="bottom"/>
          </w:tcPr>
          <w:p w:rsidR="002E046A" w:rsidRPr="004639C5" w:rsidRDefault="002E046A" w:rsidP="003C617E">
            <w:pPr>
              <w:spacing w:before="20" w:after="20" w:line="240" w:lineRule="auto"/>
              <w:jc w:val="center"/>
              <w:rPr>
                <w:sz w:val="14"/>
                <w:szCs w:val="14"/>
              </w:rPr>
            </w:pPr>
            <w:r w:rsidRPr="004639C5">
              <w:rPr>
                <w:sz w:val="14"/>
                <w:szCs w:val="14"/>
              </w:rPr>
              <w:t>0.473</w:t>
            </w:r>
          </w:p>
        </w:tc>
        <w:tc>
          <w:tcPr>
            <w:tcW w:w="1489"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20" w:after="20" w:line="240" w:lineRule="auto"/>
              <w:rPr>
                <w:color w:val="000000"/>
                <w:sz w:val="14"/>
                <w:szCs w:val="14"/>
              </w:rPr>
            </w:pPr>
          </w:p>
        </w:tc>
        <w:tc>
          <w:tcPr>
            <w:tcW w:w="2302"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sidRPr="004639C5">
              <w:rPr>
                <w:color w:val="000000"/>
                <w:sz w:val="14"/>
                <w:szCs w:val="14"/>
              </w:rPr>
              <w:t xml:space="preserve">Forefoot/Hindfoot  - Supination </w:t>
            </w:r>
          </w:p>
        </w:tc>
        <w:tc>
          <w:tcPr>
            <w:tcW w:w="107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7.56 ± 2.37</w:t>
            </w:r>
          </w:p>
        </w:tc>
        <w:tc>
          <w:tcPr>
            <w:tcW w:w="1601"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6.74 ± 3.03</w:t>
            </w:r>
          </w:p>
        </w:tc>
        <w:tc>
          <w:tcPr>
            <w:tcW w:w="135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6.73 ± 2.90</w:t>
            </w:r>
          </w:p>
        </w:tc>
        <w:tc>
          <w:tcPr>
            <w:tcW w:w="1734"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6.77 ± 2.63</w:t>
            </w:r>
          </w:p>
        </w:tc>
        <w:tc>
          <w:tcPr>
            <w:tcW w:w="1485"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6.07 ± 3.05</w:t>
            </w:r>
          </w:p>
        </w:tc>
        <w:tc>
          <w:tcPr>
            <w:tcW w:w="777" w:type="dxa"/>
            <w:tcBorders>
              <w:top w:val="nil"/>
              <w:left w:val="nil"/>
              <w:bottom w:val="nil"/>
              <w:right w:val="nil"/>
            </w:tcBorders>
            <w:vAlign w:val="bottom"/>
          </w:tcPr>
          <w:p w:rsidR="002E046A" w:rsidRPr="004639C5" w:rsidRDefault="002E046A" w:rsidP="003C617E">
            <w:pPr>
              <w:spacing w:before="20" w:after="20" w:line="240" w:lineRule="auto"/>
              <w:jc w:val="center"/>
              <w:rPr>
                <w:bCs/>
                <w:sz w:val="14"/>
                <w:szCs w:val="14"/>
              </w:rPr>
            </w:pPr>
            <w:r w:rsidRPr="004639C5">
              <w:rPr>
                <w:bCs/>
                <w:sz w:val="14"/>
                <w:szCs w:val="14"/>
              </w:rPr>
              <w:t>0.007*</w:t>
            </w:r>
          </w:p>
        </w:tc>
        <w:tc>
          <w:tcPr>
            <w:tcW w:w="1489"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sidRPr="004639C5">
              <w:rPr>
                <w:color w:val="000000"/>
                <w:sz w:val="14"/>
                <w:szCs w:val="14"/>
              </w:rPr>
              <w:t>SO &gt; EVA LD</w:t>
            </w: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120" w:after="20" w:line="240" w:lineRule="auto"/>
              <w:rPr>
                <w:sz w:val="14"/>
                <w:szCs w:val="14"/>
              </w:rPr>
            </w:pPr>
          </w:p>
        </w:tc>
        <w:tc>
          <w:tcPr>
            <w:tcW w:w="2302" w:type="dxa"/>
            <w:tcBorders>
              <w:top w:val="nil"/>
              <w:left w:val="nil"/>
              <w:bottom w:val="nil"/>
              <w:right w:val="nil"/>
            </w:tcBorders>
            <w:vAlign w:val="bottom"/>
          </w:tcPr>
          <w:p w:rsidR="002E046A" w:rsidRPr="004639C5" w:rsidRDefault="002E046A" w:rsidP="003C617E">
            <w:pPr>
              <w:spacing w:before="120" w:after="20" w:line="240" w:lineRule="auto"/>
              <w:rPr>
                <w:sz w:val="14"/>
                <w:szCs w:val="14"/>
              </w:rPr>
            </w:pPr>
            <w:r w:rsidRPr="004639C5">
              <w:rPr>
                <w:sz w:val="14"/>
                <w:szCs w:val="14"/>
              </w:rPr>
              <w:t xml:space="preserve">Hindfoot/Tibia – Dorsiflexion </w:t>
            </w:r>
          </w:p>
        </w:tc>
        <w:tc>
          <w:tcPr>
            <w:tcW w:w="1072"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27.87 ± 5.72</w:t>
            </w:r>
          </w:p>
        </w:tc>
        <w:tc>
          <w:tcPr>
            <w:tcW w:w="1601"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26.05 ± 5.87</w:t>
            </w:r>
          </w:p>
        </w:tc>
        <w:tc>
          <w:tcPr>
            <w:tcW w:w="1352"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26.93 ± 4.94</w:t>
            </w:r>
          </w:p>
        </w:tc>
        <w:tc>
          <w:tcPr>
            <w:tcW w:w="1734"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27.65 ± 6.65</w:t>
            </w:r>
          </w:p>
        </w:tc>
        <w:tc>
          <w:tcPr>
            <w:tcW w:w="1485"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27.44 ± 5.50</w:t>
            </w:r>
          </w:p>
        </w:tc>
        <w:tc>
          <w:tcPr>
            <w:tcW w:w="777" w:type="dxa"/>
            <w:tcBorders>
              <w:top w:val="nil"/>
              <w:left w:val="nil"/>
              <w:bottom w:val="nil"/>
              <w:right w:val="nil"/>
            </w:tcBorders>
            <w:vAlign w:val="bottom"/>
          </w:tcPr>
          <w:p w:rsidR="002E046A" w:rsidRPr="004639C5" w:rsidRDefault="002E046A" w:rsidP="003C617E">
            <w:pPr>
              <w:spacing w:before="120" w:after="20" w:line="240" w:lineRule="auto"/>
              <w:jc w:val="center"/>
              <w:rPr>
                <w:sz w:val="14"/>
                <w:szCs w:val="14"/>
              </w:rPr>
            </w:pPr>
            <w:r w:rsidRPr="004639C5">
              <w:rPr>
                <w:sz w:val="14"/>
                <w:szCs w:val="14"/>
              </w:rPr>
              <w:t>0.247</w:t>
            </w:r>
          </w:p>
        </w:tc>
        <w:tc>
          <w:tcPr>
            <w:tcW w:w="1489" w:type="dxa"/>
            <w:tcBorders>
              <w:top w:val="nil"/>
              <w:left w:val="nil"/>
              <w:bottom w:val="nil"/>
              <w:right w:val="nil"/>
            </w:tcBorders>
            <w:vAlign w:val="bottom"/>
          </w:tcPr>
          <w:p w:rsidR="002E046A" w:rsidRPr="004639C5" w:rsidRDefault="002E046A" w:rsidP="003C617E">
            <w:pPr>
              <w:spacing w:before="120" w:after="20" w:line="240" w:lineRule="auto"/>
              <w:rPr>
                <w:color w:val="000000"/>
                <w:sz w:val="14"/>
                <w:szCs w:val="14"/>
              </w:rPr>
            </w:pP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20" w:after="20" w:line="240" w:lineRule="auto"/>
              <w:rPr>
                <w:sz w:val="14"/>
                <w:szCs w:val="14"/>
              </w:rPr>
            </w:pPr>
          </w:p>
        </w:tc>
        <w:tc>
          <w:tcPr>
            <w:tcW w:w="2302" w:type="dxa"/>
            <w:tcBorders>
              <w:top w:val="nil"/>
              <w:left w:val="nil"/>
              <w:bottom w:val="nil"/>
              <w:right w:val="nil"/>
            </w:tcBorders>
            <w:vAlign w:val="bottom"/>
          </w:tcPr>
          <w:p w:rsidR="002E046A" w:rsidRPr="004639C5" w:rsidRDefault="002E046A" w:rsidP="003C617E">
            <w:pPr>
              <w:spacing w:before="20" w:after="20" w:line="240" w:lineRule="auto"/>
              <w:rPr>
                <w:sz w:val="14"/>
                <w:szCs w:val="14"/>
              </w:rPr>
            </w:pPr>
            <w:r w:rsidRPr="004639C5">
              <w:rPr>
                <w:sz w:val="14"/>
                <w:szCs w:val="14"/>
              </w:rPr>
              <w:t xml:space="preserve">Hindfoot/Tibia – Inversion </w:t>
            </w:r>
          </w:p>
        </w:tc>
        <w:tc>
          <w:tcPr>
            <w:tcW w:w="107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15.61 ± 5.47</w:t>
            </w:r>
          </w:p>
        </w:tc>
        <w:tc>
          <w:tcPr>
            <w:tcW w:w="1601"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15.34 ± 5.18</w:t>
            </w:r>
          </w:p>
        </w:tc>
        <w:tc>
          <w:tcPr>
            <w:tcW w:w="135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15.88 ± 4.74</w:t>
            </w:r>
          </w:p>
        </w:tc>
        <w:tc>
          <w:tcPr>
            <w:tcW w:w="1734"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15.23 ± 5.78</w:t>
            </w:r>
          </w:p>
        </w:tc>
        <w:tc>
          <w:tcPr>
            <w:tcW w:w="1485"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15.25 ± 5.04</w:t>
            </w:r>
          </w:p>
        </w:tc>
        <w:tc>
          <w:tcPr>
            <w:tcW w:w="777" w:type="dxa"/>
            <w:tcBorders>
              <w:top w:val="nil"/>
              <w:left w:val="nil"/>
              <w:bottom w:val="nil"/>
              <w:right w:val="nil"/>
            </w:tcBorders>
            <w:vAlign w:val="bottom"/>
          </w:tcPr>
          <w:p w:rsidR="002E046A" w:rsidRPr="004639C5" w:rsidRDefault="002E046A" w:rsidP="003C617E">
            <w:pPr>
              <w:spacing w:before="20" w:after="20" w:line="240" w:lineRule="auto"/>
              <w:jc w:val="center"/>
              <w:rPr>
                <w:sz w:val="14"/>
                <w:szCs w:val="14"/>
              </w:rPr>
            </w:pPr>
            <w:r w:rsidRPr="004639C5">
              <w:rPr>
                <w:sz w:val="14"/>
                <w:szCs w:val="14"/>
              </w:rPr>
              <w:t>0.655</w:t>
            </w:r>
          </w:p>
        </w:tc>
        <w:tc>
          <w:tcPr>
            <w:tcW w:w="1489"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p>
        </w:tc>
      </w:tr>
      <w:tr w:rsidR="002E046A" w:rsidRPr="004639C5" w:rsidTr="003C617E">
        <w:trPr>
          <w:jc w:val="center"/>
        </w:trPr>
        <w:tc>
          <w:tcPr>
            <w:tcW w:w="959" w:type="dxa"/>
            <w:vMerge/>
            <w:tcBorders>
              <w:left w:val="nil"/>
              <w:bottom w:val="nil"/>
              <w:right w:val="nil"/>
            </w:tcBorders>
          </w:tcPr>
          <w:p w:rsidR="002E046A" w:rsidRPr="004639C5" w:rsidRDefault="002E046A" w:rsidP="003C617E">
            <w:pPr>
              <w:spacing w:before="120" w:after="20" w:line="240" w:lineRule="auto"/>
              <w:rPr>
                <w:sz w:val="14"/>
                <w:szCs w:val="14"/>
              </w:rPr>
            </w:pPr>
          </w:p>
        </w:tc>
        <w:tc>
          <w:tcPr>
            <w:tcW w:w="2302" w:type="dxa"/>
            <w:tcBorders>
              <w:top w:val="nil"/>
              <w:left w:val="nil"/>
              <w:bottom w:val="nil"/>
              <w:right w:val="nil"/>
            </w:tcBorders>
            <w:vAlign w:val="center"/>
          </w:tcPr>
          <w:p w:rsidR="002E046A" w:rsidRPr="004639C5" w:rsidRDefault="002E046A" w:rsidP="003C617E">
            <w:pPr>
              <w:spacing w:before="120" w:after="20" w:line="240" w:lineRule="auto"/>
              <w:rPr>
                <w:sz w:val="14"/>
                <w:szCs w:val="14"/>
              </w:rPr>
            </w:pPr>
            <w:r w:rsidRPr="004639C5">
              <w:rPr>
                <w:sz w:val="14"/>
                <w:szCs w:val="14"/>
              </w:rPr>
              <w:t>Hallux/Forefoot Dorsiflexion</w:t>
            </w:r>
          </w:p>
        </w:tc>
        <w:tc>
          <w:tcPr>
            <w:tcW w:w="1072" w:type="dxa"/>
            <w:tcBorders>
              <w:top w:val="nil"/>
              <w:left w:val="nil"/>
              <w:bottom w:val="nil"/>
              <w:right w:val="nil"/>
            </w:tcBorders>
            <w:vAlign w:val="center"/>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15.45 ± 4.71</w:t>
            </w:r>
          </w:p>
        </w:tc>
        <w:tc>
          <w:tcPr>
            <w:tcW w:w="1601" w:type="dxa"/>
            <w:tcBorders>
              <w:top w:val="nil"/>
              <w:left w:val="nil"/>
              <w:bottom w:val="nil"/>
              <w:right w:val="nil"/>
            </w:tcBorders>
            <w:vAlign w:val="center"/>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13.62 ± 6.04</w:t>
            </w:r>
          </w:p>
        </w:tc>
        <w:tc>
          <w:tcPr>
            <w:tcW w:w="1352" w:type="dxa"/>
            <w:tcBorders>
              <w:top w:val="nil"/>
              <w:left w:val="nil"/>
              <w:bottom w:val="nil"/>
              <w:right w:val="nil"/>
            </w:tcBorders>
            <w:vAlign w:val="center"/>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15.01 ± 5.85</w:t>
            </w:r>
          </w:p>
        </w:tc>
        <w:tc>
          <w:tcPr>
            <w:tcW w:w="1734" w:type="dxa"/>
            <w:tcBorders>
              <w:top w:val="nil"/>
              <w:left w:val="nil"/>
              <w:bottom w:val="nil"/>
              <w:right w:val="nil"/>
            </w:tcBorders>
            <w:vAlign w:val="center"/>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14.20 ± 4.95</w:t>
            </w:r>
          </w:p>
        </w:tc>
        <w:tc>
          <w:tcPr>
            <w:tcW w:w="1485" w:type="dxa"/>
            <w:tcBorders>
              <w:top w:val="nil"/>
              <w:left w:val="nil"/>
              <w:bottom w:val="nil"/>
              <w:right w:val="nil"/>
            </w:tcBorders>
            <w:vAlign w:val="center"/>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12.94 ± 6.02</w:t>
            </w:r>
          </w:p>
        </w:tc>
        <w:tc>
          <w:tcPr>
            <w:tcW w:w="777" w:type="dxa"/>
            <w:tcBorders>
              <w:top w:val="nil"/>
              <w:left w:val="nil"/>
              <w:bottom w:val="nil"/>
              <w:right w:val="nil"/>
            </w:tcBorders>
            <w:vAlign w:val="center"/>
          </w:tcPr>
          <w:p w:rsidR="002E046A" w:rsidRPr="004639C5" w:rsidRDefault="002E046A" w:rsidP="003C617E">
            <w:pPr>
              <w:spacing w:before="120" w:after="20" w:line="240" w:lineRule="auto"/>
              <w:jc w:val="center"/>
              <w:rPr>
                <w:sz w:val="14"/>
                <w:szCs w:val="14"/>
              </w:rPr>
            </w:pPr>
            <w:r w:rsidRPr="004639C5">
              <w:rPr>
                <w:sz w:val="14"/>
                <w:szCs w:val="14"/>
              </w:rPr>
              <w:t>0.125</w:t>
            </w:r>
          </w:p>
        </w:tc>
        <w:tc>
          <w:tcPr>
            <w:tcW w:w="1489" w:type="dxa"/>
            <w:tcBorders>
              <w:top w:val="nil"/>
              <w:left w:val="nil"/>
              <w:bottom w:val="nil"/>
              <w:right w:val="nil"/>
            </w:tcBorders>
            <w:vAlign w:val="center"/>
          </w:tcPr>
          <w:p w:rsidR="002E046A" w:rsidRPr="004639C5" w:rsidRDefault="002E046A" w:rsidP="003C617E">
            <w:pPr>
              <w:spacing w:before="120" w:after="20" w:line="240" w:lineRule="auto"/>
              <w:rPr>
                <w:color w:val="000000"/>
                <w:sz w:val="14"/>
                <w:szCs w:val="14"/>
              </w:rPr>
            </w:pPr>
          </w:p>
        </w:tc>
      </w:tr>
      <w:tr w:rsidR="002E046A" w:rsidRPr="004639C5" w:rsidTr="003C617E">
        <w:trPr>
          <w:jc w:val="center"/>
        </w:trPr>
        <w:tc>
          <w:tcPr>
            <w:tcW w:w="959" w:type="dxa"/>
            <w:vMerge w:val="restart"/>
            <w:tcBorders>
              <w:top w:val="nil"/>
              <w:left w:val="nil"/>
              <w:right w:val="nil"/>
            </w:tcBorders>
          </w:tcPr>
          <w:p w:rsidR="002E046A" w:rsidRPr="004639C5" w:rsidRDefault="002E046A" w:rsidP="003C617E">
            <w:pPr>
              <w:spacing w:before="120" w:after="20" w:line="240" w:lineRule="auto"/>
              <w:rPr>
                <w:color w:val="000000"/>
                <w:sz w:val="14"/>
                <w:szCs w:val="14"/>
              </w:rPr>
            </w:pPr>
            <w:r>
              <w:rPr>
                <w:color w:val="000000"/>
                <w:sz w:val="14"/>
                <w:szCs w:val="14"/>
              </w:rPr>
              <w:t>Change in angle between heel strike and 6% of gait cycle**</w:t>
            </w:r>
          </w:p>
        </w:tc>
        <w:tc>
          <w:tcPr>
            <w:tcW w:w="2302" w:type="dxa"/>
            <w:tcBorders>
              <w:top w:val="nil"/>
              <w:left w:val="nil"/>
              <w:bottom w:val="nil"/>
              <w:right w:val="nil"/>
            </w:tcBorders>
            <w:vAlign w:val="bottom"/>
          </w:tcPr>
          <w:p w:rsidR="002E046A" w:rsidRPr="004639C5" w:rsidRDefault="002E046A" w:rsidP="003C617E">
            <w:pPr>
              <w:spacing w:before="120" w:after="20" w:line="240" w:lineRule="auto"/>
              <w:rPr>
                <w:color w:val="000000"/>
                <w:sz w:val="14"/>
                <w:szCs w:val="14"/>
              </w:rPr>
            </w:pPr>
            <w:r>
              <w:rPr>
                <w:color w:val="000000"/>
                <w:sz w:val="14"/>
                <w:szCs w:val="14"/>
              </w:rPr>
              <w:t>Knee</w:t>
            </w:r>
            <w:r w:rsidRPr="004639C5">
              <w:rPr>
                <w:color w:val="000000"/>
                <w:sz w:val="14"/>
                <w:szCs w:val="14"/>
              </w:rPr>
              <w:t xml:space="preserve"> - Flexion</w:t>
            </w:r>
          </w:p>
        </w:tc>
        <w:tc>
          <w:tcPr>
            <w:tcW w:w="107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3.70 ± 1.68</w:t>
            </w:r>
          </w:p>
        </w:tc>
        <w:tc>
          <w:tcPr>
            <w:tcW w:w="1601"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3.89 ± 1.59</w:t>
            </w:r>
          </w:p>
        </w:tc>
        <w:tc>
          <w:tcPr>
            <w:tcW w:w="135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4.39 ± 1.64</w:t>
            </w:r>
          </w:p>
        </w:tc>
        <w:tc>
          <w:tcPr>
            <w:tcW w:w="1734"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4.40 ± 1.74</w:t>
            </w:r>
          </w:p>
        </w:tc>
        <w:tc>
          <w:tcPr>
            <w:tcW w:w="1485"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4.30 ± 2.14</w:t>
            </w:r>
          </w:p>
        </w:tc>
        <w:tc>
          <w:tcPr>
            <w:tcW w:w="777"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0.037*</w:t>
            </w:r>
          </w:p>
        </w:tc>
        <w:tc>
          <w:tcPr>
            <w:tcW w:w="1489"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sidRPr="004639C5">
              <w:rPr>
                <w:color w:val="000000"/>
                <w:sz w:val="14"/>
                <w:szCs w:val="14"/>
              </w:rPr>
              <w:t>SO &lt; EVA MD</w:t>
            </w: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20" w:after="20" w:line="240" w:lineRule="auto"/>
              <w:rPr>
                <w:color w:val="000000"/>
                <w:sz w:val="14"/>
                <w:szCs w:val="14"/>
              </w:rPr>
            </w:pPr>
          </w:p>
        </w:tc>
        <w:tc>
          <w:tcPr>
            <w:tcW w:w="2302"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Pr>
                <w:color w:val="000000"/>
                <w:sz w:val="14"/>
                <w:szCs w:val="14"/>
              </w:rPr>
              <w:t>Knee</w:t>
            </w:r>
            <w:r w:rsidRPr="004639C5">
              <w:rPr>
                <w:color w:val="000000"/>
                <w:sz w:val="14"/>
                <w:szCs w:val="14"/>
              </w:rPr>
              <w:t xml:space="preserve"> - Adduction</w:t>
            </w:r>
          </w:p>
        </w:tc>
        <w:tc>
          <w:tcPr>
            <w:tcW w:w="107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0.40 ± 0.86</w:t>
            </w:r>
          </w:p>
        </w:tc>
        <w:tc>
          <w:tcPr>
            <w:tcW w:w="1601"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0.47 ± 1.02</w:t>
            </w:r>
          </w:p>
        </w:tc>
        <w:tc>
          <w:tcPr>
            <w:tcW w:w="135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0.54 ± 0.98</w:t>
            </w:r>
          </w:p>
        </w:tc>
        <w:tc>
          <w:tcPr>
            <w:tcW w:w="1734"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0.50 ± 1.11</w:t>
            </w:r>
          </w:p>
        </w:tc>
        <w:tc>
          <w:tcPr>
            <w:tcW w:w="1485"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0.39 ±  1.09</w:t>
            </w:r>
          </w:p>
        </w:tc>
        <w:tc>
          <w:tcPr>
            <w:tcW w:w="777"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0.246</w:t>
            </w:r>
          </w:p>
        </w:tc>
        <w:tc>
          <w:tcPr>
            <w:tcW w:w="1489"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20" w:after="20" w:line="240" w:lineRule="auto"/>
              <w:rPr>
                <w:color w:val="000000"/>
                <w:sz w:val="14"/>
                <w:szCs w:val="14"/>
              </w:rPr>
            </w:pPr>
          </w:p>
        </w:tc>
        <w:tc>
          <w:tcPr>
            <w:tcW w:w="2302"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Pr>
                <w:color w:val="000000"/>
                <w:sz w:val="14"/>
                <w:szCs w:val="14"/>
              </w:rPr>
              <w:t>Knee</w:t>
            </w:r>
            <w:r w:rsidRPr="004639C5">
              <w:rPr>
                <w:color w:val="000000"/>
                <w:sz w:val="14"/>
                <w:szCs w:val="14"/>
              </w:rPr>
              <w:t xml:space="preserve"> - Rotation</w:t>
            </w:r>
          </w:p>
        </w:tc>
        <w:tc>
          <w:tcPr>
            <w:tcW w:w="107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2.21 ± 3.44</w:t>
            </w:r>
          </w:p>
        </w:tc>
        <w:tc>
          <w:tcPr>
            <w:tcW w:w="1601"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0.70 ± 2.51</w:t>
            </w:r>
          </w:p>
        </w:tc>
        <w:tc>
          <w:tcPr>
            <w:tcW w:w="135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1.19 ± 2.61</w:t>
            </w:r>
          </w:p>
        </w:tc>
        <w:tc>
          <w:tcPr>
            <w:tcW w:w="1734"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1.68 ± 2.45</w:t>
            </w:r>
          </w:p>
        </w:tc>
        <w:tc>
          <w:tcPr>
            <w:tcW w:w="1485"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1.83 ± 2.81</w:t>
            </w:r>
          </w:p>
        </w:tc>
        <w:tc>
          <w:tcPr>
            <w:tcW w:w="777"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0.098</w:t>
            </w:r>
          </w:p>
        </w:tc>
        <w:tc>
          <w:tcPr>
            <w:tcW w:w="1489"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120" w:after="20" w:line="240" w:lineRule="auto"/>
              <w:rPr>
                <w:color w:val="000000"/>
                <w:sz w:val="14"/>
                <w:szCs w:val="14"/>
              </w:rPr>
            </w:pPr>
          </w:p>
        </w:tc>
        <w:tc>
          <w:tcPr>
            <w:tcW w:w="2302" w:type="dxa"/>
            <w:tcBorders>
              <w:top w:val="nil"/>
              <w:left w:val="nil"/>
              <w:bottom w:val="nil"/>
              <w:right w:val="nil"/>
            </w:tcBorders>
            <w:vAlign w:val="bottom"/>
          </w:tcPr>
          <w:p w:rsidR="002E046A" w:rsidRPr="004639C5" w:rsidRDefault="002E046A" w:rsidP="003C617E">
            <w:pPr>
              <w:spacing w:before="120" w:after="20" w:line="240" w:lineRule="auto"/>
              <w:rPr>
                <w:color w:val="000000"/>
                <w:sz w:val="14"/>
                <w:szCs w:val="14"/>
              </w:rPr>
            </w:pPr>
            <w:r w:rsidRPr="004639C5">
              <w:rPr>
                <w:color w:val="000000"/>
                <w:sz w:val="14"/>
                <w:szCs w:val="14"/>
              </w:rPr>
              <w:t xml:space="preserve">Forefoot/Hindfoot – Dorsiflexion </w:t>
            </w:r>
          </w:p>
        </w:tc>
        <w:tc>
          <w:tcPr>
            <w:tcW w:w="1072"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0.81 ± 1.01</w:t>
            </w:r>
          </w:p>
        </w:tc>
        <w:tc>
          <w:tcPr>
            <w:tcW w:w="1601"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1.05 ± 0.94</w:t>
            </w:r>
          </w:p>
        </w:tc>
        <w:tc>
          <w:tcPr>
            <w:tcW w:w="1352"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0.92 ± 1.00</w:t>
            </w:r>
          </w:p>
        </w:tc>
        <w:tc>
          <w:tcPr>
            <w:tcW w:w="1734"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0.83 ± 1.02</w:t>
            </w:r>
          </w:p>
        </w:tc>
        <w:tc>
          <w:tcPr>
            <w:tcW w:w="1485"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0.82 ± 0.83</w:t>
            </w:r>
          </w:p>
        </w:tc>
        <w:tc>
          <w:tcPr>
            <w:tcW w:w="777"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0.682</w:t>
            </w:r>
          </w:p>
        </w:tc>
        <w:tc>
          <w:tcPr>
            <w:tcW w:w="1489" w:type="dxa"/>
            <w:tcBorders>
              <w:top w:val="nil"/>
              <w:left w:val="nil"/>
              <w:bottom w:val="nil"/>
              <w:right w:val="nil"/>
            </w:tcBorders>
            <w:vAlign w:val="bottom"/>
          </w:tcPr>
          <w:p w:rsidR="002E046A" w:rsidRPr="004639C5" w:rsidRDefault="002E046A" w:rsidP="003C617E">
            <w:pPr>
              <w:spacing w:before="120" w:after="20" w:line="240" w:lineRule="auto"/>
              <w:rPr>
                <w:color w:val="000000"/>
                <w:sz w:val="14"/>
                <w:szCs w:val="14"/>
              </w:rPr>
            </w:pP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20" w:after="20" w:line="240" w:lineRule="auto"/>
              <w:rPr>
                <w:color w:val="000000"/>
                <w:sz w:val="14"/>
                <w:szCs w:val="14"/>
              </w:rPr>
            </w:pPr>
          </w:p>
        </w:tc>
        <w:tc>
          <w:tcPr>
            <w:tcW w:w="2302"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sidRPr="004639C5">
              <w:rPr>
                <w:color w:val="000000"/>
                <w:sz w:val="14"/>
                <w:szCs w:val="14"/>
              </w:rPr>
              <w:t>Forefoot/Hindfoot  - Adduction</w:t>
            </w:r>
          </w:p>
        </w:tc>
        <w:tc>
          <w:tcPr>
            <w:tcW w:w="107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0.18 ± 0.87</w:t>
            </w:r>
          </w:p>
        </w:tc>
        <w:tc>
          <w:tcPr>
            <w:tcW w:w="1601"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0.33 ± 0.82</w:t>
            </w:r>
          </w:p>
        </w:tc>
        <w:tc>
          <w:tcPr>
            <w:tcW w:w="135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0.41 ± 0.84</w:t>
            </w:r>
          </w:p>
        </w:tc>
        <w:tc>
          <w:tcPr>
            <w:tcW w:w="1734"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0.10 ± 0.79</w:t>
            </w:r>
          </w:p>
        </w:tc>
        <w:tc>
          <w:tcPr>
            <w:tcW w:w="1485"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0.18 ± 0.52</w:t>
            </w:r>
          </w:p>
        </w:tc>
        <w:tc>
          <w:tcPr>
            <w:tcW w:w="777"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0.492</w:t>
            </w:r>
          </w:p>
        </w:tc>
        <w:tc>
          <w:tcPr>
            <w:tcW w:w="1489"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20" w:after="20" w:line="240" w:lineRule="auto"/>
              <w:rPr>
                <w:color w:val="000000"/>
                <w:sz w:val="14"/>
                <w:szCs w:val="14"/>
              </w:rPr>
            </w:pPr>
          </w:p>
        </w:tc>
        <w:tc>
          <w:tcPr>
            <w:tcW w:w="2302"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sidRPr="004639C5">
              <w:rPr>
                <w:color w:val="000000"/>
                <w:sz w:val="14"/>
                <w:szCs w:val="14"/>
              </w:rPr>
              <w:t xml:space="preserve">Forefoot/Hindfoot  - Supination </w:t>
            </w:r>
          </w:p>
        </w:tc>
        <w:tc>
          <w:tcPr>
            <w:tcW w:w="107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1.20 ± 1.69</w:t>
            </w:r>
          </w:p>
        </w:tc>
        <w:tc>
          <w:tcPr>
            <w:tcW w:w="1601"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0.49 ± 0.90</w:t>
            </w:r>
          </w:p>
        </w:tc>
        <w:tc>
          <w:tcPr>
            <w:tcW w:w="1352"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0.81 ± 1.19</w:t>
            </w:r>
          </w:p>
        </w:tc>
        <w:tc>
          <w:tcPr>
            <w:tcW w:w="1734"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0.89 ± 1.27</w:t>
            </w:r>
          </w:p>
        </w:tc>
        <w:tc>
          <w:tcPr>
            <w:tcW w:w="1485"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0.74 ± 0.91</w:t>
            </w:r>
          </w:p>
        </w:tc>
        <w:tc>
          <w:tcPr>
            <w:tcW w:w="777" w:type="dxa"/>
            <w:tcBorders>
              <w:top w:val="nil"/>
              <w:left w:val="nil"/>
              <w:bottom w:val="nil"/>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0.198</w:t>
            </w:r>
          </w:p>
        </w:tc>
        <w:tc>
          <w:tcPr>
            <w:tcW w:w="1489"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p>
        </w:tc>
      </w:tr>
      <w:tr w:rsidR="002E046A" w:rsidRPr="004639C5" w:rsidTr="003C617E">
        <w:trPr>
          <w:jc w:val="center"/>
        </w:trPr>
        <w:tc>
          <w:tcPr>
            <w:tcW w:w="959" w:type="dxa"/>
            <w:vMerge/>
            <w:tcBorders>
              <w:left w:val="nil"/>
              <w:right w:val="nil"/>
            </w:tcBorders>
          </w:tcPr>
          <w:p w:rsidR="002E046A" w:rsidRPr="004639C5" w:rsidRDefault="002E046A" w:rsidP="003C617E">
            <w:pPr>
              <w:spacing w:before="120" w:after="20" w:line="240" w:lineRule="auto"/>
              <w:rPr>
                <w:sz w:val="14"/>
                <w:szCs w:val="14"/>
              </w:rPr>
            </w:pPr>
          </w:p>
        </w:tc>
        <w:tc>
          <w:tcPr>
            <w:tcW w:w="2302" w:type="dxa"/>
            <w:tcBorders>
              <w:top w:val="nil"/>
              <w:left w:val="nil"/>
              <w:bottom w:val="nil"/>
              <w:right w:val="nil"/>
            </w:tcBorders>
            <w:vAlign w:val="bottom"/>
          </w:tcPr>
          <w:p w:rsidR="002E046A" w:rsidRPr="004639C5" w:rsidRDefault="002E046A" w:rsidP="003C617E">
            <w:pPr>
              <w:spacing w:before="120" w:after="20" w:line="240" w:lineRule="auto"/>
              <w:rPr>
                <w:sz w:val="14"/>
                <w:szCs w:val="14"/>
              </w:rPr>
            </w:pPr>
            <w:r w:rsidRPr="004639C5">
              <w:rPr>
                <w:sz w:val="14"/>
                <w:szCs w:val="14"/>
              </w:rPr>
              <w:t xml:space="preserve">Hindfoot/Tibia – Dorsiflexion </w:t>
            </w:r>
          </w:p>
        </w:tc>
        <w:tc>
          <w:tcPr>
            <w:tcW w:w="1072"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Pr>
                <w:color w:val="000000"/>
                <w:sz w:val="14"/>
                <w:szCs w:val="14"/>
              </w:rPr>
              <w:t>-</w:t>
            </w:r>
            <w:r w:rsidRPr="004639C5">
              <w:rPr>
                <w:color w:val="000000"/>
                <w:sz w:val="14"/>
                <w:szCs w:val="14"/>
              </w:rPr>
              <w:t>2.91 ± 2.52</w:t>
            </w:r>
          </w:p>
        </w:tc>
        <w:tc>
          <w:tcPr>
            <w:tcW w:w="1601"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Pr>
                <w:color w:val="000000"/>
                <w:sz w:val="14"/>
                <w:szCs w:val="14"/>
              </w:rPr>
              <w:t>-</w:t>
            </w:r>
            <w:r w:rsidRPr="004639C5">
              <w:rPr>
                <w:color w:val="000000"/>
                <w:sz w:val="14"/>
                <w:szCs w:val="14"/>
              </w:rPr>
              <w:t>3.81 ± 1.22</w:t>
            </w:r>
          </w:p>
        </w:tc>
        <w:tc>
          <w:tcPr>
            <w:tcW w:w="1352"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Pr>
                <w:color w:val="000000"/>
                <w:sz w:val="14"/>
                <w:szCs w:val="14"/>
              </w:rPr>
              <w:t>-</w:t>
            </w:r>
            <w:r w:rsidRPr="004639C5">
              <w:rPr>
                <w:color w:val="000000"/>
                <w:sz w:val="14"/>
                <w:szCs w:val="14"/>
              </w:rPr>
              <w:t>3.74 ± 1.66</w:t>
            </w:r>
          </w:p>
        </w:tc>
        <w:tc>
          <w:tcPr>
            <w:tcW w:w="1734"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Pr>
                <w:color w:val="000000"/>
                <w:sz w:val="14"/>
                <w:szCs w:val="14"/>
              </w:rPr>
              <w:t>-</w:t>
            </w:r>
            <w:r w:rsidRPr="004639C5">
              <w:rPr>
                <w:color w:val="000000"/>
                <w:sz w:val="14"/>
                <w:szCs w:val="14"/>
              </w:rPr>
              <w:t>3.44 ± 2.18</w:t>
            </w:r>
          </w:p>
        </w:tc>
        <w:tc>
          <w:tcPr>
            <w:tcW w:w="1485"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Pr>
                <w:color w:val="000000"/>
                <w:sz w:val="14"/>
                <w:szCs w:val="14"/>
              </w:rPr>
              <w:t>-</w:t>
            </w:r>
            <w:r w:rsidRPr="004639C5">
              <w:rPr>
                <w:color w:val="000000"/>
                <w:sz w:val="14"/>
                <w:szCs w:val="14"/>
              </w:rPr>
              <w:t>3.76 ±  1.71</w:t>
            </w:r>
          </w:p>
        </w:tc>
        <w:tc>
          <w:tcPr>
            <w:tcW w:w="777" w:type="dxa"/>
            <w:tcBorders>
              <w:top w:val="nil"/>
              <w:left w:val="nil"/>
              <w:bottom w:val="nil"/>
              <w:right w:val="nil"/>
            </w:tcBorders>
            <w:vAlign w:val="bottom"/>
          </w:tcPr>
          <w:p w:rsidR="002E046A" w:rsidRPr="004639C5" w:rsidRDefault="002E046A" w:rsidP="003C617E">
            <w:pPr>
              <w:spacing w:before="120" w:after="20" w:line="240" w:lineRule="auto"/>
              <w:jc w:val="center"/>
              <w:rPr>
                <w:color w:val="000000"/>
                <w:sz w:val="14"/>
                <w:szCs w:val="14"/>
              </w:rPr>
            </w:pPr>
            <w:r w:rsidRPr="004639C5">
              <w:rPr>
                <w:color w:val="000000"/>
                <w:sz w:val="14"/>
                <w:szCs w:val="14"/>
              </w:rPr>
              <w:t>0.288</w:t>
            </w:r>
          </w:p>
        </w:tc>
        <w:tc>
          <w:tcPr>
            <w:tcW w:w="1489" w:type="dxa"/>
            <w:tcBorders>
              <w:top w:val="nil"/>
              <w:left w:val="nil"/>
              <w:bottom w:val="nil"/>
              <w:right w:val="nil"/>
            </w:tcBorders>
            <w:vAlign w:val="bottom"/>
          </w:tcPr>
          <w:p w:rsidR="002E046A" w:rsidRPr="004639C5" w:rsidRDefault="002E046A" w:rsidP="003C617E">
            <w:pPr>
              <w:spacing w:before="120" w:after="20" w:line="240" w:lineRule="auto"/>
              <w:rPr>
                <w:color w:val="000000"/>
                <w:sz w:val="14"/>
                <w:szCs w:val="14"/>
              </w:rPr>
            </w:pPr>
          </w:p>
        </w:tc>
      </w:tr>
      <w:tr w:rsidR="002E046A" w:rsidRPr="004639C5" w:rsidTr="003C617E">
        <w:trPr>
          <w:jc w:val="center"/>
        </w:trPr>
        <w:tc>
          <w:tcPr>
            <w:tcW w:w="959" w:type="dxa"/>
            <w:vMerge/>
            <w:tcBorders>
              <w:left w:val="nil"/>
              <w:bottom w:val="single" w:sz="4" w:space="0" w:color="auto"/>
              <w:right w:val="nil"/>
            </w:tcBorders>
          </w:tcPr>
          <w:p w:rsidR="002E046A" w:rsidRPr="004639C5" w:rsidRDefault="002E046A" w:rsidP="003C617E">
            <w:pPr>
              <w:spacing w:before="20" w:after="20" w:line="240" w:lineRule="auto"/>
              <w:rPr>
                <w:sz w:val="14"/>
                <w:szCs w:val="14"/>
              </w:rPr>
            </w:pPr>
          </w:p>
        </w:tc>
        <w:tc>
          <w:tcPr>
            <w:tcW w:w="2302" w:type="dxa"/>
            <w:tcBorders>
              <w:top w:val="nil"/>
              <w:left w:val="nil"/>
              <w:bottom w:val="single" w:sz="4" w:space="0" w:color="auto"/>
              <w:right w:val="nil"/>
            </w:tcBorders>
            <w:vAlign w:val="bottom"/>
          </w:tcPr>
          <w:p w:rsidR="002E046A" w:rsidRPr="004639C5" w:rsidRDefault="002E046A" w:rsidP="003C617E">
            <w:pPr>
              <w:spacing w:before="20" w:after="20" w:line="240" w:lineRule="auto"/>
              <w:rPr>
                <w:sz w:val="14"/>
                <w:szCs w:val="14"/>
              </w:rPr>
            </w:pPr>
            <w:r w:rsidRPr="004639C5">
              <w:rPr>
                <w:sz w:val="14"/>
                <w:szCs w:val="14"/>
              </w:rPr>
              <w:t xml:space="preserve">Hindfoot/Tibia – Inversion </w:t>
            </w:r>
          </w:p>
        </w:tc>
        <w:tc>
          <w:tcPr>
            <w:tcW w:w="1072" w:type="dxa"/>
            <w:tcBorders>
              <w:top w:val="nil"/>
              <w:left w:val="nil"/>
              <w:bottom w:val="single" w:sz="4" w:space="0" w:color="auto"/>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1.12 ± 1.45</w:t>
            </w:r>
          </w:p>
        </w:tc>
        <w:tc>
          <w:tcPr>
            <w:tcW w:w="1601" w:type="dxa"/>
            <w:tcBorders>
              <w:top w:val="nil"/>
              <w:left w:val="nil"/>
              <w:bottom w:val="single" w:sz="4" w:space="0" w:color="auto"/>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1.56 ± 1.07</w:t>
            </w:r>
          </w:p>
        </w:tc>
        <w:tc>
          <w:tcPr>
            <w:tcW w:w="1352" w:type="dxa"/>
            <w:tcBorders>
              <w:top w:val="nil"/>
              <w:left w:val="nil"/>
              <w:bottom w:val="single" w:sz="4" w:space="0" w:color="auto"/>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1.59 ± 1.29</w:t>
            </w:r>
          </w:p>
        </w:tc>
        <w:tc>
          <w:tcPr>
            <w:tcW w:w="1734" w:type="dxa"/>
            <w:tcBorders>
              <w:top w:val="nil"/>
              <w:left w:val="nil"/>
              <w:bottom w:val="single" w:sz="4" w:space="0" w:color="auto"/>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1.54 ± 1.08</w:t>
            </w:r>
          </w:p>
        </w:tc>
        <w:tc>
          <w:tcPr>
            <w:tcW w:w="1485" w:type="dxa"/>
            <w:tcBorders>
              <w:top w:val="nil"/>
              <w:left w:val="nil"/>
              <w:bottom w:val="single" w:sz="4" w:space="0" w:color="auto"/>
              <w:right w:val="nil"/>
            </w:tcBorders>
            <w:vAlign w:val="bottom"/>
          </w:tcPr>
          <w:p w:rsidR="002E046A" w:rsidRPr="004639C5" w:rsidRDefault="002E046A" w:rsidP="003C617E">
            <w:pPr>
              <w:spacing w:before="20" w:after="20" w:line="240" w:lineRule="auto"/>
              <w:jc w:val="center"/>
              <w:rPr>
                <w:color w:val="000000"/>
                <w:sz w:val="14"/>
                <w:szCs w:val="14"/>
              </w:rPr>
            </w:pPr>
            <w:r>
              <w:rPr>
                <w:color w:val="000000"/>
                <w:sz w:val="14"/>
                <w:szCs w:val="14"/>
              </w:rPr>
              <w:t>-</w:t>
            </w:r>
            <w:r w:rsidRPr="004639C5">
              <w:rPr>
                <w:color w:val="000000"/>
                <w:sz w:val="14"/>
                <w:szCs w:val="14"/>
              </w:rPr>
              <w:t>1.60 ± 1.41</w:t>
            </w:r>
          </w:p>
        </w:tc>
        <w:tc>
          <w:tcPr>
            <w:tcW w:w="777" w:type="dxa"/>
            <w:tcBorders>
              <w:top w:val="nil"/>
              <w:left w:val="nil"/>
              <w:bottom w:val="single" w:sz="4" w:space="0" w:color="auto"/>
              <w:right w:val="nil"/>
            </w:tcBorders>
            <w:vAlign w:val="bottom"/>
          </w:tcPr>
          <w:p w:rsidR="002E046A" w:rsidRPr="004639C5" w:rsidRDefault="002E046A" w:rsidP="003C617E">
            <w:pPr>
              <w:spacing w:before="20" w:after="20" w:line="240" w:lineRule="auto"/>
              <w:jc w:val="center"/>
              <w:rPr>
                <w:color w:val="000000"/>
                <w:sz w:val="14"/>
                <w:szCs w:val="14"/>
              </w:rPr>
            </w:pPr>
            <w:r w:rsidRPr="004639C5">
              <w:rPr>
                <w:color w:val="000000"/>
                <w:sz w:val="14"/>
                <w:szCs w:val="14"/>
              </w:rPr>
              <w:t>0.294</w:t>
            </w:r>
          </w:p>
        </w:tc>
        <w:tc>
          <w:tcPr>
            <w:tcW w:w="1489" w:type="dxa"/>
            <w:tcBorders>
              <w:top w:val="nil"/>
              <w:left w:val="nil"/>
              <w:bottom w:val="single" w:sz="4" w:space="0" w:color="auto"/>
              <w:right w:val="nil"/>
            </w:tcBorders>
            <w:vAlign w:val="bottom"/>
          </w:tcPr>
          <w:p w:rsidR="002E046A" w:rsidRPr="004639C5" w:rsidRDefault="002E046A" w:rsidP="003C617E">
            <w:pPr>
              <w:spacing w:before="20" w:after="20" w:line="240" w:lineRule="auto"/>
              <w:rPr>
                <w:color w:val="000000"/>
                <w:sz w:val="14"/>
                <w:szCs w:val="14"/>
              </w:rPr>
            </w:pPr>
          </w:p>
        </w:tc>
      </w:tr>
    </w:tbl>
    <w:p w:rsidR="002E046A" w:rsidRDefault="002E046A" w:rsidP="002E046A">
      <w:pPr>
        <w:spacing w:after="0" w:line="240" w:lineRule="auto"/>
        <w:rPr>
          <w:sz w:val="14"/>
          <w:szCs w:val="14"/>
        </w:rPr>
      </w:pPr>
      <w:r w:rsidRPr="00F949B1">
        <w:rPr>
          <w:sz w:val="14"/>
          <w:szCs w:val="14"/>
        </w:rPr>
        <w:t>Note: SO = Shoe only; EVA MD = EVA medium density; EVA LD = EVA low density</w:t>
      </w:r>
    </w:p>
    <w:p w:rsidR="002E046A" w:rsidRPr="00F949B1" w:rsidRDefault="002E046A" w:rsidP="002E046A">
      <w:pPr>
        <w:spacing w:after="0" w:line="240" w:lineRule="auto"/>
        <w:rPr>
          <w:sz w:val="14"/>
          <w:szCs w:val="14"/>
        </w:rPr>
      </w:pPr>
      <w:r w:rsidRPr="00F949B1">
        <w:rPr>
          <w:sz w:val="14"/>
          <w:szCs w:val="14"/>
        </w:rPr>
        <w:t>*Significant difference (p ≤ 0.05) between conditions</w:t>
      </w:r>
    </w:p>
    <w:p w:rsidR="002E046A" w:rsidRDefault="002E046A" w:rsidP="002E046A">
      <w:pPr>
        <w:spacing w:after="0" w:line="240" w:lineRule="auto"/>
      </w:pPr>
      <w:r>
        <w:rPr>
          <w:sz w:val="14"/>
          <w:szCs w:val="14"/>
        </w:rPr>
        <w:t>**+ = in</w:t>
      </w:r>
      <w:r w:rsidRPr="00C10E0B">
        <w:rPr>
          <w:sz w:val="14"/>
          <w:szCs w:val="14"/>
        </w:rPr>
        <w:t>crease in angle from heel</w:t>
      </w:r>
      <w:r>
        <w:rPr>
          <w:sz w:val="14"/>
          <w:szCs w:val="14"/>
        </w:rPr>
        <w:t xml:space="preserve"> strike to 6% gait cycle; - = de</w:t>
      </w:r>
      <w:r w:rsidRPr="00C10E0B">
        <w:rPr>
          <w:sz w:val="14"/>
          <w:szCs w:val="14"/>
        </w:rPr>
        <w:t>crease in angle from heel strike to 6% gait cycle</w:t>
      </w:r>
    </w:p>
    <w:p w:rsidR="002E046A" w:rsidRPr="00215A44" w:rsidRDefault="002E046A" w:rsidP="002E046A"/>
    <w:p w:rsidR="002E046A" w:rsidRDefault="002E046A" w:rsidP="002E046A"/>
    <w:p w:rsidR="002E046A" w:rsidRDefault="002E046A" w:rsidP="002E046A"/>
    <w:p w:rsidR="002E046A" w:rsidRDefault="002E046A" w:rsidP="002E046A"/>
    <w:p w:rsidR="002E046A" w:rsidRDefault="002E046A" w:rsidP="002E046A"/>
    <w:p w:rsidR="002E046A" w:rsidRDefault="002E046A" w:rsidP="002E046A"/>
    <w:p w:rsidR="002E046A" w:rsidRDefault="002E046A" w:rsidP="002E046A"/>
    <w:p w:rsidR="002E046A" w:rsidRDefault="002E046A" w:rsidP="002E046A"/>
    <w:p w:rsidR="002E046A" w:rsidRDefault="002E046A" w:rsidP="002E046A">
      <w:pPr>
        <w:pStyle w:val="Caption"/>
        <w:spacing w:line="240" w:lineRule="auto"/>
        <w:rPr>
          <w:color w:val="000000"/>
          <w:szCs w:val="18"/>
        </w:rPr>
      </w:pPr>
      <w:bookmarkStart w:id="6" w:name="_Ref273704255"/>
      <w:r>
        <w:lastRenderedPageBreak/>
        <w:t>Table</w:t>
      </w:r>
      <w:bookmarkEnd w:id="6"/>
      <w:r>
        <w:t xml:space="preserve"> 3. Comparison of</w:t>
      </w:r>
      <w:r w:rsidRPr="00B77BB4">
        <w:t xml:space="preserve"> F-Scan in shoe pressure </w:t>
      </w:r>
      <w:r w:rsidRPr="00B77BB4">
        <w:rPr>
          <w:szCs w:val="18"/>
        </w:rPr>
        <w:t>measurement</w:t>
      </w:r>
      <w:r>
        <w:rPr>
          <w:szCs w:val="18"/>
        </w:rPr>
        <w:t xml:space="preserve">s between conditions </w:t>
      </w:r>
      <w:r>
        <w:t>for custom device session</w:t>
      </w:r>
      <w:r w:rsidRPr="00B77BB4">
        <w:rPr>
          <w:szCs w:val="18"/>
        </w:rPr>
        <w:t xml:space="preserve"> (mean </w:t>
      </w:r>
      <w:r w:rsidRPr="00B77BB4">
        <w:rPr>
          <w:color w:val="000000"/>
          <w:szCs w:val="18"/>
        </w:rPr>
        <w:t>± standard deviation).</w:t>
      </w:r>
    </w:p>
    <w:tbl>
      <w:tblPr>
        <w:tblpPr w:leftFromText="180" w:rightFromText="180" w:horzAnchor="margin" w:tblpXSpec="center" w:tblpY="537"/>
        <w:tblW w:w="13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275"/>
        <w:gridCol w:w="1276"/>
        <w:gridCol w:w="1276"/>
        <w:gridCol w:w="1276"/>
        <w:gridCol w:w="1275"/>
        <w:gridCol w:w="820"/>
        <w:gridCol w:w="3150"/>
      </w:tblGrid>
      <w:tr w:rsidR="002E046A" w:rsidRPr="004E3297" w:rsidTr="003C617E">
        <w:tc>
          <w:tcPr>
            <w:tcW w:w="817" w:type="dxa"/>
            <w:tcBorders>
              <w:top w:val="single" w:sz="4" w:space="0" w:color="auto"/>
              <w:left w:val="nil"/>
              <w:bottom w:val="single" w:sz="4" w:space="0" w:color="auto"/>
              <w:right w:val="nil"/>
            </w:tcBorders>
            <w:vAlign w:val="center"/>
          </w:tcPr>
          <w:p w:rsidR="002E046A" w:rsidRPr="00E26B7C" w:rsidRDefault="002E046A" w:rsidP="003C617E">
            <w:pPr>
              <w:spacing w:before="20" w:after="20" w:line="240" w:lineRule="auto"/>
              <w:jc w:val="center"/>
              <w:rPr>
                <w:b/>
                <w:color w:val="000000"/>
                <w:sz w:val="14"/>
                <w:szCs w:val="14"/>
              </w:rPr>
            </w:pPr>
            <w:r w:rsidRPr="00E26B7C">
              <w:rPr>
                <w:b/>
                <w:color w:val="000000"/>
                <w:sz w:val="14"/>
                <w:szCs w:val="14"/>
              </w:rPr>
              <w:t>Foot area</w:t>
            </w:r>
          </w:p>
        </w:tc>
        <w:tc>
          <w:tcPr>
            <w:tcW w:w="1985" w:type="dxa"/>
            <w:tcBorders>
              <w:top w:val="single" w:sz="4" w:space="0" w:color="auto"/>
              <w:left w:val="nil"/>
              <w:bottom w:val="single" w:sz="4" w:space="0" w:color="auto"/>
              <w:right w:val="nil"/>
            </w:tcBorders>
            <w:vAlign w:val="center"/>
          </w:tcPr>
          <w:p w:rsidR="002E046A" w:rsidRPr="00E26B7C" w:rsidRDefault="002E046A" w:rsidP="003C617E">
            <w:pPr>
              <w:spacing w:before="20" w:after="20" w:line="240" w:lineRule="auto"/>
              <w:jc w:val="center"/>
              <w:rPr>
                <w:b/>
                <w:color w:val="000000"/>
                <w:sz w:val="14"/>
                <w:szCs w:val="14"/>
              </w:rPr>
            </w:pPr>
            <w:r w:rsidRPr="00E26B7C">
              <w:rPr>
                <w:b/>
                <w:color w:val="000000"/>
                <w:sz w:val="14"/>
                <w:szCs w:val="14"/>
              </w:rPr>
              <w:t>Variable</w:t>
            </w:r>
          </w:p>
        </w:tc>
        <w:tc>
          <w:tcPr>
            <w:tcW w:w="1275" w:type="dxa"/>
            <w:tcBorders>
              <w:top w:val="single" w:sz="4" w:space="0" w:color="auto"/>
              <w:left w:val="nil"/>
              <w:bottom w:val="single" w:sz="4" w:space="0" w:color="auto"/>
              <w:right w:val="nil"/>
            </w:tcBorders>
            <w:vAlign w:val="center"/>
          </w:tcPr>
          <w:p w:rsidR="002E046A" w:rsidRPr="00E26B7C" w:rsidRDefault="002E046A" w:rsidP="003C617E">
            <w:pPr>
              <w:spacing w:before="20" w:after="20" w:line="240" w:lineRule="auto"/>
              <w:jc w:val="center"/>
              <w:rPr>
                <w:b/>
                <w:color w:val="000000"/>
                <w:sz w:val="14"/>
                <w:szCs w:val="14"/>
              </w:rPr>
            </w:pPr>
            <w:r w:rsidRPr="00E26B7C">
              <w:rPr>
                <w:b/>
                <w:color w:val="000000"/>
                <w:sz w:val="14"/>
                <w:szCs w:val="14"/>
              </w:rPr>
              <w:t>Shoe only</w:t>
            </w:r>
          </w:p>
        </w:tc>
        <w:tc>
          <w:tcPr>
            <w:tcW w:w="1276" w:type="dxa"/>
            <w:tcBorders>
              <w:top w:val="single" w:sz="4" w:space="0" w:color="auto"/>
              <w:left w:val="nil"/>
              <w:bottom w:val="single" w:sz="4" w:space="0" w:color="auto"/>
              <w:right w:val="nil"/>
            </w:tcBorders>
            <w:vAlign w:val="center"/>
          </w:tcPr>
          <w:p w:rsidR="002E046A" w:rsidRPr="00E26B7C" w:rsidRDefault="002E046A" w:rsidP="003C617E">
            <w:pPr>
              <w:spacing w:before="20" w:after="20" w:line="240" w:lineRule="auto"/>
              <w:jc w:val="center"/>
              <w:rPr>
                <w:b/>
                <w:color w:val="000000"/>
                <w:sz w:val="14"/>
                <w:szCs w:val="14"/>
              </w:rPr>
            </w:pPr>
            <w:r w:rsidRPr="00E26B7C">
              <w:rPr>
                <w:b/>
                <w:color w:val="000000"/>
                <w:sz w:val="14"/>
                <w:szCs w:val="14"/>
              </w:rPr>
              <w:t>PU Medium Density</w:t>
            </w:r>
          </w:p>
        </w:tc>
        <w:tc>
          <w:tcPr>
            <w:tcW w:w="1276" w:type="dxa"/>
            <w:tcBorders>
              <w:top w:val="single" w:sz="4" w:space="0" w:color="auto"/>
              <w:left w:val="nil"/>
              <w:bottom w:val="single" w:sz="4" w:space="0" w:color="auto"/>
              <w:right w:val="nil"/>
            </w:tcBorders>
            <w:vAlign w:val="center"/>
          </w:tcPr>
          <w:p w:rsidR="002E046A" w:rsidRPr="00E26B7C" w:rsidRDefault="002E046A" w:rsidP="003C617E">
            <w:pPr>
              <w:spacing w:before="20" w:after="20" w:line="240" w:lineRule="auto"/>
              <w:jc w:val="center"/>
              <w:rPr>
                <w:b/>
                <w:color w:val="000000"/>
                <w:sz w:val="14"/>
                <w:szCs w:val="14"/>
              </w:rPr>
            </w:pPr>
            <w:r w:rsidRPr="00E26B7C">
              <w:rPr>
                <w:b/>
                <w:color w:val="000000"/>
                <w:sz w:val="14"/>
                <w:szCs w:val="14"/>
              </w:rPr>
              <w:t>PU Low Density</w:t>
            </w:r>
          </w:p>
        </w:tc>
        <w:tc>
          <w:tcPr>
            <w:tcW w:w="1276" w:type="dxa"/>
            <w:tcBorders>
              <w:top w:val="single" w:sz="4" w:space="0" w:color="auto"/>
              <w:left w:val="nil"/>
              <w:bottom w:val="single" w:sz="4" w:space="0" w:color="auto"/>
              <w:right w:val="nil"/>
            </w:tcBorders>
            <w:vAlign w:val="center"/>
          </w:tcPr>
          <w:p w:rsidR="002E046A" w:rsidRPr="00E26B7C" w:rsidRDefault="002E046A" w:rsidP="003C617E">
            <w:pPr>
              <w:spacing w:before="20" w:after="20" w:line="240" w:lineRule="auto"/>
              <w:jc w:val="center"/>
              <w:rPr>
                <w:b/>
                <w:color w:val="000000"/>
                <w:sz w:val="14"/>
                <w:szCs w:val="14"/>
              </w:rPr>
            </w:pPr>
            <w:r>
              <w:rPr>
                <w:b/>
                <w:color w:val="000000"/>
                <w:sz w:val="14"/>
                <w:szCs w:val="14"/>
              </w:rPr>
              <w:t>EVA</w:t>
            </w:r>
            <w:r w:rsidRPr="00E26B7C">
              <w:rPr>
                <w:b/>
                <w:color w:val="000000"/>
                <w:sz w:val="14"/>
                <w:szCs w:val="14"/>
              </w:rPr>
              <w:t xml:space="preserve"> Medium Density</w:t>
            </w:r>
          </w:p>
        </w:tc>
        <w:tc>
          <w:tcPr>
            <w:tcW w:w="1275" w:type="dxa"/>
            <w:tcBorders>
              <w:top w:val="single" w:sz="4" w:space="0" w:color="auto"/>
              <w:left w:val="nil"/>
              <w:bottom w:val="single" w:sz="4" w:space="0" w:color="auto"/>
              <w:right w:val="nil"/>
            </w:tcBorders>
            <w:vAlign w:val="center"/>
          </w:tcPr>
          <w:p w:rsidR="002E046A" w:rsidRPr="00E26B7C" w:rsidRDefault="002E046A" w:rsidP="003C617E">
            <w:pPr>
              <w:spacing w:before="20" w:after="20" w:line="240" w:lineRule="auto"/>
              <w:jc w:val="center"/>
              <w:rPr>
                <w:b/>
                <w:color w:val="000000"/>
                <w:sz w:val="14"/>
                <w:szCs w:val="14"/>
              </w:rPr>
            </w:pPr>
            <w:r>
              <w:rPr>
                <w:b/>
                <w:color w:val="000000"/>
                <w:sz w:val="14"/>
                <w:szCs w:val="14"/>
              </w:rPr>
              <w:t xml:space="preserve">EVA </w:t>
            </w:r>
            <w:r w:rsidRPr="00E26B7C">
              <w:rPr>
                <w:b/>
                <w:color w:val="000000"/>
                <w:sz w:val="14"/>
                <w:szCs w:val="14"/>
              </w:rPr>
              <w:t>Low Density</w:t>
            </w:r>
          </w:p>
        </w:tc>
        <w:tc>
          <w:tcPr>
            <w:tcW w:w="820" w:type="dxa"/>
            <w:tcBorders>
              <w:top w:val="single" w:sz="4" w:space="0" w:color="auto"/>
              <w:left w:val="nil"/>
              <w:bottom w:val="single" w:sz="4" w:space="0" w:color="auto"/>
              <w:right w:val="nil"/>
            </w:tcBorders>
            <w:vAlign w:val="center"/>
          </w:tcPr>
          <w:p w:rsidR="002E046A" w:rsidRPr="00E26B7C" w:rsidRDefault="002E046A" w:rsidP="003C617E">
            <w:pPr>
              <w:spacing w:before="20" w:after="20" w:line="240" w:lineRule="auto"/>
              <w:jc w:val="center"/>
              <w:rPr>
                <w:b/>
                <w:color w:val="000000"/>
                <w:sz w:val="14"/>
                <w:szCs w:val="14"/>
              </w:rPr>
            </w:pPr>
            <w:r w:rsidRPr="00E26B7C">
              <w:rPr>
                <w:b/>
                <w:color w:val="000000"/>
                <w:sz w:val="14"/>
                <w:szCs w:val="14"/>
              </w:rPr>
              <w:t>p value</w:t>
            </w:r>
          </w:p>
        </w:tc>
        <w:tc>
          <w:tcPr>
            <w:tcW w:w="3150" w:type="dxa"/>
            <w:tcBorders>
              <w:top w:val="single" w:sz="4" w:space="0" w:color="auto"/>
              <w:left w:val="nil"/>
              <w:bottom w:val="single" w:sz="4" w:space="0" w:color="auto"/>
              <w:right w:val="nil"/>
            </w:tcBorders>
            <w:vAlign w:val="center"/>
          </w:tcPr>
          <w:p w:rsidR="002E046A" w:rsidRPr="00E26B7C" w:rsidRDefault="002E046A" w:rsidP="003C617E">
            <w:pPr>
              <w:spacing w:before="20" w:after="20" w:line="240" w:lineRule="auto"/>
              <w:jc w:val="center"/>
              <w:rPr>
                <w:b/>
                <w:color w:val="000000"/>
                <w:sz w:val="14"/>
                <w:szCs w:val="14"/>
              </w:rPr>
            </w:pPr>
            <w:r w:rsidRPr="00E26B7C">
              <w:rPr>
                <w:b/>
                <w:color w:val="000000"/>
                <w:sz w:val="14"/>
                <w:szCs w:val="14"/>
              </w:rPr>
              <w:t>Post hoc results</w:t>
            </w:r>
          </w:p>
        </w:tc>
      </w:tr>
      <w:tr w:rsidR="002E046A" w:rsidRPr="004E3297" w:rsidTr="003C617E">
        <w:tc>
          <w:tcPr>
            <w:tcW w:w="817" w:type="dxa"/>
            <w:tcBorders>
              <w:top w:val="single" w:sz="4" w:space="0" w:color="auto"/>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single" w:sz="4" w:space="0" w:color="auto"/>
              <w:left w:val="nil"/>
              <w:bottom w:val="nil"/>
              <w:right w:val="nil"/>
            </w:tcBorders>
          </w:tcPr>
          <w:p w:rsidR="002E046A" w:rsidRPr="00E26B7C" w:rsidRDefault="002E046A" w:rsidP="003C617E">
            <w:pPr>
              <w:spacing w:before="20" w:after="20" w:line="240" w:lineRule="auto"/>
              <w:jc w:val="center"/>
              <w:rPr>
                <w:color w:val="000000"/>
                <w:sz w:val="14"/>
                <w:szCs w:val="14"/>
              </w:rPr>
            </w:pPr>
            <w:r>
              <w:rPr>
                <w:color w:val="000000"/>
                <w:sz w:val="14"/>
                <w:szCs w:val="14"/>
              </w:rPr>
              <w:t>Stance duration (s)</w:t>
            </w:r>
          </w:p>
        </w:tc>
        <w:tc>
          <w:tcPr>
            <w:tcW w:w="1275" w:type="dxa"/>
            <w:tcBorders>
              <w:top w:val="single" w:sz="4" w:space="0" w:color="auto"/>
              <w:left w:val="nil"/>
              <w:bottom w:val="nil"/>
              <w:right w:val="nil"/>
            </w:tcBorders>
            <w:vAlign w:val="bottom"/>
          </w:tcPr>
          <w:p w:rsidR="002E046A" w:rsidRPr="005E43B5" w:rsidRDefault="002E046A" w:rsidP="003C617E">
            <w:pPr>
              <w:spacing w:before="20" w:after="20" w:line="240" w:lineRule="auto"/>
              <w:jc w:val="center"/>
              <w:rPr>
                <w:color w:val="000000"/>
                <w:sz w:val="14"/>
                <w:szCs w:val="14"/>
                <w:lang w:eastAsia="en-GB"/>
              </w:rPr>
            </w:pPr>
            <w:r w:rsidRPr="005E43B5">
              <w:rPr>
                <w:color w:val="000000"/>
                <w:sz w:val="14"/>
                <w:szCs w:val="14"/>
                <w:lang w:eastAsia="en-GB"/>
              </w:rPr>
              <w:t>0.69 ± 0.04</w:t>
            </w:r>
          </w:p>
        </w:tc>
        <w:tc>
          <w:tcPr>
            <w:tcW w:w="1276" w:type="dxa"/>
            <w:tcBorders>
              <w:top w:val="single" w:sz="4" w:space="0" w:color="auto"/>
              <w:left w:val="nil"/>
              <w:bottom w:val="nil"/>
              <w:right w:val="nil"/>
            </w:tcBorders>
            <w:vAlign w:val="bottom"/>
          </w:tcPr>
          <w:p w:rsidR="002E046A" w:rsidRPr="005E43B5" w:rsidRDefault="002E046A" w:rsidP="003C617E">
            <w:pPr>
              <w:spacing w:before="20" w:after="20" w:line="240" w:lineRule="auto"/>
              <w:jc w:val="center"/>
              <w:rPr>
                <w:color w:val="000000"/>
                <w:sz w:val="14"/>
                <w:szCs w:val="14"/>
                <w:lang w:eastAsia="en-GB"/>
              </w:rPr>
            </w:pPr>
            <w:r w:rsidRPr="005E43B5">
              <w:rPr>
                <w:color w:val="000000"/>
                <w:sz w:val="14"/>
                <w:szCs w:val="14"/>
                <w:lang w:eastAsia="en-GB"/>
              </w:rPr>
              <w:t>0.70 ± 0.03</w:t>
            </w:r>
          </w:p>
        </w:tc>
        <w:tc>
          <w:tcPr>
            <w:tcW w:w="1276" w:type="dxa"/>
            <w:tcBorders>
              <w:top w:val="single" w:sz="4" w:space="0" w:color="auto"/>
              <w:left w:val="nil"/>
              <w:bottom w:val="nil"/>
              <w:right w:val="nil"/>
            </w:tcBorders>
            <w:vAlign w:val="bottom"/>
          </w:tcPr>
          <w:p w:rsidR="002E046A" w:rsidRPr="005E43B5" w:rsidRDefault="002E046A" w:rsidP="003C617E">
            <w:pPr>
              <w:spacing w:before="20" w:after="20" w:line="240" w:lineRule="auto"/>
              <w:jc w:val="center"/>
              <w:rPr>
                <w:color w:val="000000"/>
                <w:sz w:val="14"/>
                <w:szCs w:val="14"/>
                <w:lang w:eastAsia="en-GB"/>
              </w:rPr>
            </w:pPr>
            <w:r w:rsidRPr="005E43B5">
              <w:rPr>
                <w:color w:val="000000"/>
                <w:sz w:val="14"/>
                <w:szCs w:val="14"/>
                <w:lang w:eastAsia="en-GB"/>
              </w:rPr>
              <w:t>0.69 ± 0.03</w:t>
            </w:r>
          </w:p>
        </w:tc>
        <w:tc>
          <w:tcPr>
            <w:tcW w:w="1276" w:type="dxa"/>
            <w:tcBorders>
              <w:top w:val="single" w:sz="4" w:space="0" w:color="auto"/>
              <w:left w:val="nil"/>
              <w:bottom w:val="nil"/>
              <w:right w:val="nil"/>
            </w:tcBorders>
            <w:vAlign w:val="bottom"/>
          </w:tcPr>
          <w:p w:rsidR="002E046A" w:rsidRPr="005E43B5" w:rsidRDefault="002E046A" w:rsidP="003C617E">
            <w:pPr>
              <w:spacing w:before="20" w:after="20" w:line="240" w:lineRule="auto"/>
              <w:jc w:val="center"/>
              <w:rPr>
                <w:color w:val="000000"/>
                <w:sz w:val="14"/>
                <w:szCs w:val="14"/>
                <w:lang w:eastAsia="en-GB"/>
              </w:rPr>
            </w:pPr>
            <w:r w:rsidRPr="005E43B5">
              <w:rPr>
                <w:color w:val="000000"/>
                <w:sz w:val="14"/>
                <w:szCs w:val="14"/>
                <w:lang w:eastAsia="en-GB"/>
              </w:rPr>
              <w:t>0.70 ± 0.03</w:t>
            </w:r>
          </w:p>
        </w:tc>
        <w:tc>
          <w:tcPr>
            <w:tcW w:w="1275" w:type="dxa"/>
            <w:tcBorders>
              <w:top w:val="single" w:sz="4" w:space="0" w:color="auto"/>
              <w:left w:val="nil"/>
              <w:bottom w:val="nil"/>
              <w:right w:val="nil"/>
            </w:tcBorders>
            <w:vAlign w:val="bottom"/>
          </w:tcPr>
          <w:p w:rsidR="002E046A" w:rsidRPr="005E43B5" w:rsidRDefault="002E046A" w:rsidP="003C617E">
            <w:pPr>
              <w:spacing w:before="20" w:after="20" w:line="240" w:lineRule="auto"/>
              <w:jc w:val="center"/>
              <w:rPr>
                <w:color w:val="000000"/>
                <w:sz w:val="14"/>
                <w:szCs w:val="14"/>
                <w:lang w:eastAsia="en-GB"/>
              </w:rPr>
            </w:pPr>
            <w:r w:rsidRPr="005E43B5">
              <w:rPr>
                <w:color w:val="000000"/>
                <w:sz w:val="14"/>
                <w:szCs w:val="14"/>
                <w:lang w:eastAsia="en-GB"/>
              </w:rPr>
              <w:t>0.70 ± 0.04</w:t>
            </w:r>
          </w:p>
        </w:tc>
        <w:tc>
          <w:tcPr>
            <w:tcW w:w="820" w:type="dxa"/>
            <w:tcBorders>
              <w:top w:val="single" w:sz="4" w:space="0" w:color="auto"/>
              <w:left w:val="nil"/>
              <w:bottom w:val="nil"/>
              <w:right w:val="nil"/>
            </w:tcBorders>
            <w:vAlign w:val="bottom"/>
          </w:tcPr>
          <w:p w:rsidR="002E046A" w:rsidRPr="005E43B5" w:rsidRDefault="002E046A" w:rsidP="003C617E">
            <w:pPr>
              <w:spacing w:before="20" w:after="20" w:line="240" w:lineRule="auto"/>
              <w:jc w:val="center"/>
              <w:rPr>
                <w:sz w:val="14"/>
                <w:szCs w:val="14"/>
                <w:lang w:eastAsia="en-GB"/>
              </w:rPr>
            </w:pPr>
            <w:r w:rsidRPr="005E43B5">
              <w:rPr>
                <w:sz w:val="14"/>
                <w:szCs w:val="14"/>
                <w:lang w:eastAsia="en-GB"/>
              </w:rPr>
              <w:t>0.21</w:t>
            </w:r>
          </w:p>
        </w:tc>
        <w:tc>
          <w:tcPr>
            <w:tcW w:w="3150" w:type="dxa"/>
            <w:tcBorders>
              <w:top w:val="single" w:sz="4" w:space="0" w:color="auto"/>
              <w:left w:val="nil"/>
              <w:bottom w:val="nil"/>
              <w:right w:val="nil"/>
            </w:tcBorders>
            <w:vAlign w:val="bottom"/>
          </w:tcPr>
          <w:p w:rsidR="002E046A" w:rsidRPr="005E43B5" w:rsidRDefault="002E046A" w:rsidP="003C617E">
            <w:pPr>
              <w:spacing w:before="20" w:after="20" w:line="240" w:lineRule="auto"/>
              <w:jc w:val="center"/>
              <w:rPr>
                <w:color w:val="000000"/>
                <w:sz w:val="14"/>
                <w:szCs w:val="14"/>
                <w:lang w:eastAsia="en-GB"/>
              </w:rPr>
            </w:pPr>
          </w:p>
        </w:tc>
      </w:tr>
      <w:tr w:rsidR="002E046A" w:rsidRPr="004E3297" w:rsidTr="003C617E">
        <w:tc>
          <w:tcPr>
            <w:tcW w:w="817" w:type="dxa"/>
            <w:vMerge w:val="restart"/>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Hallux</w:t>
            </w:r>
          </w:p>
        </w:tc>
        <w:tc>
          <w:tcPr>
            <w:tcW w:w="1985" w:type="dxa"/>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Peak  Pressure  (kPa)</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174.09 ± 77.06</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232.54 ± 79.25</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203.03 ± 75.16</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233.83 ± 93.11</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206.31 ± 60.62</w:t>
            </w:r>
          </w:p>
        </w:tc>
        <w:tc>
          <w:tcPr>
            <w:tcW w:w="820" w:type="dxa"/>
            <w:tcBorders>
              <w:top w:val="nil"/>
              <w:left w:val="nil"/>
              <w:bottom w:val="nil"/>
              <w:right w:val="nil"/>
            </w:tcBorders>
            <w:vAlign w:val="bottom"/>
          </w:tcPr>
          <w:p w:rsidR="002E046A" w:rsidRPr="00E26B7C" w:rsidRDefault="002E046A" w:rsidP="003C617E">
            <w:pPr>
              <w:spacing w:before="120" w:after="20" w:line="240" w:lineRule="auto"/>
              <w:jc w:val="center"/>
              <w:rPr>
                <w:bCs/>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120" w:after="20" w:line="240" w:lineRule="auto"/>
              <w:rPr>
                <w:color w:val="000000"/>
                <w:sz w:val="14"/>
                <w:szCs w:val="14"/>
              </w:rPr>
            </w:pPr>
            <w:r w:rsidRPr="00E26B7C">
              <w:rPr>
                <w:color w:val="000000"/>
                <w:sz w:val="14"/>
                <w:szCs w:val="14"/>
              </w:rPr>
              <w:t>SO &lt; PU MD + EVA MD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Peak force (N/BW)</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0.028 ± 0.01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0.038 ± 0.02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0.033 ± 0.01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0.038 ± 0.02</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0.033 ± 0.01</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bCs/>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&lt; PU MD + EVA MD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Average contact area (cm</w:t>
            </w:r>
            <w:r w:rsidRPr="00E26B7C">
              <w:rPr>
                <w:color w:val="000000"/>
                <w:sz w:val="14"/>
                <w:szCs w:val="14"/>
                <w:vertAlign w:val="superscript"/>
              </w:rPr>
              <w:t>2</w:t>
            </w:r>
            <w:r w:rsidRPr="00E26B7C">
              <w:rPr>
                <w:color w:val="000000"/>
                <w:sz w:val="14"/>
                <w:szCs w:val="14"/>
              </w:rPr>
              <w:t>)</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2.81 ± 1.53</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4.84 ± 2.66</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3.99 ± 1.61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3.76 ± 1.65</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3.81 ± 1.51</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bCs/>
                <w:sz w:val="14"/>
                <w:szCs w:val="14"/>
              </w:rPr>
            </w:pPr>
            <w:r w:rsidRPr="00E26B7C">
              <w:rPr>
                <w:bCs/>
                <w:sz w:val="14"/>
                <w:szCs w:val="14"/>
              </w:rPr>
              <w:t>0.015*</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&lt; PU MD, PU LD, EVA MD + EVA LD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PTI (kPa s)</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22.64 ± 11.40</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35.71 ± 16.94</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33.67 ± 14.42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35.68 ± 18.32</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32.34 ± 13.30</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&lt; PU MD, PU LD, EVA MD + EVA LD</w:t>
            </w:r>
          </w:p>
        </w:tc>
      </w:tr>
      <w:tr w:rsidR="002E046A" w:rsidRPr="004E3297" w:rsidTr="003C617E">
        <w:tc>
          <w:tcPr>
            <w:tcW w:w="817" w:type="dxa"/>
            <w:vMerge w:val="restart"/>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1st met</w:t>
            </w:r>
          </w:p>
        </w:tc>
        <w:tc>
          <w:tcPr>
            <w:tcW w:w="1985" w:type="dxa"/>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Peak  Pressure  (kPa)</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257.15 ± 85.80</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231.69 ± 83.87</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217.88 ± 68.92</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222.82 ± 67.23</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209.45 ± 48.04</w:t>
            </w:r>
          </w:p>
        </w:tc>
        <w:tc>
          <w:tcPr>
            <w:tcW w:w="820" w:type="dxa"/>
            <w:tcBorders>
              <w:top w:val="nil"/>
              <w:left w:val="nil"/>
              <w:bottom w:val="nil"/>
              <w:right w:val="nil"/>
            </w:tcBorders>
            <w:vAlign w:val="bottom"/>
          </w:tcPr>
          <w:p w:rsidR="002E046A" w:rsidRPr="00E26B7C" w:rsidRDefault="002E046A" w:rsidP="003C617E">
            <w:pPr>
              <w:spacing w:before="120" w:after="20" w:line="240" w:lineRule="auto"/>
              <w:jc w:val="center"/>
              <w:rPr>
                <w:bCs/>
                <w:sz w:val="14"/>
                <w:szCs w:val="14"/>
              </w:rPr>
            </w:pPr>
            <w:r w:rsidRPr="00E26B7C">
              <w:rPr>
                <w:bCs/>
                <w:sz w:val="14"/>
                <w:szCs w:val="14"/>
              </w:rPr>
              <w:t>0.001*</w:t>
            </w:r>
          </w:p>
        </w:tc>
        <w:tc>
          <w:tcPr>
            <w:tcW w:w="3150" w:type="dxa"/>
            <w:tcBorders>
              <w:top w:val="nil"/>
              <w:left w:val="nil"/>
              <w:bottom w:val="nil"/>
              <w:right w:val="nil"/>
            </w:tcBorders>
            <w:vAlign w:val="bottom"/>
          </w:tcPr>
          <w:p w:rsidR="002E046A" w:rsidRPr="00E26B7C" w:rsidRDefault="002E046A" w:rsidP="003C617E">
            <w:pPr>
              <w:spacing w:before="120" w:after="20" w:line="240" w:lineRule="auto"/>
              <w:rPr>
                <w:color w:val="000000"/>
                <w:sz w:val="14"/>
                <w:szCs w:val="14"/>
              </w:rPr>
            </w:pPr>
            <w:r w:rsidRPr="00E26B7C">
              <w:rPr>
                <w:color w:val="000000"/>
                <w:sz w:val="14"/>
                <w:szCs w:val="14"/>
              </w:rPr>
              <w:t>SO &gt; PU LD, EVA MD + EVA LD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Peak force (N/BW)</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0.042 ± 0.02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0.038 ± 0.02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0.036 ± 0.01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0.036 ± 0.01</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0.034 ± 0.01</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bCs/>
                <w:sz w:val="14"/>
                <w:szCs w:val="14"/>
              </w:rPr>
            </w:pPr>
            <w:r w:rsidRPr="00E26B7C">
              <w:rPr>
                <w:bCs/>
                <w:sz w:val="14"/>
                <w:szCs w:val="14"/>
              </w:rPr>
              <w:t>0.002*</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&gt; EVA MD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Average contact area (cm</w:t>
            </w:r>
            <w:r w:rsidRPr="00E26B7C">
              <w:rPr>
                <w:color w:val="000000"/>
                <w:sz w:val="14"/>
                <w:szCs w:val="14"/>
                <w:vertAlign w:val="superscript"/>
              </w:rPr>
              <w:t>2</w:t>
            </w:r>
            <w:r w:rsidRPr="00E26B7C">
              <w:rPr>
                <w:color w:val="000000"/>
                <w:sz w:val="14"/>
                <w:szCs w:val="14"/>
              </w:rPr>
              <w:t>)</w:t>
            </w:r>
          </w:p>
        </w:tc>
        <w:tc>
          <w:tcPr>
            <w:tcW w:w="1275" w:type="dxa"/>
            <w:tcBorders>
              <w:top w:val="nil"/>
              <w:left w:val="nil"/>
              <w:bottom w:val="nil"/>
              <w:right w:val="nil"/>
            </w:tcBorders>
            <w:vAlign w:val="center"/>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8.37 ± 2.94</w:t>
            </w:r>
          </w:p>
        </w:tc>
        <w:tc>
          <w:tcPr>
            <w:tcW w:w="1276" w:type="dxa"/>
            <w:tcBorders>
              <w:top w:val="nil"/>
              <w:left w:val="nil"/>
              <w:bottom w:val="nil"/>
              <w:right w:val="nil"/>
            </w:tcBorders>
            <w:vAlign w:val="center"/>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10.37 ± 4.96</w:t>
            </w:r>
          </w:p>
        </w:tc>
        <w:tc>
          <w:tcPr>
            <w:tcW w:w="1276" w:type="dxa"/>
            <w:tcBorders>
              <w:top w:val="nil"/>
              <w:left w:val="nil"/>
              <w:bottom w:val="nil"/>
              <w:right w:val="nil"/>
            </w:tcBorders>
            <w:vAlign w:val="center"/>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9.04 ± 2.69</w:t>
            </w:r>
          </w:p>
        </w:tc>
        <w:tc>
          <w:tcPr>
            <w:tcW w:w="1276" w:type="dxa"/>
            <w:tcBorders>
              <w:top w:val="nil"/>
              <w:left w:val="nil"/>
              <w:bottom w:val="nil"/>
              <w:right w:val="nil"/>
            </w:tcBorders>
            <w:vAlign w:val="center"/>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8.67 ± 3.10</w:t>
            </w:r>
          </w:p>
        </w:tc>
        <w:tc>
          <w:tcPr>
            <w:tcW w:w="1275" w:type="dxa"/>
            <w:tcBorders>
              <w:top w:val="nil"/>
              <w:left w:val="nil"/>
              <w:bottom w:val="nil"/>
              <w:right w:val="nil"/>
            </w:tcBorders>
            <w:vAlign w:val="center"/>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8.95 ± 2.80</w:t>
            </w:r>
          </w:p>
        </w:tc>
        <w:tc>
          <w:tcPr>
            <w:tcW w:w="820" w:type="dxa"/>
            <w:tcBorders>
              <w:top w:val="nil"/>
              <w:left w:val="nil"/>
              <w:bottom w:val="nil"/>
              <w:right w:val="nil"/>
            </w:tcBorders>
            <w:vAlign w:val="center"/>
          </w:tcPr>
          <w:p w:rsidR="002E046A" w:rsidRPr="00E26B7C" w:rsidRDefault="002E046A" w:rsidP="003C617E">
            <w:pPr>
              <w:spacing w:before="20" w:after="20" w:line="240" w:lineRule="auto"/>
              <w:jc w:val="center"/>
              <w:rPr>
                <w:bCs/>
                <w:sz w:val="14"/>
                <w:szCs w:val="14"/>
              </w:rPr>
            </w:pPr>
            <w:r w:rsidRPr="00E26B7C">
              <w:rPr>
                <w:bCs/>
                <w:sz w:val="14"/>
                <w:szCs w:val="14"/>
              </w:rPr>
              <w:t>0.145</w:t>
            </w:r>
          </w:p>
        </w:tc>
        <w:tc>
          <w:tcPr>
            <w:tcW w:w="3150" w:type="dxa"/>
            <w:tcBorders>
              <w:top w:val="nil"/>
              <w:left w:val="nil"/>
              <w:bottom w:val="nil"/>
              <w:right w:val="nil"/>
            </w:tcBorders>
            <w:vAlign w:val="center"/>
          </w:tcPr>
          <w:p w:rsidR="002E046A" w:rsidRPr="00E26B7C" w:rsidRDefault="002E046A" w:rsidP="003C617E">
            <w:pPr>
              <w:spacing w:before="20" w:after="20" w:line="240" w:lineRule="auto"/>
              <w:jc w:val="center"/>
              <w:rPr>
                <w:color w:val="000000"/>
                <w:sz w:val="14"/>
                <w:szCs w:val="14"/>
              </w:rPr>
            </w:pP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PTI (kPa s)</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42.83 ± 10.13</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39.33 ± 11.51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38.88 ± 9.44</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38.92 ± 10.85</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38.46 ± 10.56</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sz w:val="14"/>
                <w:szCs w:val="14"/>
              </w:rPr>
            </w:pPr>
            <w:r w:rsidRPr="00E26B7C">
              <w:rPr>
                <w:sz w:val="14"/>
                <w:szCs w:val="14"/>
              </w:rPr>
              <w:t>0.019</w:t>
            </w:r>
            <w:r w:rsidRPr="00E26B7C">
              <w:rPr>
                <w:bCs/>
                <w:sz w:val="14"/>
                <w:szCs w:val="14"/>
              </w:rPr>
              <w:t>*</w:t>
            </w:r>
          </w:p>
        </w:tc>
        <w:tc>
          <w:tcPr>
            <w:tcW w:w="3150" w:type="dxa"/>
            <w:tcBorders>
              <w:top w:val="nil"/>
              <w:left w:val="nil"/>
              <w:bottom w:val="nil"/>
              <w:right w:val="nil"/>
            </w:tcBorders>
            <w:vAlign w:val="center"/>
          </w:tcPr>
          <w:p w:rsidR="002E046A" w:rsidRPr="00E26B7C" w:rsidRDefault="002E046A" w:rsidP="003C617E">
            <w:pPr>
              <w:spacing w:before="20" w:after="20" w:line="240" w:lineRule="auto"/>
              <w:rPr>
                <w:color w:val="000000"/>
                <w:sz w:val="14"/>
                <w:szCs w:val="14"/>
              </w:rPr>
            </w:pPr>
            <w:r w:rsidRPr="00E26B7C">
              <w:rPr>
                <w:color w:val="000000"/>
                <w:sz w:val="14"/>
                <w:szCs w:val="14"/>
              </w:rPr>
              <w:t>SO &gt; EVA LD</w:t>
            </w:r>
          </w:p>
        </w:tc>
      </w:tr>
      <w:tr w:rsidR="002E046A" w:rsidRPr="004E3297" w:rsidTr="003C617E">
        <w:tc>
          <w:tcPr>
            <w:tcW w:w="817" w:type="dxa"/>
            <w:vMerge w:val="restart"/>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Lateral mets</w:t>
            </w:r>
          </w:p>
        </w:tc>
        <w:tc>
          <w:tcPr>
            <w:tcW w:w="1985" w:type="dxa"/>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Peak Pressure (kPa)</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403.46 ± 102.03</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377.06 ± 103.38</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343.61 ± 84.37</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367.84 ± 65.86</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336.85 ± 65.77</w:t>
            </w:r>
          </w:p>
        </w:tc>
        <w:tc>
          <w:tcPr>
            <w:tcW w:w="820" w:type="dxa"/>
            <w:tcBorders>
              <w:top w:val="nil"/>
              <w:left w:val="nil"/>
              <w:bottom w:val="nil"/>
              <w:right w:val="nil"/>
            </w:tcBorders>
            <w:vAlign w:val="bottom"/>
          </w:tcPr>
          <w:p w:rsidR="002E046A" w:rsidRPr="00E26B7C" w:rsidRDefault="002E046A" w:rsidP="003C617E">
            <w:pPr>
              <w:spacing w:before="120" w:after="20" w:line="240" w:lineRule="auto"/>
              <w:jc w:val="center"/>
              <w:rPr>
                <w:bCs/>
                <w:sz w:val="14"/>
                <w:szCs w:val="14"/>
              </w:rPr>
            </w:pPr>
            <w:r w:rsidRPr="00E26B7C">
              <w:rPr>
                <w:bCs/>
                <w:sz w:val="14"/>
                <w:szCs w:val="14"/>
              </w:rPr>
              <w:t>0.001*</w:t>
            </w:r>
          </w:p>
        </w:tc>
        <w:tc>
          <w:tcPr>
            <w:tcW w:w="3150" w:type="dxa"/>
            <w:tcBorders>
              <w:top w:val="nil"/>
              <w:left w:val="nil"/>
              <w:bottom w:val="nil"/>
              <w:right w:val="nil"/>
            </w:tcBorders>
            <w:vAlign w:val="bottom"/>
          </w:tcPr>
          <w:p w:rsidR="002E046A" w:rsidRPr="00E26B7C" w:rsidRDefault="002E046A" w:rsidP="003C617E">
            <w:pPr>
              <w:spacing w:before="120" w:after="20" w:line="240" w:lineRule="auto"/>
              <w:rPr>
                <w:color w:val="000000"/>
                <w:sz w:val="14"/>
                <w:szCs w:val="14"/>
              </w:rPr>
            </w:pPr>
            <w:r>
              <w:rPr>
                <w:color w:val="000000"/>
                <w:sz w:val="14"/>
                <w:szCs w:val="14"/>
              </w:rPr>
              <w:t>SO &gt; PU LD +</w:t>
            </w:r>
            <w:r w:rsidRPr="00E26B7C">
              <w:rPr>
                <w:color w:val="000000"/>
                <w:sz w:val="14"/>
                <w:szCs w:val="14"/>
              </w:rPr>
              <w:t xml:space="preserve"> EVA LD; EVA MD &gt; EVA LD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Peak force (N/BW)</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0.066 ± 0.02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0.062 ± 0.02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0.056 ± 0.02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0.060 ± 0.01</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0.055 ± 0.01</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bCs/>
                <w:sz w:val="14"/>
                <w:szCs w:val="14"/>
              </w:rPr>
            </w:pPr>
            <w:r w:rsidRPr="00E26B7C">
              <w:rPr>
                <w:bCs/>
                <w:sz w:val="14"/>
                <w:szCs w:val="14"/>
              </w:rPr>
              <w:t>0.001*</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&gt; PU LD + EVA LD; EVA MD &gt; EVA LD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Average contact area (cm</w:t>
            </w:r>
            <w:r w:rsidRPr="00E26B7C">
              <w:rPr>
                <w:color w:val="000000"/>
                <w:sz w:val="14"/>
                <w:szCs w:val="14"/>
                <w:vertAlign w:val="superscript"/>
              </w:rPr>
              <w:t>2</w:t>
            </w:r>
            <w:r w:rsidRPr="00E26B7C">
              <w:rPr>
                <w:color w:val="000000"/>
                <w:sz w:val="14"/>
                <w:szCs w:val="14"/>
              </w:rPr>
              <w:t>)</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23.00 ± 4.54</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26.08 ± 6.83</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24.27 ± 5.62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23.55 ± 6.10</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23.60 ± 5.54</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bCs/>
                <w:sz w:val="14"/>
                <w:szCs w:val="14"/>
              </w:rPr>
            </w:pPr>
            <w:r w:rsidRPr="00E26B7C">
              <w:rPr>
                <w:bCs/>
                <w:sz w:val="14"/>
                <w:szCs w:val="14"/>
              </w:rPr>
              <w:t>0.004*</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NSD in post hoc tests</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PTI (kPa s)</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56.08 ± 8.65</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50.99 ± 6.71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47.73 ± 7.89</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50.12 ± 6.43</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49.14 ± 9.36</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bCs/>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&gt; PU MD, PU LD, EVA MD + EVA LD</w:t>
            </w:r>
          </w:p>
        </w:tc>
      </w:tr>
      <w:tr w:rsidR="002E046A" w:rsidRPr="004E3297" w:rsidTr="003C617E">
        <w:tc>
          <w:tcPr>
            <w:tcW w:w="817" w:type="dxa"/>
            <w:vMerge w:val="restart"/>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Midfoot</w:t>
            </w:r>
          </w:p>
        </w:tc>
        <w:tc>
          <w:tcPr>
            <w:tcW w:w="1985" w:type="dxa"/>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Peak Pressure (kPa)</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 xml:space="preserve">78.10 ± 31.59  </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99.51 ± 34.17</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92.34 ± 34.45</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110.23 ± 38.45</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98.38 ± 38.19</w:t>
            </w:r>
          </w:p>
        </w:tc>
        <w:tc>
          <w:tcPr>
            <w:tcW w:w="820" w:type="dxa"/>
            <w:tcBorders>
              <w:top w:val="nil"/>
              <w:left w:val="nil"/>
              <w:bottom w:val="nil"/>
              <w:right w:val="nil"/>
            </w:tcBorders>
            <w:vAlign w:val="bottom"/>
          </w:tcPr>
          <w:p w:rsidR="002E046A" w:rsidRPr="00E26B7C" w:rsidRDefault="002E046A" w:rsidP="003C617E">
            <w:pPr>
              <w:spacing w:before="120" w:after="20" w:line="240" w:lineRule="auto"/>
              <w:jc w:val="center"/>
              <w:rPr>
                <w:sz w:val="14"/>
                <w:szCs w:val="14"/>
              </w:rPr>
            </w:pPr>
            <w:r w:rsidRPr="00E26B7C">
              <w:rPr>
                <w:sz w:val="14"/>
                <w:szCs w:val="14"/>
              </w:rPr>
              <w:t>0.004</w:t>
            </w:r>
            <w:r w:rsidRPr="00E26B7C">
              <w:rPr>
                <w:bCs/>
                <w:sz w:val="14"/>
                <w:szCs w:val="14"/>
              </w:rPr>
              <w:t>*</w:t>
            </w:r>
          </w:p>
        </w:tc>
        <w:tc>
          <w:tcPr>
            <w:tcW w:w="3150" w:type="dxa"/>
            <w:tcBorders>
              <w:top w:val="nil"/>
              <w:left w:val="nil"/>
              <w:bottom w:val="nil"/>
              <w:right w:val="nil"/>
            </w:tcBorders>
            <w:vAlign w:val="bottom"/>
          </w:tcPr>
          <w:p w:rsidR="002E046A" w:rsidRPr="00E26B7C" w:rsidRDefault="002E046A" w:rsidP="003C617E">
            <w:pPr>
              <w:spacing w:before="120" w:after="20" w:line="240" w:lineRule="auto"/>
              <w:rPr>
                <w:color w:val="000000"/>
                <w:sz w:val="14"/>
                <w:szCs w:val="14"/>
              </w:rPr>
            </w:pPr>
            <w:r w:rsidRPr="00E26B7C">
              <w:rPr>
                <w:color w:val="000000"/>
                <w:sz w:val="14"/>
                <w:szCs w:val="14"/>
              </w:rPr>
              <w:t>SO &lt; EVA MD</w:t>
            </w:r>
          </w:p>
        </w:tc>
      </w:tr>
      <w:tr w:rsidR="002E046A" w:rsidRPr="004E3297" w:rsidTr="003C617E">
        <w:tc>
          <w:tcPr>
            <w:tcW w:w="817" w:type="dxa"/>
            <w:vMerge/>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Peak force (N/BW)</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0.012 ± 0.00</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0.016 ± 0.00</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0.015 ± 0.01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0.018 ± 0.01</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0.016 ± 0.01</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sz w:val="14"/>
                <w:szCs w:val="14"/>
              </w:rPr>
            </w:pPr>
            <w:r w:rsidRPr="00E26B7C">
              <w:rPr>
                <w:sz w:val="14"/>
                <w:szCs w:val="14"/>
              </w:rPr>
              <w:t>0.002</w:t>
            </w:r>
            <w:r w:rsidRPr="00E26B7C">
              <w:rPr>
                <w:bCs/>
                <w:sz w:val="14"/>
                <w:szCs w:val="14"/>
              </w:rPr>
              <w:t>*</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&lt; PU MD + EVA MD</w:t>
            </w:r>
          </w:p>
        </w:tc>
      </w:tr>
      <w:tr w:rsidR="002E046A" w:rsidRPr="004E3297" w:rsidTr="003C617E">
        <w:tc>
          <w:tcPr>
            <w:tcW w:w="817" w:type="dxa"/>
            <w:vMerge/>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Average contact area (cm</w:t>
            </w:r>
            <w:r w:rsidRPr="00E26B7C">
              <w:rPr>
                <w:color w:val="000000"/>
                <w:sz w:val="14"/>
                <w:szCs w:val="14"/>
                <w:vertAlign w:val="superscript"/>
              </w:rPr>
              <w:t>2</w:t>
            </w:r>
            <w:r w:rsidRPr="00E26B7C">
              <w:rPr>
                <w:color w:val="000000"/>
                <w:sz w:val="14"/>
                <w:szCs w:val="14"/>
              </w:rPr>
              <w:t>)</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7.09 ± 4.08</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16.96 ± 6.21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15.57 ± 5.66</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15.13 ± 7.06</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15.23 ± 7.27</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bCs/>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&lt; PU MD, PU LD, EVA MD + EVA LD</w:t>
            </w:r>
          </w:p>
        </w:tc>
      </w:tr>
      <w:tr w:rsidR="002E046A" w:rsidRPr="004E3297" w:rsidTr="003C617E">
        <w:tc>
          <w:tcPr>
            <w:tcW w:w="817" w:type="dxa"/>
            <w:vMerge/>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PTI (kPa s)</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19.76 ± 5.33</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24.79 ± 5.02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23.39 ± 6.37</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25.34 ± 6.16</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24.35 ± 6.82</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&lt; PU MD,EVA MD + EVA LD</w:t>
            </w:r>
          </w:p>
        </w:tc>
      </w:tr>
      <w:tr w:rsidR="002E046A" w:rsidRPr="004E3297" w:rsidTr="003C617E">
        <w:tc>
          <w:tcPr>
            <w:tcW w:w="817" w:type="dxa"/>
            <w:vMerge w:val="restart"/>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Medial heel</w:t>
            </w:r>
          </w:p>
        </w:tc>
        <w:tc>
          <w:tcPr>
            <w:tcW w:w="1985" w:type="dxa"/>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Peak Pressure (kPa)</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299.45 ± 120.79</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185.67 ± 57.85</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185.87 ± 55.76</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176.13 ± 58.18</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172.67 ± 51.51</w:t>
            </w:r>
          </w:p>
        </w:tc>
        <w:tc>
          <w:tcPr>
            <w:tcW w:w="820" w:type="dxa"/>
            <w:tcBorders>
              <w:top w:val="nil"/>
              <w:left w:val="nil"/>
              <w:bottom w:val="nil"/>
              <w:right w:val="nil"/>
            </w:tcBorders>
            <w:vAlign w:val="bottom"/>
          </w:tcPr>
          <w:p w:rsidR="002E046A" w:rsidRPr="00E26B7C" w:rsidRDefault="002E046A" w:rsidP="003C617E">
            <w:pPr>
              <w:spacing w:before="120" w:after="20" w:line="240" w:lineRule="auto"/>
              <w:jc w:val="center"/>
              <w:rPr>
                <w:bCs/>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120" w:after="20" w:line="240" w:lineRule="auto"/>
              <w:rPr>
                <w:color w:val="000000"/>
                <w:sz w:val="14"/>
                <w:szCs w:val="14"/>
              </w:rPr>
            </w:pPr>
            <w:r w:rsidRPr="00E26B7C">
              <w:rPr>
                <w:color w:val="000000"/>
                <w:sz w:val="14"/>
                <w:szCs w:val="14"/>
              </w:rPr>
              <w:t>SO &gt; PU MD, PU LD, EVA MD + EVA LD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Peak force (N/BW)</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0.048 ± 0.02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0.030 ± 0.01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0.030 ± 0.01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0.028 ± 0.01</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0.028 ± 0.01</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bCs/>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&gt; PU MD, PU LD, EVA MD + EVA LD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Average contact area (cm</w:t>
            </w:r>
            <w:r w:rsidRPr="00E26B7C">
              <w:rPr>
                <w:color w:val="000000"/>
                <w:sz w:val="14"/>
                <w:szCs w:val="14"/>
                <w:vertAlign w:val="superscript"/>
              </w:rPr>
              <w:t>2</w:t>
            </w:r>
            <w:r w:rsidRPr="00E26B7C">
              <w:rPr>
                <w:color w:val="000000"/>
                <w:sz w:val="14"/>
                <w:szCs w:val="14"/>
              </w:rPr>
              <w:t>)</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6.80 ± 2.34</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10.56 ± 4.93</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8.37 ± 2.40</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8.82 ± 2.74</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8.43 ± 1.72</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sz w:val="14"/>
                <w:szCs w:val="14"/>
              </w:rPr>
            </w:pPr>
            <w:r w:rsidRPr="00E26B7C">
              <w:rPr>
                <w:sz w:val="14"/>
                <w:szCs w:val="14"/>
              </w:rPr>
              <w:t>0.017</w:t>
            </w:r>
            <w:r w:rsidRPr="00E26B7C">
              <w:rPr>
                <w:bCs/>
                <w:sz w:val="14"/>
                <w:szCs w:val="14"/>
              </w:rPr>
              <w:t>*</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NSD in post hoc tests</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PTI (kPa s)</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50.31 ± 23.35</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31.64 ± 10.87</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31.27 ± 11.15</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30.73 ± 9.33</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29.17 ± 9.44</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&gt; PU MD, PU LD, EVA MD + EVA LD</w:t>
            </w:r>
          </w:p>
        </w:tc>
      </w:tr>
      <w:tr w:rsidR="002E046A" w:rsidRPr="004E3297" w:rsidTr="003C617E">
        <w:tc>
          <w:tcPr>
            <w:tcW w:w="817" w:type="dxa"/>
            <w:vMerge w:val="restart"/>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Lateral heel</w:t>
            </w:r>
          </w:p>
        </w:tc>
        <w:tc>
          <w:tcPr>
            <w:tcW w:w="1985" w:type="dxa"/>
            <w:tcBorders>
              <w:top w:val="nil"/>
              <w:left w:val="nil"/>
              <w:bottom w:val="nil"/>
              <w:right w:val="nil"/>
            </w:tcBorders>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Peak Pressure (kPa)</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325.84 ± 100.19</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189.66 ± 61.50</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194.31 ± 60.10</w:t>
            </w:r>
          </w:p>
        </w:tc>
        <w:tc>
          <w:tcPr>
            <w:tcW w:w="1276"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182.48 ± 49.40</w:t>
            </w:r>
          </w:p>
        </w:tc>
        <w:tc>
          <w:tcPr>
            <w:tcW w:w="1275" w:type="dxa"/>
            <w:tcBorders>
              <w:top w:val="nil"/>
              <w:left w:val="nil"/>
              <w:bottom w:val="nil"/>
              <w:right w:val="nil"/>
            </w:tcBorders>
            <w:vAlign w:val="bottom"/>
          </w:tcPr>
          <w:p w:rsidR="002E046A" w:rsidRPr="00E26B7C" w:rsidRDefault="002E046A" w:rsidP="003C617E">
            <w:pPr>
              <w:spacing w:before="120" w:after="20" w:line="240" w:lineRule="auto"/>
              <w:jc w:val="center"/>
              <w:rPr>
                <w:color w:val="000000"/>
                <w:sz w:val="14"/>
                <w:szCs w:val="14"/>
              </w:rPr>
            </w:pPr>
            <w:r w:rsidRPr="00E26B7C">
              <w:rPr>
                <w:color w:val="000000"/>
                <w:sz w:val="14"/>
                <w:szCs w:val="14"/>
              </w:rPr>
              <w:t>180.99 ± 50.85</w:t>
            </w:r>
          </w:p>
        </w:tc>
        <w:tc>
          <w:tcPr>
            <w:tcW w:w="820" w:type="dxa"/>
            <w:tcBorders>
              <w:top w:val="nil"/>
              <w:left w:val="nil"/>
              <w:bottom w:val="nil"/>
              <w:right w:val="nil"/>
            </w:tcBorders>
            <w:vAlign w:val="bottom"/>
          </w:tcPr>
          <w:p w:rsidR="002E046A" w:rsidRPr="00E26B7C" w:rsidRDefault="002E046A" w:rsidP="003C617E">
            <w:pPr>
              <w:spacing w:before="120" w:after="20" w:line="240" w:lineRule="auto"/>
              <w:jc w:val="center"/>
              <w:rPr>
                <w:bCs/>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120" w:after="20" w:line="240" w:lineRule="auto"/>
              <w:rPr>
                <w:color w:val="000000"/>
                <w:sz w:val="14"/>
                <w:szCs w:val="14"/>
              </w:rPr>
            </w:pPr>
            <w:r w:rsidRPr="00E26B7C">
              <w:rPr>
                <w:color w:val="000000"/>
                <w:sz w:val="14"/>
                <w:szCs w:val="14"/>
              </w:rPr>
              <w:t>SO &gt; PU MD, PU LD, EVA MD + EVA LD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Peak force (N/BW)</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0.053 ± 0.02</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0.031 ± 0.01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0.032 ± 0.01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0.030 ± 0.01</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0.030 ± 0.01</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sz w:val="14"/>
                <w:szCs w:val="14"/>
              </w:rPr>
            </w:pPr>
            <w:r w:rsidRPr="00E26B7C">
              <w:rPr>
                <w:bCs/>
                <w:sz w:val="14"/>
                <w:szCs w:val="14"/>
              </w:rPr>
              <w:t>&lt; 0.001*</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&gt; PU MD, PU LD, EVA MD + EVA LD</w:t>
            </w:r>
          </w:p>
        </w:tc>
      </w:tr>
      <w:tr w:rsidR="002E046A" w:rsidRPr="004E3297" w:rsidTr="003C617E">
        <w:tc>
          <w:tcPr>
            <w:tcW w:w="817" w:type="dxa"/>
            <w:vMerge/>
            <w:tcBorders>
              <w:top w:val="nil"/>
              <w:left w:val="nil"/>
              <w:bottom w:val="nil"/>
              <w:right w:val="nil"/>
            </w:tcBorders>
          </w:tcPr>
          <w:p w:rsidR="002E046A" w:rsidRPr="00E26B7C" w:rsidRDefault="002E046A" w:rsidP="003C617E">
            <w:pPr>
              <w:spacing w:before="20" w:after="20" w:line="240" w:lineRule="auto"/>
              <w:rPr>
                <w:color w:val="000000"/>
                <w:sz w:val="14"/>
                <w:szCs w:val="14"/>
              </w:rPr>
            </w:pPr>
          </w:p>
        </w:tc>
        <w:tc>
          <w:tcPr>
            <w:tcW w:w="1985" w:type="dxa"/>
            <w:tcBorders>
              <w:top w:val="nil"/>
              <w:left w:val="nil"/>
              <w:bottom w:val="nil"/>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Average contact area (cm</w:t>
            </w:r>
            <w:r w:rsidRPr="00E26B7C">
              <w:rPr>
                <w:color w:val="000000"/>
                <w:sz w:val="14"/>
                <w:szCs w:val="14"/>
                <w:vertAlign w:val="superscript"/>
              </w:rPr>
              <w:t>2</w:t>
            </w:r>
            <w:r w:rsidRPr="00E26B7C">
              <w:rPr>
                <w:color w:val="000000"/>
                <w:sz w:val="14"/>
                <w:szCs w:val="14"/>
              </w:rPr>
              <w:t>)</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11.87 ± 2.81</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13.39 ± 4.57</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12.21 ± 2.67</w:t>
            </w:r>
          </w:p>
        </w:tc>
        <w:tc>
          <w:tcPr>
            <w:tcW w:w="1276"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12.33 ± 2.67</w:t>
            </w:r>
          </w:p>
        </w:tc>
        <w:tc>
          <w:tcPr>
            <w:tcW w:w="1275" w:type="dxa"/>
            <w:tcBorders>
              <w:top w:val="nil"/>
              <w:left w:val="nil"/>
              <w:bottom w:val="nil"/>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12.36 ± 2.98</w:t>
            </w:r>
          </w:p>
        </w:tc>
        <w:tc>
          <w:tcPr>
            <w:tcW w:w="820" w:type="dxa"/>
            <w:tcBorders>
              <w:top w:val="nil"/>
              <w:left w:val="nil"/>
              <w:bottom w:val="nil"/>
              <w:right w:val="nil"/>
            </w:tcBorders>
            <w:vAlign w:val="bottom"/>
          </w:tcPr>
          <w:p w:rsidR="002E046A" w:rsidRPr="00E26B7C" w:rsidRDefault="002E046A" w:rsidP="003C617E">
            <w:pPr>
              <w:spacing w:before="20" w:after="20" w:line="240" w:lineRule="auto"/>
              <w:jc w:val="center"/>
              <w:rPr>
                <w:sz w:val="14"/>
                <w:szCs w:val="14"/>
              </w:rPr>
            </w:pPr>
            <w:r w:rsidRPr="00E26B7C">
              <w:rPr>
                <w:sz w:val="14"/>
                <w:szCs w:val="14"/>
              </w:rPr>
              <w:t>0.287</w:t>
            </w:r>
          </w:p>
        </w:tc>
        <w:tc>
          <w:tcPr>
            <w:tcW w:w="3150" w:type="dxa"/>
            <w:tcBorders>
              <w:top w:val="nil"/>
              <w:left w:val="nil"/>
              <w:bottom w:val="nil"/>
              <w:right w:val="nil"/>
            </w:tcBorders>
            <w:vAlign w:val="bottom"/>
          </w:tcPr>
          <w:p w:rsidR="002E046A" w:rsidRPr="00E26B7C" w:rsidRDefault="002E046A" w:rsidP="003C617E">
            <w:pPr>
              <w:spacing w:before="20" w:after="20" w:line="240" w:lineRule="auto"/>
              <w:rPr>
                <w:color w:val="000000"/>
                <w:sz w:val="14"/>
                <w:szCs w:val="14"/>
              </w:rPr>
            </w:pPr>
          </w:p>
        </w:tc>
      </w:tr>
      <w:tr w:rsidR="002E046A" w:rsidRPr="004E3297" w:rsidTr="003C617E">
        <w:tc>
          <w:tcPr>
            <w:tcW w:w="817" w:type="dxa"/>
            <w:vMerge/>
            <w:tcBorders>
              <w:top w:val="nil"/>
              <w:left w:val="nil"/>
              <w:bottom w:val="single" w:sz="4" w:space="0" w:color="auto"/>
              <w:right w:val="nil"/>
            </w:tcBorders>
          </w:tcPr>
          <w:p w:rsidR="002E046A" w:rsidRPr="00E26B7C" w:rsidRDefault="002E046A" w:rsidP="003C617E">
            <w:pPr>
              <w:spacing w:before="20" w:after="20" w:line="240" w:lineRule="auto"/>
              <w:rPr>
                <w:color w:val="000000"/>
                <w:sz w:val="14"/>
                <w:szCs w:val="14"/>
              </w:rPr>
            </w:pPr>
          </w:p>
        </w:tc>
        <w:tc>
          <w:tcPr>
            <w:tcW w:w="1985" w:type="dxa"/>
            <w:tcBorders>
              <w:top w:val="nil"/>
              <w:left w:val="nil"/>
              <w:bottom w:val="single" w:sz="4" w:space="0" w:color="auto"/>
              <w:right w:val="nil"/>
            </w:tcBorders>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PTI (kPa s)</w:t>
            </w:r>
          </w:p>
        </w:tc>
        <w:tc>
          <w:tcPr>
            <w:tcW w:w="1275" w:type="dxa"/>
            <w:tcBorders>
              <w:top w:val="nil"/>
              <w:left w:val="nil"/>
              <w:bottom w:val="single" w:sz="4" w:space="0" w:color="auto"/>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46.80 ± 16.86</w:t>
            </w:r>
          </w:p>
        </w:tc>
        <w:tc>
          <w:tcPr>
            <w:tcW w:w="1276" w:type="dxa"/>
            <w:tcBorders>
              <w:top w:val="nil"/>
              <w:left w:val="nil"/>
              <w:bottom w:val="single" w:sz="4" w:space="0" w:color="auto"/>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31.87 ± 10.34</w:t>
            </w:r>
          </w:p>
        </w:tc>
        <w:tc>
          <w:tcPr>
            <w:tcW w:w="1276" w:type="dxa"/>
            <w:tcBorders>
              <w:top w:val="nil"/>
              <w:left w:val="nil"/>
              <w:bottom w:val="single" w:sz="4" w:space="0" w:color="auto"/>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32.34 ± 9.85</w:t>
            </w:r>
          </w:p>
        </w:tc>
        <w:tc>
          <w:tcPr>
            <w:tcW w:w="1276" w:type="dxa"/>
            <w:tcBorders>
              <w:top w:val="nil"/>
              <w:left w:val="nil"/>
              <w:bottom w:val="single" w:sz="4" w:space="0" w:color="auto"/>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31.74 ± 7.73</w:t>
            </w:r>
          </w:p>
        </w:tc>
        <w:tc>
          <w:tcPr>
            <w:tcW w:w="1275" w:type="dxa"/>
            <w:tcBorders>
              <w:top w:val="nil"/>
              <w:left w:val="nil"/>
              <w:bottom w:val="single" w:sz="4" w:space="0" w:color="auto"/>
              <w:right w:val="nil"/>
            </w:tcBorders>
            <w:vAlign w:val="bottom"/>
          </w:tcPr>
          <w:p w:rsidR="002E046A" w:rsidRPr="00E26B7C" w:rsidRDefault="002E046A" w:rsidP="003C617E">
            <w:pPr>
              <w:spacing w:before="20" w:after="20" w:line="240" w:lineRule="auto"/>
              <w:jc w:val="center"/>
              <w:rPr>
                <w:color w:val="000000"/>
                <w:sz w:val="14"/>
                <w:szCs w:val="14"/>
              </w:rPr>
            </w:pPr>
            <w:r w:rsidRPr="00E26B7C">
              <w:rPr>
                <w:color w:val="000000"/>
                <w:sz w:val="14"/>
                <w:szCs w:val="14"/>
              </w:rPr>
              <w:t>30.31 ± 8.34</w:t>
            </w:r>
          </w:p>
        </w:tc>
        <w:tc>
          <w:tcPr>
            <w:tcW w:w="820" w:type="dxa"/>
            <w:tcBorders>
              <w:top w:val="nil"/>
              <w:left w:val="nil"/>
              <w:bottom w:val="single" w:sz="4" w:space="0" w:color="auto"/>
              <w:right w:val="nil"/>
            </w:tcBorders>
            <w:vAlign w:val="bottom"/>
          </w:tcPr>
          <w:p w:rsidR="002E046A" w:rsidRPr="00E26B7C" w:rsidRDefault="002E046A" w:rsidP="003C617E">
            <w:pPr>
              <w:spacing w:before="20" w:after="20" w:line="240" w:lineRule="auto"/>
              <w:jc w:val="center"/>
              <w:rPr>
                <w:sz w:val="14"/>
                <w:szCs w:val="14"/>
              </w:rPr>
            </w:pPr>
            <w:r w:rsidRPr="00E26B7C">
              <w:rPr>
                <w:bCs/>
                <w:sz w:val="14"/>
                <w:szCs w:val="14"/>
              </w:rPr>
              <w:t>&lt; 0.001*</w:t>
            </w:r>
          </w:p>
        </w:tc>
        <w:tc>
          <w:tcPr>
            <w:tcW w:w="3150" w:type="dxa"/>
            <w:tcBorders>
              <w:top w:val="nil"/>
              <w:left w:val="nil"/>
              <w:bottom w:val="single" w:sz="4" w:space="0" w:color="auto"/>
              <w:right w:val="nil"/>
            </w:tcBorders>
            <w:vAlign w:val="bottom"/>
          </w:tcPr>
          <w:p w:rsidR="002E046A" w:rsidRPr="00E26B7C" w:rsidRDefault="002E046A" w:rsidP="003C617E">
            <w:pPr>
              <w:spacing w:before="20" w:after="20" w:line="240" w:lineRule="auto"/>
              <w:rPr>
                <w:color w:val="000000"/>
                <w:sz w:val="14"/>
                <w:szCs w:val="14"/>
              </w:rPr>
            </w:pPr>
            <w:r w:rsidRPr="00E26B7C">
              <w:rPr>
                <w:color w:val="000000"/>
                <w:sz w:val="14"/>
                <w:szCs w:val="14"/>
              </w:rPr>
              <w:t>SO &gt; PU MD, PU LD, EVA MD + EVA LD</w:t>
            </w:r>
          </w:p>
        </w:tc>
      </w:tr>
    </w:tbl>
    <w:p w:rsidR="002E046A" w:rsidRPr="004639C5" w:rsidRDefault="002E046A" w:rsidP="002E046A">
      <w:pPr>
        <w:spacing w:after="0" w:line="240" w:lineRule="auto"/>
        <w:rPr>
          <w:sz w:val="14"/>
          <w:szCs w:val="14"/>
        </w:rPr>
      </w:pPr>
      <w:r w:rsidRPr="004639C5">
        <w:rPr>
          <w:sz w:val="14"/>
          <w:szCs w:val="14"/>
        </w:rPr>
        <w:t>Note: SO = Shoe only; PU MD = PU medium density; PU LD = PU low density; EVA MD = EVA medium density; EVA LD = EVA low density</w:t>
      </w:r>
      <w:r>
        <w:rPr>
          <w:sz w:val="14"/>
          <w:szCs w:val="14"/>
        </w:rPr>
        <w:t>; NSD = no significant difference</w:t>
      </w:r>
    </w:p>
    <w:p w:rsidR="002E046A" w:rsidRPr="004639C5" w:rsidRDefault="002E046A" w:rsidP="002E046A">
      <w:pPr>
        <w:spacing w:after="0" w:line="240" w:lineRule="auto"/>
        <w:rPr>
          <w:sz w:val="14"/>
          <w:szCs w:val="14"/>
        </w:rPr>
      </w:pPr>
      <w:r w:rsidRPr="004639C5">
        <w:rPr>
          <w:sz w:val="14"/>
          <w:szCs w:val="14"/>
        </w:rPr>
        <w:t>*Significant difference (p ≤ 0.05) between conditions</w:t>
      </w:r>
    </w:p>
    <w:p w:rsidR="002E046A" w:rsidRDefault="002E046A" w:rsidP="002E046A">
      <w:pPr>
        <w:spacing w:line="240" w:lineRule="auto"/>
      </w:pPr>
    </w:p>
    <w:p w:rsidR="002E046A" w:rsidRPr="00215A44" w:rsidRDefault="002E046A" w:rsidP="002E046A"/>
    <w:p w:rsidR="002E046A" w:rsidRDefault="002E046A" w:rsidP="002E046A"/>
    <w:p w:rsidR="002E046A" w:rsidRDefault="002E046A" w:rsidP="002E046A"/>
    <w:p w:rsidR="002E046A" w:rsidRDefault="002E046A" w:rsidP="002E046A"/>
    <w:p w:rsidR="002E046A" w:rsidRDefault="002E046A" w:rsidP="002E046A">
      <w:pPr>
        <w:pStyle w:val="Caption"/>
        <w:spacing w:line="240" w:lineRule="auto"/>
      </w:pPr>
      <w:bookmarkStart w:id="7" w:name="_Ref274220142"/>
      <w:r>
        <w:t>Table</w:t>
      </w:r>
      <w:bookmarkEnd w:id="7"/>
      <w:r>
        <w:t xml:space="preserve"> 4. Comparison of kinematic variables </w:t>
      </w:r>
      <w:r>
        <w:rPr>
          <w:szCs w:val="18"/>
        </w:rPr>
        <w:t xml:space="preserve">between conditions </w:t>
      </w:r>
      <w:r>
        <w:t>for custom device session</w:t>
      </w:r>
      <w:r w:rsidRPr="00B77BB4">
        <w:rPr>
          <w:szCs w:val="18"/>
        </w:rPr>
        <w:t xml:space="preserve"> </w:t>
      </w:r>
      <w:r>
        <w:t>(mean ± standard deviation).</w:t>
      </w:r>
    </w:p>
    <w:tbl>
      <w:tblPr>
        <w:tblW w:w="13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294"/>
        <w:gridCol w:w="1068"/>
        <w:gridCol w:w="1593"/>
        <w:gridCol w:w="1346"/>
        <w:gridCol w:w="1725"/>
        <w:gridCol w:w="1478"/>
        <w:gridCol w:w="828"/>
        <w:gridCol w:w="1640"/>
      </w:tblGrid>
      <w:tr w:rsidR="002E046A" w:rsidRPr="00CC79CF" w:rsidTr="003C617E">
        <w:trPr>
          <w:jc w:val="center"/>
        </w:trPr>
        <w:tc>
          <w:tcPr>
            <w:tcW w:w="1188" w:type="dxa"/>
            <w:tcBorders>
              <w:top w:val="single" w:sz="4" w:space="0" w:color="auto"/>
              <w:left w:val="nil"/>
              <w:bottom w:val="single" w:sz="4" w:space="0" w:color="auto"/>
              <w:right w:val="nil"/>
            </w:tcBorders>
          </w:tcPr>
          <w:p w:rsidR="002E046A" w:rsidRPr="00CC79CF" w:rsidRDefault="002E046A" w:rsidP="003C617E">
            <w:pPr>
              <w:spacing w:before="20" w:after="20" w:line="240" w:lineRule="auto"/>
              <w:jc w:val="center"/>
              <w:rPr>
                <w:b/>
                <w:bCs/>
                <w:color w:val="000000"/>
                <w:sz w:val="14"/>
                <w:szCs w:val="14"/>
              </w:rPr>
            </w:pPr>
            <w:r w:rsidRPr="00CC79CF">
              <w:rPr>
                <w:b/>
                <w:bCs/>
                <w:color w:val="000000"/>
                <w:sz w:val="14"/>
                <w:szCs w:val="14"/>
              </w:rPr>
              <w:t>Variable</w:t>
            </w:r>
          </w:p>
        </w:tc>
        <w:tc>
          <w:tcPr>
            <w:tcW w:w="2294" w:type="dxa"/>
            <w:tcBorders>
              <w:top w:val="single" w:sz="4" w:space="0" w:color="auto"/>
              <w:left w:val="nil"/>
              <w:bottom w:val="single" w:sz="4" w:space="0" w:color="auto"/>
              <w:right w:val="nil"/>
            </w:tcBorders>
            <w:vAlign w:val="center"/>
          </w:tcPr>
          <w:p w:rsidR="002E046A" w:rsidRPr="00CC79CF" w:rsidRDefault="002E046A" w:rsidP="003C617E">
            <w:pPr>
              <w:spacing w:before="20" w:after="20" w:line="240" w:lineRule="auto"/>
              <w:jc w:val="center"/>
              <w:rPr>
                <w:b/>
                <w:bCs/>
                <w:color w:val="000000"/>
                <w:sz w:val="14"/>
                <w:szCs w:val="14"/>
              </w:rPr>
            </w:pPr>
            <w:r w:rsidRPr="00CC79CF">
              <w:rPr>
                <w:b/>
                <w:bCs/>
                <w:color w:val="000000"/>
                <w:sz w:val="14"/>
                <w:szCs w:val="14"/>
              </w:rPr>
              <w:t>Angle (°)</w:t>
            </w:r>
          </w:p>
        </w:tc>
        <w:tc>
          <w:tcPr>
            <w:tcW w:w="1068" w:type="dxa"/>
            <w:tcBorders>
              <w:top w:val="single" w:sz="4" w:space="0" w:color="auto"/>
              <w:left w:val="nil"/>
              <w:bottom w:val="single" w:sz="4" w:space="0" w:color="auto"/>
              <w:right w:val="nil"/>
            </w:tcBorders>
            <w:vAlign w:val="center"/>
          </w:tcPr>
          <w:p w:rsidR="002E046A" w:rsidRPr="00CC79CF" w:rsidRDefault="002E046A" w:rsidP="003C617E">
            <w:pPr>
              <w:spacing w:before="20" w:after="20" w:line="240" w:lineRule="auto"/>
              <w:jc w:val="center"/>
              <w:rPr>
                <w:b/>
                <w:color w:val="000000"/>
                <w:sz w:val="14"/>
                <w:szCs w:val="14"/>
              </w:rPr>
            </w:pPr>
            <w:r w:rsidRPr="00CC79CF">
              <w:rPr>
                <w:b/>
                <w:color w:val="000000"/>
                <w:sz w:val="14"/>
                <w:szCs w:val="14"/>
              </w:rPr>
              <w:t>Shoe only</w:t>
            </w:r>
          </w:p>
        </w:tc>
        <w:tc>
          <w:tcPr>
            <w:tcW w:w="1593" w:type="dxa"/>
            <w:tcBorders>
              <w:top w:val="single" w:sz="4" w:space="0" w:color="auto"/>
              <w:left w:val="nil"/>
              <w:bottom w:val="single" w:sz="4" w:space="0" w:color="auto"/>
              <w:right w:val="nil"/>
            </w:tcBorders>
            <w:vAlign w:val="center"/>
          </w:tcPr>
          <w:p w:rsidR="002E046A" w:rsidRPr="00CC79CF" w:rsidRDefault="002E046A" w:rsidP="003C617E">
            <w:pPr>
              <w:spacing w:before="20" w:after="20" w:line="240" w:lineRule="auto"/>
              <w:jc w:val="center"/>
              <w:rPr>
                <w:b/>
                <w:color w:val="000000"/>
                <w:sz w:val="14"/>
                <w:szCs w:val="14"/>
              </w:rPr>
            </w:pPr>
            <w:r w:rsidRPr="00CC79CF">
              <w:rPr>
                <w:b/>
                <w:color w:val="000000"/>
                <w:sz w:val="14"/>
                <w:szCs w:val="14"/>
              </w:rPr>
              <w:t>PU Medium Density</w:t>
            </w:r>
          </w:p>
        </w:tc>
        <w:tc>
          <w:tcPr>
            <w:tcW w:w="1346" w:type="dxa"/>
            <w:tcBorders>
              <w:top w:val="single" w:sz="4" w:space="0" w:color="auto"/>
              <w:left w:val="nil"/>
              <w:bottom w:val="single" w:sz="4" w:space="0" w:color="auto"/>
              <w:right w:val="nil"/>
            </w:tcBorders>
            <w:vAlign w:val="center"/>
          </w:tcPr>
          <w:p w:rsidR="002E046A" w:rsidRPr="00CC79CF" w:rsidRDefault="002E046A" w:rsidP="003C617E">
            <w:pPr>
              <w:spacing w:before="20" w:after="20" w:line="240" w:lineRule="auto"/>
              <w:jc w:val="center"/>
              <w:rPr>
                <w:b/>
                <w:color w:val="000000"/>
                <w:sz w:val="14"/>
                <w:szCs w:val="14"/>
              </w:rPr>
            </w:pPr>
            <w:r w:rsidRPr="00CC79CF">
              <w:rPr>
                <w:b/>
                <w:color w:val="000000"/>
                <w:sz w:val="14"/>
                <w:szCs w:val="14"/>
              </w:rPr>
              <w:t>PU Low Density</w:t>
            </w:r>
          </w:p>
        </w:tc>
        <w:tc>
          <w:tcPr>
            <w:tcW w:w="1725" w:type="dxa"/>
            <w:tcBorders>
              <w:top w:val="single" w:sz="4" w:space="0" w:color="auto"/>
              <w:left w:val="nil"/>
              <w:bottom w:val="single" w:sz="4" w:space="0" w:color="auto"/>
              <w:right w:val="nil"/>
            </w:tcBorders>
            <w:vAlign w:val="center"/>
          </w:tcPr>
          <w:p w:rsidR="002E046A" w:rsidRPr="00CC79CF" w:rsidRDefault="002E046A" w:rsidP="003C617E">
            <w:pPr>
              <w:spacing w:before="20" w:after="20" w:line="240" w:lineRule="auto"/>
              <w:jc w:val="center"/>
              <w:rPr>
                <w:b/>
                <w:color w:val="000000"/>
                <w:sz w:val="14"/>
                <w:szCs w:val="14"/>
              </w:rPr>
            </w:pPr>
            <w:r w:rsidRPr="00CC79CF">
              <w:rPr>
                <w:b/>
                <w:color w:val="000000"/>
                <w:sz w:val="14"/>
                <w:szCs w:val="14"/>
              </w:rPr>
              <w:t>EVA  Medium Density</w:t>
            </w:r>
          </w:p>
        </w:tc>
        <w:tc>
          <w:tcPr>
            <w:tcW w:w="1478" w:type="dxa"/>
            <w:tcBorders>
              <w:top w:val="single" w:sz="4" w:space="0" w:color="auto"/>
              <w:left w:val="nil"/>
              <w:bottom w:val="single" w:sz="4" w:space="0" w:color="auto"/>
              <w:right w:val="nil"/>
            </w:tcBorders>
            <w:vAlign w:val="center"/>
          </w:tcPr>
          <w:p w:rsidR="002E046A" w:rsidRPr="00CC79CF" w:rsidRDefault="002E046A" w:rsidP="003C617E">
            <w:pPr>
              <w:spacing w:before="20" w:after="20" w:line="240" w:lineRule="auto"/>
              <w:jc w:val="center"/>
              <w:rPr>
                <w:b/>
                <w:color w:val="000000"/>
                <w:sz w:val="14"/>
                <w:szCs w:val="14"/>
              </w:rPr>
            </w:pPr>
            <w:r w:rsidRPr="00CC79CF">
              <w:rPr>
                <w:b/>
                <w:color w:val="000000"/>
                <w:sz w:val="14"/>
                <w:szCs w:val="14"/>
              </w:rPr>
              <w:t>EVA  Low Density</w:t>
            </w:r>
          </w:p>
        </w:tc>
        <w:tc>
          <w:tcPr>
            <w:tcW w:w="828" w:type="dxa"/>
            <w:tcBorders>
              <w:top w:val="single" w:sz="4" w:space="0" w:color="auto"/>
              <w:left w:val="nil"/>
              <w:bottom w:val="single" w:sz="4" w:space="0" w:color="auto"/>
              <w:right w:val="nil"/>
            </w:tcBorders>
            <w:vAlign w:val="center"/>
          </w:tcPr>
          <w:p w:rsidR="002E046A" w:rsidRPr="00CC79CF" w:rsidRDefault="002E046A" w:rsidP="003C617E">
            <w:pPr>
              <w:spacing w:before="20" w:after="20" w:line="240" w:lineRule="auto"/>
              <w:jc w:val="center"/>
              <w:rPr>
                <w:b/>
                <w:color w:val="000000"/>
                <w:sz w:val="14"/>
                <w:szCs w:val="14"/>
              </w:rPr>
            </w:pPr>
            <w:r w:rsidRPr="00CC79CF">
              <w:rPr>
                <w:b/>
                <w:color w:val="000000"/>
                <w:sz w:val="14"/>
                <w:szCs w:val="14"/>
              </w:rPr>
              <w:t>p value</w:t>
            </w:r>
          </w:p>
        </w:tc>
        <w:tc>
          <w:tcPr>
            <w:tcW w:w="1640" w:type="dxa"/>
            <w:tcBorders>
              <w:top w:val="single" w:sz="4" w:space="0" w:color="auto"/>
              <w:left w:val="nil"/>
              <w:bottom w:val="single" w:sz="4" w:space="0" w:color="auto"/>
              <w:right w:val="nil"/>
            </w:tcBorders>
            <w:vAlign w:val="center"/>
          </w:tcPr>
          <w:p w:rsidR="002E046A" w:rsidRPr="00CC79CF" w:rsidRDefault="002E046A" w:rsidP="003C617E">
            <w:pPr>
              <w:spacing w:before="20" w:after="20" w:line="240" w:lineRule="auto"/>
              <w:jc w:val="center"/>
              <w:rPr>
                <w:b/>
                <w:color w:val="000000"/>
                <w:sz w:val="14"/>
                <w:szCs w:val="14"/>
              </w:rPr>
            </w:pPr>
            <w:r w:rsidRPr="00CC79CF">
              <w:rPr>
                <w:b/>
                <w:color w:val="000000"/>
                <w:sz w:val="14"/>
                <w:szCs w:val="14"/>
              </w:rPr>
              <w:t>Post hoc result</w:t>
            </w:r>
          </w:p>
        </w:tc>
      </w:tr>
      <w:tr w:rsidR="002E046A" w:rsidRPr="00CC79CF" w:rsidTr="003C617E">
        <w:trPr>
          <w:jc w:val="center"/>
        </w:trPr>
        <w:tc>
          <w:tcPr>
            <w:tcW w:w="1188" w:type="dxa"/>
            <w:vMerge w:val="restart"/>
            <w:tcBorders>
              <w:top w:val="single" w:sz="4" w:space="0" w:color="auto"/>
              <w:left w:val="nil"/>
              <w:right w:val="nil"/>
            </w:tcBorders>
          </w:tcPr>
          <w:p w:rsidR="002E046A" w:rsidRPr="00CC79CF" w:rsidRDefault="002E046A" w:rsidP="003C617E">
            <w:pPr>
              <w:spacing w:before="20" w:after="20" w:line="240" w:lineRule="auto"/>
              <w:rPr>
                <w:color w:val="000000"/>
                <w:sz w:val="14"/>
                <w:szCs w:val="14"/>
              </w:rPr>
            </w:pPr>
            <w:r w:rsidRPr="00CC79CF">
              <w:rPr>
                <w:color w:val="000000"/>
                <w:sz w:val="14"/>
                <w:szCs w:val="14"/>
              </w:rPr>
              <w:t>Range of motion</w:t>
            </w:r>
          </w:p>
        </w:tc>
        <w:tc>
          <w:tcPr>
            <w:tcW w:w="2294" w:type="dxa"/>
            <w:tcBorders>
              <w:top w:val="single" w:sz="4" w:space="0" w:color="auto"/>
              <w:left w:val="nil"/>
              <w:bottom w:val="nil"/>
              <w:right w:val="nil"/>
            </w:tcBorders>
            <w:vAlign w:val="bottom"/>
          </w:tcPr>
          <w:p w:rsidR="002E046A" w:rsidRPr="004639C5" w:rsidRDefault="002E046A" w:rsidP="003C617E">
            <w:pPr>
              <w:spacing w:before="20" w:after="20" w:line="240" w:lineRule="auto"/>
              <w:rPr>
                <w:color w:val="000000"/>
                <w:sz w:val="14"/>
                <w:szCs w:val="14"/>
              </w:rPr>
            </w:pPr>
            <w:r>
              <w:rPr>
                <w:color w:val="000000"/>
                <w:sz w:val="14"/>
                <w:szCs w:val="14"/>
              </w:rPr>
              <w:t>Knee</w:t>
            </w:r>
            <w:r w:rsidRPr="004639C5">
              <w:rPr>
                <w:color w:val="000000"/>
                <w:sz w:val="14"/>
                <w:szCs w:val="14"/>
              </w:rPr>
              <w:t xml:space="preserve"> - Flexion</w:t>
            </w:r>
          </w:p>
        </w:tc>
        <w:tc>
          <w:tcPr>
            <w:tcW w:w="1068" w:type="dxa"/>
            <w:tcBorders>
              <w:top w:val="single" w:sz="4" w:space="0" w:color="auto"/>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62.98 ± </w:t>
            </w:r>
            <w:r w:rsidRPr="00CC79CF">
              <w:rPr>
                <w:color w:val="000000"/>
                <w:sz w:val="14"/>
                <w:szCs w:val="14"/>
                <w:lang w:eastAsia="en-GB"/>
              </w:rPr>
              <w:t>3.79</w:t>
            </w:r>
          </w:p>
        </w:tc>
        <w:tc>
          <w:tcPr>
            <w:tcW w:w="1593" w:type="dxa"/>
            <w:tcBorders>
              <w:top w:val="single" w:sz="4" w:space="0" w:color="auto"/>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63.28 ± </w:t>
            </w:r>
            <w:r w:rsidRPr="00CC79CF">
              <w:rPr>
                <w:color w:val="000000"/>
                <w:sz w:val="14"/>
                <w:szCs w:val="14"/>
                <w:lang w:eastAsia="en-GB"/>
              </w:rPr>
              <w:t>3.59</w:t>
            </w:r>
          </w:p>
        </w:tc>
        <w:tc>
          <w:tcPr>
            <w:tcW w:w="1346" w:type="dxa"/>
            <w:tcBorders>
              <w:top w:val="single" w:sz="4" w:space="0" w:color="auto"/>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63.41 ± </w:t>
            </w:r>
            <w:r w:rsidRPr="00CC79CF">
              <w:rPr>
                <w:color w:val="000000"/>
                <w:sz w:val="14"/>
                <w:szCs w:val="14"/>
                <w:lang w:eastAsia="en-GB"/>
              </w:rPr>
              <w:t>3.62</w:t>
            </w:r>
          </w:p>
        </w:tc>
        <w:tc>
          <w:tcPr>
            <w:tcW w:w="1725" w:type="dxa"/>
            <w:tcBorders>
              <w:top w:val="single" w:sz="4" w:space="0" w:color="auto"/>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62.71 ± </w:t>
            </w:r>
            <w:r w:rsidRPr="00CC79CF">
              <w:rPr>
                <w:color w:val="000000"/>
                <w:sz w:val="14"/>
                <w:szCs w:val="14"/>
                <w:lang w:eastAsia="en-GB"/>
              </w:rPr>
              <w:t>3.79</w:t>
            </w:r>
          </w:p>
        </w:tc>
        <w:tc>
          <w:tcPr>
            <w:tcW w:w="1478" w:type="dxa"/>
            <w:tcBorders>
              <w:top w:val="single" w:sz="4" w:space="0" w:color="auto"/>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62.91 ± </w:t>
            </w:r>
            <w:r w:rsidRPr="00CC79CF">
              <w:rPr>
                <w:color w:val="000000"/>
                <w:sz w:val="14"/>
                <w:szCs w:val="14"/>
                <w:lang w:eastAsia="en-GB"/>
              </w:rPr>
              <w:t>3.05</w:t>
            </w:r>
          </w:p>
        </w:tc>
        <w:tc>
          <w:tcPr>
            <w:tcW w:w="828" w:type="dxa"/>
            <w:tcBorders>
              <w:top w:val="single" w:sz="4" w:space="0" w:color="auto"/>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0.761</w:t>
            </w:r>
          </w:p>
        </w:tc>
        <w:tc>
          <w:tcPr>
            <w:tcW w:w="1640" w:type="dxa"/>
            <w:tcBorders>
              <w:top w:val="single" w:sz="4" w:space="0" w:color="auto"/>
              <w:left w:val="nil"/>
              <w:bottom w:val="nil"/>
              <w:right w:val="nil"/>
            </w:tcBorders>
            <w:vAlign w:val="bottom"/>
          </w:tcPr>
          <w:p w:rsidR="002E046A" w:rsidRPr="00CC79CF" w:rsidRDefault="002E046A" w:rsidP="003C617E">
            <w:pPr>
              <w:spacing w:before="20" w:after="20" w:line="240" w:lineRule="auto"/>
              <w:rPr>
                <w:color w:val="000000"/>
                <w:sz w:val="14"/>
                <w:szCs w:val="14"/>
              </w:rPr>
            </w:pP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20" w:after="20" w:line="240" w:lineRule="auto"/>
              <w:rPr>
                <w:color w:val="000000"/>
                <w:sz w:val="14"/>
                <w:szCs w:val="14"/>
              </w:rPr>
            </w:pPr>
          </w:p>
        </w:tc>
        <w:tc>
          <w:tcPr>
            <w:tcW w:w="2294"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Pr>
                <w:color w:val="000000"/>
                <w:sz w:val="14"/>
                <w:szCs w:val="14"/>
              </w:rPr>
              <w:t>Knee</w:t>
            </w:r>
            <w:r w:rsidRPr="004639C5">
              <w:rPr>
                <w:color w:val="000000"/>
                <w:sz w:val="14"/>
                <w:szCs w:val="14"/>
              </w:rPr>
              <w:t xml:space="preserve"> - Adduction</w:t>
            </w:r>
          </w:p>
        </w:tc>
        <w:tc>
          <w:tcPr>
            <w:tcW w:w="106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12.84 ± </w:t>
            </w:r>
            <w:r w:rsidRPr="00CC79CF">
              <w:rPr>
                <w:color w:val="000000"/>
                <w:sz w:val="14"/>
                <w:szCs w:val="14"/>
                <w:lang w:eastAsia="en-GB"/>
              </w:rPr>
              <w:t>6.49</w:t>
            </w:r>
          </w:p>
        </w:tc>
        <w:tc>
          <w:tcPr>
            <w:tcW w:w="1593"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13.36 ± </w:t>
            </w:r>
            <w:r w:rsidRPr="00CC79CF">
              <w:rPr>
                <w:color w:val="000000"/>
                <w:sz w:val="14"/>
                <w:szCs w:val="14"/>
                <w:lang w:eastAsia="en-GB"/>
              </w:rPr>
              <w:t>5.45</w:t>
            </w:r>
          </w:p>
        </w:tc>
        <w:tc>
          <w:tcPr>
            <w:tcW w:w="1346"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13.91 ± </w:t>
            </w:r>
            <w:r w:rsidRPr="00CC79CF">
              <w:rPr>
                <w:color w:val="000000"/>
                <w:sz w:val="14"/>
                <w:szCs w:val="14"/>
                <w:lang w:eastAsia="en-GB"/>
              </w:rPr>
              <w:t>5.61</w:t>
            </w:r>
          </w:p>
        </w:tc>
        <w:tc>
          <w:tcPr>
            <w:tcW w:w="1725"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12.50 ± </w:t>
            </w:r>
            <w:r w:rsidRPr="00CC79CF">
              <w:rPr>
                <w:color w:val="000000"/>
                <w:sz w:val="14"/>
                <w:szCs w:val="14"/>
                <w:lang w:eastAsia="en-GB"/>
              </w:rPr>
              <w:t>4.05</w:t>
            </w:r>
          </w:p>
        </w:tc>
        <w:tc>
          <w:tcPr>
            <w:tcW w:w="147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13.42 ± </w:t>
            </w:r>
            <w:r w:rsidRPr="00CC79CF">
              <w:rPr>
                <w:color w:val="000000"/>
                <w:sz w:val="14"/>
                <w:szCs w:val="14"/>
                <w:lang w:eastAsia="en-GB"/>
              </w:rPr>
              <w:t>5.43</w:t>
            </w:r>
          </w:p>
        </w:tc>
        <w:tc>
          <w:tcPr>
            <w:tcW w:w="82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0.533</w:t>
            </w:r>
          </w:p>
        </w:tc>
        <w:tc>
          <w:tcPr>
            <w:tcW w:w="1640"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20" w:after="20" w:line="240" w:lineRule="auto"/>
              <w:rPr>
                <w:color w:val="000000"/>
                <w:sz w:val="14"/>
                <w:szCs w:val="14"/>
              </w:rPr>
            </w:pPr>
          </w:p>
        </w:tc>
        <w:tc>
          <w:tcPr>
            <w:tcW w:w="2294"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Pr>
                <w:color w:val="000000"/>
                <w:sz w:val="14"/>
                <w:szCs w:val="14"/>
              </w:rPr>
              <w:t>Knee</w:t>
            </w:r>
            <w:r w:rsidRPr="004639C5">
              <w:rPr>
                <w:color w:val="000000"/>
                <w:sz w:val="14"/>
                <w:szCs w:val="14"/>
              </w:rPr>
              <w:t xml:space="preserve"> - Rotation</w:t>
            </w:r>
          </w:p>
        </w:tc>
        <w:tc>
          <w:tcPr>
            <w:tcW w:w="106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24.98 ± </w:t>
            </w:r>
            <w:r w:rsidRPr="00CC79CF">
              <w:rPr>
                <w:color w:val="000000"/>
                <w:sz w:val="14"/>
                <w:szCs w:val="14"/>
                <w:lang w:eastAsia="en-GB"/>
              </w:rPr>
              <w:t>6.22</w:t>
            </w:r>
          </w:p>
        </w:tc>
        <w:tc>
          <w:tcPr>
            <w:tcW w:w="1593"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26.69 ± </w:t>
            </w:r>
            <w:r w:rsidRPr="00CC79CF">
              <w:rPr>
                <w:color w:val="000000"/>
                <w:sz w:val="14"/>
                <w:szCs w:val="14"/>
                <w:lang w:eastAsia="en-GB"/>
              </w:rPr>
              <w:t>7.58</w:t>
            </w:r>
          </w:p>
        </w:tc>
        <w:tc>
          <w:tcPr>
            <w:tcW w:w="1346"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25.85 ± </w:t>
            </w:r>
            <w:r w:rsidRPr="00CC79CF">
              <w:rPr>
                <w:color w:val="000000"/>
                <w:sz w:val="14"/>
                <w:szCs w:val="14"/>
                <w:lang w:eastAsia="en-GB"/>
              </w:rPr>
              <w:t>6.58</w:t>
            </w:r>
          </w:p>
        </w:tc>
        <w:tc>
          <w:tcPr>
            <w:tcW w:w="1725"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26.10 ± </w:t>
            </w:r>
            <w:r w:rsidRPr="00CC79CF">
              <w:rPr>
                <w:color w:val="000000"/>
                <w:sz w:val="14"/>
                <w:szCs w:val="14"/>
                <w:lang w:eastAsia="en-GB"/>
              </w:rPr>
              <w:t>7.48</w:t>
            </w:r>
          </w:p>
        </w:tc>
        <w:tc>
          <w:tcPr>
            <w:tcW w:w="147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26.01 ± </w:t>
            </w:r>
            <w:r w:rsidRPr="00CC79CF">
              <w:rPr>
                <w:color w:val="000000"/>
                <w:sz w:val="14"/>
                <w:szCs w:val="14"/>
                <w:lang w:eastAsia="en-GB"/>
              </w:rPr>
              <w:t>7.62</w:t>
            </w:r>
          </w:p>
        </w:tc>
        <w:tc>
          <w:tcPr>
            <w:tcW w:w="82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0.266</w:t>
            </w:r>
          </w:p>
        </w:tc>
        <w:tc>
          <w:tcPr>
            <w:tcW w:w="1640"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120" w:after="20" w:line="240" w:lineRule="auto"/>
              <w:rPr>
                <w:color w:val="000000"/>
                <w:sz w:val="14"/>
                <w:szCs w:val="14"/>
              </w:rPr>
            </w:pPr>
          </w:p>
        </w:tc>
        <w:tc>
          <w:tcPr>
            <w:tcW w:w="2294" w:type="dxa"/>
            <w:tcBorders>
              <w:top w:val="nil"/>
              <w:left w:val="nil"/>
              <w:bottom w:val="nil"/>
              <w:right w:val="nil"/>
            </w:tcBorders>
            <w:vAlign w:val="bottom"/>
          </w:tcPr>
          <w:p w:rsidR="002E046A" w:rsidRPr="00CC79CF" w:rsidRDefault="002E046A" w:rsidP="003C617E">
            <w:pPr>
              <w:spacing w:before="120" w:after="20" w:line="240" w:lineRule="auto"/>
              <w:rPr>
                <w:color w:val="000000"/>
                <w:sz w:val="14"/>
                <w:szCs w:val="14"/>
              </w:rPr>
            </w:pPr>
            <w:r w:rsidRPr="00CC79CF">
              <w:rPr>
                <w:color w:val="000000"/>
                <w:sz w:val="14"/>
                <w:szCs w:val="14"/>
              </w:rPr>
              <w:t xml:space="preserve">Forefoot/Hindfoot – Dorsiflexion </w:t>
            </w:r>
          </w:p>
        </w:tc>
        <w:tc>
          <w:tcPr>
            <w:tcW w:w="106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7.31 ± </w:t>
            </w:r>
            <w:r w:rsidRPr="00CC79CF">
              <w:rPr>
                <w:color w:val="000000"/>
                <w:sz w:val="14"/>
                <w:szCs w:val="14"/>
                <w:lang w:eastAsia="en-GB"/>
              </w:rPr>
              <w:t>1.77</w:t>
            </w:r>
          </w:p>
        </w:tc>
        <w:tc>
          <w:tcPr>
            <w:tcW w:w="1593"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6.65 ± </w:t>
            </w:r>
            <w:r w:rsidRPr="00CC79CF">
              <w:rPr>
                <w:color w:val="000000"/>
                <w:sz w:val="14"/>
                <w:szCs w:val="14"/>
                <w:lang w:eastAsia="en-GB"/>
              </w:rPr>
              <w:t>1.49</w:t>
            </w:r>
          </w:p>
        </w:tc>
        <w:tc>
          <w:tcPr>
            <w:tcW w:w="1346"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7.00 ± </w:t>
            </w:r>
            <w:r w:rsidRPr="00CC79CF">
              <w:rPr>
                <w:color w:val="000000"/>
                <w:sz w:val="14"/>
                <w:szCs w:val="14"/>
                <w:lang w:eastAsia="en-GB"/>
              </w:rPr>
              <w:t>1.82</w:t>
            </w:r>
          </w:p>
        </w:tc>
        <w:tc>
          <w:tcPr>
            <w:tcW w:w="1725"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7.09 ± </w:t>
            </w:r>
            <w:r w:rsidRPr="00CC79CF">
              <w:rPr>
                <w:color w:val="000000"/>
                <w:sz w:val="14"/>
                <w:szCs w:val="14"/>
                <w:lang w:eastAsia="en-GB"/>
              </w:rPr>
              <w:t>1.62</w:t>
            </w:r>
          </w:p>
        </w:tc>
        <w:tc>
          <w:tcPr>
            <w:tcW w:w="147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6.58 ± </w:t>
            </w:r>
            <w:r w:rsidRPr="00CC79CF">
              <w:rPr>
                <w:color w:val="000000"/>
                <w:sz w:val="14"/>
                <w:szCs w:val="14"/>
                <w:lang w:eastAsia="en-GB"/>
              </w:rPr>
              <w:t>2.39</w:t>
            </w:r>
          </w:p>
        </w:tc>
        <w:tc>
          <w:tcPr>
            <w:tcW w:w="828" w:type="dxa"/>
            <w:tcBorders>
              <w:top w:val="nil"/>
              <w:left w:val="nil"/>
              <w:bottom w:val="nil"/>
              <w:right w:val="nil"/>
            </w:tcBorders>
            <w:vAlign w:val="bottom"/>
          </w:tcPr>
          <w:p w:rsidR="002E046A" w:rsidRPr="00CC79CF" w:rsidRDefault="002E046A" w:rsidP="003C617E">
            <w:pPr>
              <w:spacing w:before="120" w:after="20" w:line="240" w:lineRule="auto"/>
              <w:jc w:val="center"/>
              <w:rPr>
                <w:sz w:val="14"/>
                <w:szCs w:val="14"/>
              </w:rPr>
            </w:pPr>
            <w:r w:rsidRPr="00CC79CF">
              <w:rPr>
                <w:sz w:val="14"/>
                <w:szCs w:val="14"/>
              </w:rPr>
              <w:t>0.292</w:t>
            </w:r>
          </w:p>
        </w:tc>
        <w:tc>
          <w:tcPr>
            <w:tcW w:w="1640" w:type="dxa"/>
            <w:tcBorders>
              <w:top w:val="nil"/>
              <w:left w:val="nil"/>
              <w:bottom w:val="nil"/>
              <w:right w:val="nil"/>
            </w:tcBorders>
            <w:vAlign w:val="bottom"/>
          </w:tcPr>
          <w:p w:rsidR="002E046A" w:rsidRPr="00CC79CF" w:rsidRDefault="002E046A" w:rsidP="003C617E">
            <w:pPr>
              <w:spacing w:before="120" w:after="20" w:line="240" w:lineRule="auto"/>
              <w:rPr>
                <w:color w:val="000000"/>
                <w:sz w:val="14"/>
                <w:szCs w:val="14"/>
              </w:rPr>
            </w:pP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20" w:after="20" w:line="240" w:lineRule="auto"/>
              <w:rPr>
                <w:color w:val="000000"/>
                <w:sz w:val="14"/>
                <w:szCs w:val="14"/>
              </w:rPr>
            </w:pPr>
          </w:p>
        </w:tc>
        <w:tc>
          <w:tcPr>
            <w:tcW w:w="2294"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r w:rsidRPr="00CC79CF">
              <w:rPr>
                <w:color w:val="000000"/>
                <w:sz w:val="14"/>
                <w:szCs w:val="14"/>
              </w:rPr>
              <w:t>Forefoot/Hindfoot  - Adduction</w:t>
            </w:r>
          </w:p>
        </w:tc>
        <w:tc>
          <w:tcPr>
            <w:tcW w:w="106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5.48 ± </w:t>
            </w:r>
            <w:r w:rsidRPr="00CC79CF">
              <w:rPr>
                <w:color w:val="000000"/>
                <w:sz w:val="14"/>
                <w:szCs w:val="14"/>
                <w:lang w:eastAsia="en-GB"/>
              </w:rPr>
              <w:t>1.21</w:t>
            </w:r>
          </w:p>
        </w:tc>
        <w:tc>
          <w:tcPr>
            <w:tcW w:w="1593"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4.31 ± </w:t>
            </w:r>
            <w:r w:rsidRPr="00CC79CF">
              <w:rPr>
                <w:color w:val="000000"/>
                <w:sz w:val="14"/>
                <w:szCs w:val="14"/>
                <w:lang w:eastAsia="en-GB"/>
              </w:rPr>
              <w:t>2.45</w:t>
            </w:r>
          </w:p>
        </w:tc>
        <w:tc>
          <w:tcPr>
            <w:tcW w:w="1346"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3.56 ± </w:t>
            </w:r>
            <w:r w:rsidRPr="00CC79CF">
              <w:rPr>
                <w:color w:val="000000"/>
                <w:sz w:val="14"/>
                <w:szCs w:val="14"/>
                <w:lang w:eastAsia="en-GB"/>
              </w:rPr>
              <w:t>1.11</w:t>
            </w:r>
          </w:p>
        </w:tc>
        <w:tc>
          <w:tcPr>
            <w:tcW w:w="1725"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4.40 ± </w:t>
            </w:r>
            <w:r w:rsidRPr="00CC79CF">
              <w:rPr>
                <w:color w:val="000000"/>
                <w:sz w:val="14"/>
                <w:szCs w:val="14"/>
                <w:lang w:eastAsia="en-GB"/>
              </w:rPr>
              <w:t>3.32</w:t>
            </w:r>
          </w:p>
        </w:tc>
        <w:tc>
          <w:tcPr>
            <w:tcW w:w="147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3.89 ± </w:t>
            </w:r>
            <w:r w:rsidRPr="00CC79CF">
              <w:rPr>
                <w:color w:val="000000"/>
                <w:sz w:val="14"/>
                <w:szCs w:val="14"/>
                <w:lang w:eastAsia="en-GB"/>
              </w:rPr>
              <w:t>1.44</w:t>
            </w:r>
          </w:p>
        </w:tc>
        <w:tc>
          <w:tcPr>
            <w:tcW w:w="828" w:type="dxa"/>
            <w:tcBorders>
              <w:top w:val="nil"/>
              <w:left w:val="nil"/>
              <w:bottom w:val="nil"/>
              <w:right w:val="nil"/>
            </w:tcBorders>
            <w:vAlign w:val="bottom"/>
          </w:tcPr>
          <w:p w:rsidR="002E046A" w:rsidRPr="00CC79CF" w:rsidRDefault="002E046A" w:rsidP="003C617E">
            <w:pPr>
              <w:spacing w:before="20" w:after="20" w:line="240" w:lineRule="auto"/>
              <w:jc w:val="center"/>
              <w:rPr>
                <w:sz w:val="14"/>
                <w:szCs w:val="14"/>
              </w:rPr>
            </w:pPr>
            <w:r w:rsidRPr="00CC79CF">
              <w:rPr>
                <w:sz w:val="14"/>
                <w:szCs w:val="14"/>
              </w:rPr>
              <w:t>0.071</w:t>
            </w:r>
          </w:p>
        </w:tc>
        <w:tc>
          <w:tcPr>
            <w:tcW w:w="1640"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p>
        </w:tc>
      </w:tr>
      <w:tr w:rsidR="002E046A" w:rsidRPr="00F34DA2" w:rsidTr="003C617E">
        <w:trPr>
          <w:jc w:val="center"/>
        </w:trPr>
        <w:tc>
          <w:tcPr>
            <w:tcW w:w="1188" w:type="dxa"/>
            <w:vMerge/>
            <w:tcBorders>
              <w:left w:val="nil"/>
              <w:right w:val="nil"/>
            </w:tcBorders>
          </w:tcPr>
          <w:p w:rsidR="002E046A" w:rsidRPr="00CC79CF" w:rsidRDefault="002E046A" w:rsidP="003C617E">
            <w:pPr>
              <w:spacing w:before="20" w:after="20" w:line="240" w:lineRule="auto"/>
              <w:rPr>
                <w:color w:val="000000"/>
                <w:sz w:val="14"/>
                <w:szCs w:val="14"/>
              </w:rPr>
            </w:pPr>
          </w:p>
        </w:tc>
        <w:tc>
          <w:tcPr>
            <w:tcW w:w="2294"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r w:rsidRPr="00CC79CF">
              <w:rPr>
                <w:color w:val="000000"/>
                <w:sz w:val="14"/>
                <w:szCs w:val="14"/>
              </w:rPr>
              <w:t xml:space="preserve">Forefoot/Hindfoot  - Supination </w:t>
            </w:r>
          </w:p>
        </w:tc>
        <w:tc>
          <w:tcPr>
            <w:tcW w:w="106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7.10 ± </w:t>
            </w:r>
            <w:r w:rsidRPr="00CC79CF">
              <w:rPr>
                <w:color w:val="000000"/>
                <w:sz w:val="14"/>
                <w:szCs w:val="14"/>
                <w:lang w:eastAsia="en-GB"/>
              </w:rPr>
              <w:t>2.56</w:t>
            </w:r>
          </w:p>
        </w:tc>
        <w:tc>
          <w:tcPr>
            <w:tcW w:w="1593"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5.31 ± </w:t>
            </w:r>
            <w:r w:rsidRPr="00CC79CF">
              <w:rPr>
                <w:color w:val="000000"/>
                <w:sz w:val="14"/>
                <w:szCs w:val="14"/>
                <w:lang w:eastAsia="en-GB"/>
              </w:rPr>
              <w:t>1.86</w:t>
            </w:r>
          </w:p>
        </w:tc>
        <w:tc>
          <w:tcPr>
            <w:tcW w:w="1346"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5.18 ± </w:t>
            </w:r>
            <w:r w:rsidRPr="00CC79CF">
              <w:rPr>
                <w:color w:val="000000"/>
                <w:sz w:val="14"/>
                <w:szCs w:val="14"/>
                <w:lang w:eastAsia="en-GB"/>
              </w:rPr>
              <w:t>1.72</w:t>
            </w:r>
          </w:p>
        </w:tc>
        <w:tc>
          <w:tcPr>
            <w:tcW w:w="1725"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5.66 ± </w:t>
            </w:r>
            <w:r w:rsidRPr="00CC79CF">
              <w:rPr>
                <w:color w:val="000000"/>
                <w:sz w:val="14"/>
                <w:szCs w:val="14"/>
                <w:lang w:eastAsia="en-GB"/>
              </w:rPr>
              <w:t>2.22</w:t>
            </w:r>
          </w:p>
        </w:tc>
        <w:tc>
          <w:tcPr>
            <w:tcW w:w="147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6.10 ± </w:t>
            </w:r>
            <w:r w:rsidRPr="00CC79CF">
              <w:rPr>
                <w:color w:val="000000"/>
                <w:sz w:val="14"/>
                <w:szCs w:val="14"/>
                <w:lang w:eastAsia="en-GB"/>
              </w:rPr>
              <w:t>2.74</w:t>
            </w:r>
          </w:p>
        </w:tc>
        <w:tc>
          <w:tcPr>
            <w:tcW w:w="828" w:type="dxa"/>
            <w:tcBorders>
              <w:top w:val="nil"/>
              <w:left w:val="nil"/>
              <w:bottom w:val="nil"/>
              <w:right w:val="nil"/>
            </w:tcBorders>
            <w:vAlign w:val="bottom"/>
          </w:tcPr>
          <w:p w:rsidR="002E046A" w:rsidRPr="00CC79CF" w:rsidRDefault="002E046A" w:rsidP="003C617E">
            <w:pPr>
              <w:spacing w:before="20" w:after="20" w:line="240" w:lineRule="auto"/>
              <w:jc w:val="center"/>
              <w:rPr>
                <w:bCs/>
                <w:sz w:val="14"/>
                <w:szCs w:val="14"/>
              </w:rPr>
            </w:pPr>
            <w:r w:rsidRPr="00CC79CF">
              <w:rPr>
                <w:bCs/>
                <w:sz w:val="14"/>
                <w:szCs w:val="14"/>
              </w:rPr>
              <w:t>0.011*</w:t>
            </w:r>
          </w:p>
        </w:tc>
        <w:tc>
          <w:tcPr>
            <w:tcW w:w="1640" w:type="dxa"/>
            <w:tcBorders>
              <w:top w:val="nil"/>
              <w:left w:val="nil"/>
              <w:bottom w:val="nil"/>
              <w:right w:val="nil"/>
            </w:tcBorders>
            <w:vAlign w:val="bottom"/>
          </w:tcPr>
          <w:p w:rsidR="002E046A" w:rsidRPr="00F34DA2" w:rsidRDefault="002E046A" w:rsidP="003C617E">
            <w:pPr>
              <w:spacing w:before="20" w:after="20" w:line="240" w:lineRule="auto"/>
              <w:rPr>
                <w:color w:val="000000"/>
                <w:sz w:val="14"/>
                <w:szCs w:val="14"/>
                <w:lang w:val="fr-FR"/>
              </w:rPr>
            </w:pPr>
            <w:r w:rsidRPr="00F34DA2">
              <w:rPr>
                <w:color w:val="000000"/>
                <w:sz w:val="14"/>
                <w:szCs w:val="14"/>
                <w:lang w:val="fr-FR"/>
              </w:rPr>
              <w:t>SO &gt; PU MD + PU LD</w:t>
            </w:r>
          </w:p>
        </w:tc>
      </w:tr>
      <w:tr w:rsidR="002E046A" w:rsidRPr="00CC79CF" w:rsidTr="003C617E">
        <w:trPr>
          <w:jc w:val="center"/>
        </w:trPr>
        <w:tc>
          <w:tcPr>
            <w:tcW w:w="1188" w:type="dxa"/>
            <w:vMerge/>
            <w:tcBorders>
              <w:left w:val="nil"/>
              <w:right w:val="nil"/>
            </w:tcBorders>
          </w:tcPr>
          <w:p w:rsidR="002E046A" w:rsidRPr="00F34DA2" w:rsidRDefault="002E046A" w:rsidP="003C617E">
            <w:pPr>
              <w:spacing w:before="120" w:after="20" w:line="240" w:lineRule="auto"/>
              <w:rPr>
                <w:sz w:val="14"/>
                <w:szCs w:val="14"/>
                <w:lang w:val="fr-FR"/>
              </w:rPr>
            </w:pPr>
          </w:p>
        </w:tc>
        <w:tc>
          <w:tcPr>
            <w:tcW w:w="2294" w:type="dxa"/>
            <w:tcBorders>
              <w:top w:val="nil"/>
              <w:left w:val="nil"/>
              <w:bottom w:val="nil"/>
              <w:right w:val="nil"/>
            </w:tcBorders>
            <w:vAlign w:val="bottom"/>
          </w:tcPr>
          <w:p w:rsidR="002E046A" w:rsidRPr="00CC79CF" w:rsidRDefault="002E046A" w:rsidP="003C617E">
            <w:pPr>
              <w:spacing w:before="120" w:after="20" w:line="240" w:lineRule="auto"/>
              <w:rPr>
                <w:sz w:val="14"/>
                <w:szCs w:val="14"/>
              </w:rPr>
            </w:pPr>
            <w:r w:rsidRPr="00CC79CF">
              <w:rPr>
                <w:sz w:val="14"/>
                <w:szCs w:val="14"/>
              </w:rPr>
              <w:t xml:space="preserve">Hindfoot/Tibia – Dorsiflexion </w:t>
            </w:r>
          </w:p>
        </w:tc>
        <w:tc>
          <w:tcPr>
            <w:tcW w:w="106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26.51 ± </w:t>
            </w:r>
            <w:r w:rsidRPr="00CC79CF">
              <w:rPr>
                <w:color w:val="000000"/>
                <w:sz w:val="14"/>
                <w:szCs w:val="14"/>
                <w:lang w:eastAsia="en-GB"/>
              </w:rPr>
              <w:t>4.66</w:t>
            </w:r>
          </w:p>
        </w:tc>
        <w:tc>
          <w:tcPr>
            <w:tcW w:w="1593"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27.02 ± </w:t>
            </w:r>
            <w:r w:rsidRPr="00CC79CF">
              <w:rPr>
                <w:color w:val="000000"/>
                <w:sz w:val="14"/>
                <w:szCs w:val="14"/>
                <w:lang w:eastAsia="en-GB"/>
              </w:rPr>
              <w:t>4.88</w:t>
            </w:r>
          </w:p>
        </w:tc>
        <w:tc>
          <w:tcPr>
            <w:tcW w:w="1346"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26.71 ± </w:t>
            </w:r>
            <w:r w:rsidRPr="00CC79CF">
              <w:rPr>
                <w:color w:val="000000"/>
                <w:sz w:val="14"/>
                <w:szCs w:val="14"/>
                <w:lang w:eastAsia="en-GB"/>
              </w:rPr>
              <w:t>4.86</w:t>
            </w:r>
          </w:p>
        </w:tc>
        <w:tc>
          <w:tcPr>
            <w:tcW w:w="1725"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26.71 ± </w:t>
            </w:r>
            <w:r w:rsidRPr="00CC79CF">
              <w:rPr>
                <w:color w:val="000000"/>
                <w:sz w:val="14"/>
                <w:szCs w:val="14"/>
                <w:lang w:eastAsia="en-GB"/>
              </w:rPr>
              <w:t>6.04</w:t>
            </w:r>
          </w:p>
        </w:tc>
        <w:tc>
          <w:tcPr>
            <w:tcW w:w="147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26.65 ± </w:t>
            </w:r>
            <w:r w:rsidRPr="00CC79CF">
              <w:rPr>
                <w:color w:val="000000"/>
                <w:sz w:val="14"/>
                <w:szCs w:val="14"/>
                <w:lang w:eastAsia="en-GB"/>
              </w:rPr>
              <w:t>5.36</w:t>
            </w:r>
          </w:p>
        </w:tc>
        <w:tc>
          <w:tcPr>
            <w:tcW w:w="82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0.974</w:t>
            </w:r>
          </w:p>
        </w:tc>
        <w:tc>
          <w:tcPr>
            <w:tcW w:w="1640" w:type="dxa"/>
            <w:tcBorders>
              <w:top w:val="nil"/>
              <w:left w:val="nil"/>
              <w:bottom w:val="nil"/>
              <w:right w:val="nil"/>
            </w:tcBorders>
            <w:vAlign w:val="bottom"/>
          </w:tcPr>
          <w:p w:rsidR="002E046A" w:rsidRPr="00CC79CF" w:rsidRDefault="002E046A" w:rsidP="003C617E">
            <w:pPr>
              <w:spacing w:before="120" w:after="20" w:line="240" w:lineRule="auto"/>
              <w:rPr>
                <w:color w:val="000000"/>
                <w:sz w:val="14"/>
                <w:szCs w:val="14"/>
              </w:rPr>
            </w:pP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20" w:after="20" w:line="240" w:lineRule="auto"/>
              <w:rPr>
                <w:sz w:val="14"/>
                <w:szCs w:val="14"/>
              </w:rPr>
            </w:pPr>
          </w:p>
        </w:tc>
        <w:tc>
          <w:tcPr>
            <w:tcW w:w="2294" w:type="dxa"/>
            <w:tcBorders>
              <w:top w:val="nil"/>
              <w:left w:val="nil"/>
              <w:bottom w:val="nil"/>
              <w:right w:val="nil"/>
            </w:tcBorders>
            <w:vAlign w:val="bottom"/>
          </w:tcPr>
          <w:p w:rsidR="002E046A" w:rsidRPr="00CC79CF" w:rsidRDefault="002E046A" w:rsidP="003C617E">
            <w:pPr>
              <w:spacing w:before="20" w:after="20" w:line="240" w:lineRule="auto"/>
              <w:rPr>
                <w:sz w:val="14"/>
                <w:szCs w:val="14"/>
              </w:rPr>
            </w:pPr>
            <w:r w:rsidRPr="00CC79CF">
              <w:rPr>
                <w:sz w:val="14"/>
                <w:szCs w:val="14"/>
              </w:rPr>
              <w:t xml:space="preserve">Hindfoot/Tibia – Inversion </w:t>
            </w:r>
          </w:p>
        </w:tc>
        <w:tc>
          <w:tcPr>
            <w:tcW w:w="106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15.73 ± </w:t>
            </w:r>
            <w:r w:rsidRPr="00CC79CF">
              <w:rPr>
                <w:color w:val="000000"/>
                <w:sz w:val="14"/>
                <w:szCs w:val="14"/>
                <w:lang w:eastAsia="en-GB"/>
              </w:rPr>
              <w:t>4.43</w:t>
            </w:r>
          </w:p>
        </w:tc>
        <w:tc>
          <w:tcPr>
            <w:tcW w:w="1593"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15.60 ± </w:t>
            </w:r>
            <w:r w:rsidRPr="00CC79CF">
              <w:rPr>
                <w:color w:val="000000"/>
                <w:sz w:val="14"/>
                <w:szCs w:val="14"/>
                <w:lang w:eastAsia="en-GB"/>
              </w:rPr>
              <w:t>5.13</w:t>
            </w:r>
          </w:p>
        </w:tc>
        <w:tc>
          <w:tcPr>
            <w:tcW w:w="1346"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15.43 ± </w:t>
            </w:r>
            <w:r w:rsidRPr="00CC79CF">
              <w:rPr>
                <w:color w:val="000000"/>
                <w:sz w:val="14"/>
                <w:szCs w:val="14"/>
                <w:lang w:eastAsia="en-GB"/>
              </w:rPr>
              <w:t>5.04</w:t>
            </w:r>
          </w:p>
        </w:tc>
        <w:tc>
          <w:tcPr>
            <w:tcW w:w="1725"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15.18 ± </w:t>
            </w:r>
            <w:r w:rsidRPr="00CC79CF">
              <w:rPr>
                <w:color w:val="000000"/>
                <w:sz w:val="14"/>
                <w:szCs w:val="14"/>
                <w:lang w:eastAsia="en-GB"/>
              </w:rPr>
              <w:t>5.73</w:t>
            </w:r>
          </w:p>
        </w:tc>
        <w:tc>
          <w:tcPr>
            <w:tcW w:w="147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 xml:space="preserve">14.98 ± </w:t>
            </w:r>
            <w:r w:rsidRPr="00CC79CF">
              <w:rPr>
                <w:color w:val="000000"/>
                <w:sz w:val="14"/>
                <w:szCs w:val="14"/>
                <w:lang w:eastAsia="en-GB"/>
              </w:rPr>
              <w:t>3.60</w:t>
            </w:r>
          </w:p>
        </w:tc>
        <w:tc>
          <w:tcPr>
            <w:tcW w:w="82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0.789</w:t>
            </w:r>
          </w:p>
        </w:tc>
        <w:tc>
          <w:tcPr>
            <w:tcW w:w="1640"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p>
        </w:tc>
      </w:tr>
      <w:tr w:rsidR="002E046A" w:rsidRPr="00CC79CF" w:rsidTr="003C617E">
        <w:trPr>
          <w:jc w:val="center"/>
        </w:trPr>
        <w:tc>
          <w:tcPr>
            <w:tcW w:w="1188" w:type="dxa"/>
            <w:vMerge/>
            <w:tcBorders>
              <w:left w:val="nil"/>
              <w:bottom w:val="nil"/>
              <w:right w:val="nil"/>
            </w:tcBorders>
          </w:tcPr>
          <w:p w:rsidR="002E046A" w:rsidRPr="00CC79CF" w:rsidRDefault="002E046A" w:rsidP="003C617E">
            <w:pPr>
              <w:spacing w:before="120" w:after="20" w:line="240" w:lineRule="auto"/>
              <w:rPr>
                <w:sz w:val="14"/>
                <w:szCs w:val="14"/>
              </w:rPr>
            </w:pPr>
          </w:p>
        </w:tc>
        <w:tc>
          <w:tcPr>
            <w:tcW w:w="2294" w:type="dxa"/>
            <w:tcBorders>
              <w:top w:val="nil"/>
              <w:left w:val="nil"/>
              <w:bottom w:val="nil"/>
              <w:right w:val="nil"/>
            </w:tcBorders>
            <w:vAlign w:val="center"/>
          </w:tcPr>
          <w:p w:rsidR="002E046A" w:rsidRPr="00CC79CF" w:rsidRDefault="002E046A" w:rsidP="003C617E">
            <w:pPr>
              <w:spacing w:before="120" w:after="20" w:line="240" w:lineRule="auto"/>
              <w:rPr>
                <w:sz w:val="14"/>
                <w:szCs w:val="14"/>
              </w:rPr>
            </w:pPr>
            <w:r w:rsidRPr="00CC79CF">
              <w:rPr>
                <w:sz w:val="14"/>
                <w:szCs w:val="14"/>
              </w:rPr>
              <w:t>Hallux/Forefoot Dorsiflexion</w:t>
            </w:r>
          </w:p>
        </w:tc>
        <w:tc>
          <w:tcPr>
            <w:tcW w:w="106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12.40 ± </w:t>
            </w:r>
            <w:r w:rsidRPr="00CC79CF">
              <w:rPr>
                <w:color w:val="000000"/>
                <w:sz w:val="14"/>
                <w:szCs w:val="14"/>
                <w:lang w:eastAsia="en-GB"/>
              </w:rPr>
              <w:t>8.40</w:t>
            </w:r>
          </w:p>
        </w:tc>
        <w:tc>
          <w:tcPr>
            <w:tcW w:w="1593"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10.81 ± </w:t>
            </w:r>
            <w:r w:rsidRPr="00CC79CF">
              <w:rPr>
                <w:color w:val="000000"/>
                <w:sz w:val="14"/>
                <w:szCs w:val="14"/>
                <w:lang w:eastAsia="en-GB"/>
              </w:rPr>
              <w:t>6.70</w:t>
            </w:r>
          </w:p>
        </w:tc>
        <w:tc>
          <w:tcPr>
            <w:tcW w:w="1346"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11.15 ± </w:t>
            </w:r>
            <w:r w:rsidRPr="00CC79CF">
              <w:rPr>
                <w:color w:val="000000"/>
                <w:sz w:val="14"/>
                <w:szCs w:val="14"/>
                <w:lang w:eastAsia="en-GB"/>
              </w:rPr>
              <w:t>5.92</w:t>
            </w:r>
          </w:p>
        </w:tc>
        <w:tc>
          <w:tcPr>
            <w:tcW w:w="1725"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12.05 ± </w:t>
            </w:r>
            <w:r w:rsidRPr="00CC79CF">
              <w:rPr>
                <w:color w:val="000000"/>
                <w:sz w:val="14"/>
                <w:szCs w:val="14"/>
                <w:lang w:eastAsia="en-GB"/>
              </w:rPr>
              <w:t>5.29</w:t>
            </w:r>
          </w:p>
        </w:tc>
        <w:tc>
          <w:tcPr>
            <w:tcW w:w="147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 xml:space="preserve">12.29 ± </w:t>
            </w:r>
            <w:r w:rsidRPr="00CC79CF">
              <w:rPr>
                <w:color w:val="000000"/>
                <w:sz w:val="14"/>
                <w:szCs w:val="14"/>
                <w:lang w:eastAsia="en-GB"/>
              </w:rPr>
              <w:t>5.65</w:t>
            </w:r>
          </w:p>
        </w:tc>
        <w:tc>
          <w:tcPr>
            <w:tcW w:w="828" w:type="dxa"/>
            <w:tcBorders>
              <w:top w:val="nil"/>
              <w:left w:val="nil"/>
              <w:bottom w:val="nil"/>
              <w:right w:val="nil"/>
            </w:tcBorders>
            <w:vAlign w:val="center"/>
          </w:tcPr>
          <w:p w:rsidR="002E046A" w:rsidRPr="00CC79CF" w:rsidRDefault="002E046A" w:rsidP="003C617E">
            <w:pPr>
              <w:spacing w:before="120" w:after="20" w:line="240" w:lineRule="auto"/>
              <w:jc w:val="center"/>
              <w:rPr>
                <w:sz w:val="14"/>
                <w:szCs w:val="14"/>
              </w:rPr>
            </w:pPr>
            <w:r w:rsidRPr="00CC79CF">
              <w:rPr>
                <w:sz w:val="14"/>
                <w:szCs w:val="14"/>
              </w:rPr>
              <w:t>0.568</w:t>
            </w:r>
          </w:p>
        </w:tc>
        <w:tc>
          <w:tcPr>
            <w:tcW w:w="1640" w:type="dxa"/>
            <w:tcBorders>
              <w:top w:val="nil"/>
              <w:left w:val="nil"/>
              <w:bottom w:val="nil"/>
              <w:right w:val="nil"/>
            </w:tcBorders>
            <w:vAlign w:val="center"/>
          </w:tcPr>
          <w:p w:rsidR="002E046A" w:rsidRPr="00CC79CF" w:rsidRDefault="002E046A" w:rsidP="003C617E">
            <w:pPr>
              <w:spacing w:before="120" w:after="20" w:line="240" w:lineRule="auto"/>
              <w:rPr>
                <w:color w:val="000000"/>
                <w:sz w:val="14"/>
                <w:szCs w:val="14"/>
              </w:rPr>
            </w:pPr>
          </w:p>
        </w:tc>
      </w:tr>
      <w:tr w:rsidR="002E046A" w:rsidRPr="00CC79CF" w:rsidTr="003C617E">
        <w:trPr>
          <w:jc w:val="center"/>
        </w:trPr>
        <w:tc>
          <w:tcPr>
            <w:tcW w:w="1188" w:type="dxa"/>
            <w:vMerge w:val="restart"/>
            <w:tcBorders>
              <w:top w:val="nil"/>
              <w:left w:val="nil"/>
              <w:right w:val="nil"/>
            </w:tcBorders>
          </w:tcPr>
          <w:p w:rsidR="002E046A" w:rsidRPr="00CC79CF" w:rsidRDefault="002E046A" w:rsidP="003C617E">
            <w:pPr>
              <w:spacing w:before="120" w:after="20" w:line="240" w:lineRule="auto"/>
              <w:rPr>
                <w:color w:val="000000"/>
                <w:sz w:val="14"/>
                <w:szCs w:val="14"/>
              </w:rPr>
            </w:pPr>
            <w:r w:rsidRPr="00CC79CF">
              <w:rPr>
                <w:color w:val="000000"/>
                <w:sz w:val="14"/>
                <w:szCs w:val="14"/>
              </w:rPr>
              <w:t>Change in angle between heel st</w:t>
            </w:r>
            <w:r>
              <w:rPr>
                <w:color w:val="000000"/>
                <w:sz w:val="14"/>
                <w:szCs w:val="14"/>
              </w:rPr>
              <w:t>rike and 6% of gait</w:t>
            </w:r>
            <w:r w:rsidRPr="00CC79CF">
              <w:rPr>
                <w:color w:val="000000"/>
                <w:sz w:val="14"/>
                <w:szCs w:val="14"/>
              </w:rPr>
              <w:t xml:space="preserve"> cycle**</w:t>
            </w:r>
          </w:p>
        </w:tc>
        <w:tc>
          <w:tcPr>
            <w:tcW w:w="2294" w:type="dxa"/>
            <w:tcBorders>
              <w:top w:val="nil"/>
              <w:left w:val="nil"/>
              <w:bottom w:val="nil"/>
              <w:right w:val="nil"/>
            </w:tcBorders>
            <w:vAlign w:val="bottom"/>
          </w:tcPr>
          <w:p w:rsidR="002E046A" w:rsidRPr="004639C5" w:rsidRDefault="002E046A" w:rsidP="003C617E">
            <w:pPr>
              <w:spacing w:before="120" w:after="20" w:line="240" w:lineRule="auto"/>
              <w:rPr>
                <w:color w:val="000000"/>
                <w:sz w:val="14"/>
                <w:szCs w:val="14"/>
              </w:rPr>
            </w:pPr>
            <w:r>
              <w:rPr>
                <w:color w:val="000000"/>
                <w:sz w:val="14"/>
                <w:szCs w:val="14"/>
              </w:rPr>
              <w:t>Knee</w:t>
            </w:r>
            <w:r w:rsidRPr="004639C5">
              <w:rPr>
                <w:color w:val="000000"/>
                <w:sz w:val="14"/>
                <w:szCs w:val="14"/>
              </w:rPr>
              <w:t xml:space="preserve"> - Flexion</w:t>
            </w:r>
          </w:p>
        </w:tc>
        <w:tc>
          <w:tcPr>
            <w:tcW w:w="106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4.24 ± 1.64</w:t>
            </w:r>
          </w:p>
        </w:tc>
        <w:tc>
          <w:tcPr>
            <w:tcW w:w="1593"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4.73 ± 1.93</w:t>
            </w:r>
          </w:p>
        </w:tc>
        <w:tc>
          <w:tcPr>
            <w:tcW w:w="1346"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4.86 ± 1.75</w:t>
            </w:r>
          </w:p>
        </w:tc>
        <w:tc>
          <w:tcPr>
            <w:tcW w:w="1725"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4.17 ± 1.90</w:t>
            </w:r>
          </w:p>
        </w:tc>
        <w:tc>
          <w:tcPr>
            <w:tcW w:w="147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3.73 ± 1.86</w:t>
            </w:r>
          </w:p>
        </w:tc>
        <w:tc>
          <w:tcPr>
            <w:tcW w:w="82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0.004*</w:t>
            </w:r>
          </w:p>
        </w:tc>
        <w:tc>
          <w:tcPr>
            <w:tcW w:w="1640"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r w:rsidRPr="00CC79CF">
              <w:rPr>
                <w:color w:val="000000"/>
                <w:sz w:val="14"/>
                <w:szCs w:val="14"/>
              </w:rPr>
              <w:t>PU LD &gt; EVA LD</w:t>
            </w: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20" w:after="20" w:line="240" w:lineRule="auto"/>
              <w:rPr>
                <w:color w:val="000000"/>
                <w:sz w:val="14"/>
                <w:szCs w:val="14"/>
              </w:rPr>
            </w:pPr>
          </w:p>
        </w:tc>
        <w:tc>
          <w:tcPr>
            <w:tcW w:w="2294"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Pr>
                <w:color w:val="000000"/>
                <w:sz w:val="14"/>
                <w:szCs w:val="14"/>
              </w:rPr>
              <w:t>Knee</w:t>
            </w:r>
            <w:r w:rsidRPr="004639C5">
              <w:rPr>
                <w:color w:val="000000"/>
                <w:sz w:val="14"/>
                <w:szCs w:val="14"/>
              </w:rPr>
              <w:t xml:space="preserve"> - Adduction</w:t>
            </w:r>
          </w:p>
        </w:tc>
        <w:tc>
          <w:tcPr>
            <w:tcW w:w="106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0.89 ± 1.02</w:t>
            </w:r>
          </w:p>
        </w:tc>
        <w:tc>
          <w:tcPr>
            <w:tcW w:w="1593"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0.66 ± 0.91</w:t>
            </w:r>
          </w:p>
        </w:tc>
        <w:tc>
          <w:tcPr>
            <w:tcW w:w="1346" w:type="dxa"/>
            <w:tcBorders>
              <w:top w:val="nil"/>
              <w:left w:val="nil"/>
              <w:bottom w:val="nil"/>
              <w:right w:val="nil"/>
            </w:tcBorders>
            <w:vAlign w:val="bottom"/>
          </w:tcPr>
          <w:p w:rsidR="002E046A" w:rsidRPr="00CC79CF" w:rsidRDefault="002E046A" w:rsidP="003C617E">
            <w:pPr>
              <w:spacing w:before="20" w:after="20" w:line="240" w:lineRule="auto"/>
              <w:jc w:val="center"/>
              <w:rPr>
                <w:b/>
                <w:color w:val="000000"/>
                <w:sz w:val="14"/>
                <w:szCs w:val="14"/>
              </w:rPr>
            </w:pPr>
            <w:r>
              <w:rPr>
                <w:color w:val="000000"/>
                <w:sz w:val="14"/>
                <w:szCs w:val="14"/>
              </w:rPr>
              <w:t>-</w:t>
            </w:r>
            <w:r w:rsidRPr="00CC79CF">
              <w:rPr>
                <w:color w:val="000000"/>
                <w:sz w:val="14"/>
                <w:szCs w:val="14"/>
              </w:rPr>
              <w:t>0.97 ± 1.08</w:t>
            </w:r>
          </w:p>
        </w:tc>
        <w:tc>
          <w:tcPr>
            <w:tcW w:w="1725"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0.73 ± 0.87</w:t>
            </w:r>
          </w:p>
        </w:tc>
        <w:tc>
          <w:tcPr>
            <w:tcW w:w="147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0.83 ± 1.09</w:t>
            </w:r>
          </w:p>
        </w:tc>
        <w:tc>
          <w:tcPr>
            <w:tcW w:w="82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0.062</w:t>
            </w:r>
          </w:p>
        </w:tc>
        <w:tc>
          <w:tcPr>
            <w:tcW w:w="1640"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20" w:after="20" w:line="240" w:lineRule="auto"/>
              <w:rPr>
                <w:color w:val="000000"/>
                <w:sz w:val="14"/>
                <w:szCs w:val="14"/>
              </w:rPr>
            </w:pPr>
          </w:p>
        </w:tc>
        <w:tc>
          <w:tcPr>
            <w:tcW w:w="2294" w:type="dxa"/>
            <w:tcBorders>
              <w:top w:val="nil"/>
              <w:left w:val="nil"/>
              <w:bottom w:val="nil"/>
              <w:right w:val="nil"/>
            </w:tcBorders>
            <w:vAlign w:val="bottom"/>
          </w:tcPr>
          <w:p w:rsidR="002E046A" w:rsidRPr="004639C5" w:rsidRDefault="002E046A" w:rsidP="003C617E">
            <w:pPr>
              <w:spacing w:before="20" w:after="20" w:line="240" w:lineRule="auto"/>
              <w:rPr>
                <w:color w:val="000000"/>
                <w:sz w:val="14"/>
                <w:szCs w:val="14"/>
              </w:rPr>
            </w:pPr>
            <w:r>
              <w:rPr>
                <w:color w:val="000000"/>
                <w:sz w:val="14"/>
                <w:szCs w:val="14"/>
              </w:rPr>
              <w:t>Knee</w:t>
            </w:r>
            <w:r w:rsidRPr="004639C5">
              <w:rPr>
                <w:color w:val="000000"/>
                <w:sz w:val="14"/>
                <w:szCs w:val="14"/>
              </w:rPr>
              <w:t xml:space="preserve"> - Rotation</w:t>
            </w:r>
          </w:p>
        </w:tc>
        <w:tc>
          <w:tcPr>
            <w:tcW w:w="106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1.22 ± 1.72</w:t>
            </w:r>
          </w:p>
        </w:tc>
        <w:tc>
          <w:tcPr>
            <w:tcW w:w="1593"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0.50 ± 3.86</w:t>
            </w:r>
          </w:p>
        </w:tc>
        <w:tc>
          <w:tcPr>
            <w:tcW w:w="1346"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1.40 ± 2.60</w:t>
            </w:r>
          </w:p>
        </w:tc>
        <w:tc>
          <w:tcPr>
            <w:tcW w:w="1725"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0.97 ± 2.46</w:t>
            </w:r>
          </w:p>
        </w:tc>
        <w:tc>
          <w:tcPr>
            <w:tcW w:w="147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0.26 ± 3.48</w:t>
            </w:r>
          </w:p>
        </w:tc>
        <w:tc>
          <w:tcPr>
            <w:tcW w:w="82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0.196</w:t>
            </w:r>
          </w:p>
        </w:tc>
        <w:tc>
          <w:tcPr>
            <w:tcW w:w="1640"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120" w:after="20" w:line="240" w:lineRule="auto"/>
              <w:rPr>
                <w:color w:val="000000"/>
                <w:sz w:val="14"/>
                <w:szCs w:val="14"/>
              </w:rPr>
            </w:pPr>
          </w:p>
        </w:tc>
        <w:tc>
          <w:tcPr>
            <w:tcW w:w="2294" w:type="dxa"/>
            <w:tcBorders>
              <w:top w:val="nil"/>
              <w:left w:val="nil"/>
              <w:bottom w:val="nil"/>
              <w:right w:val="nil"/>
            </w:tcBorders>
            <w:vAlign w:val="bottom"/>
          </w:tcPr>
          <w:p w:rsidR="002E046A" w:rsidRPr="00CC79CF" w:rsidRDefault="002E046A" w:rsidP="003C617E">
            <w:pPr>
              <w:spacing w:before="120" w:after="20" w:line="240" w:lineRule="auto"/>
              <w:rPr>
                <w:color w:val="000000"/>
                <w:sz w:val="14"/>
                <w:szCs w:val="14"/>
              </w:rPr>
            </w:pPr>
            <w:r w:rsidRPr="00CC79CF">
              <w:rPr>
                <w:color w:val="000000"/>
                <w:sz w:val="14"/>
                <w:szCs w:val="14"/>
              </w:rPr>
              <w:t xml:space="preserve">Forefoot/Hindfoot – Dorsiflexion </w:t>
            </w:r>
          </w:p>
        </w:tc>
        <w:tc>
          <w:tcPr>
            <w:tcW w:w="106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0.87 ± 1.08</w:t>
            </w:r>
          </w:p>
        </w:tc>
        <w:tc>
          <w:tcPr>
            <w:tcW w:w="1593"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0.93 ± 1.02</w:t>
            </w:r>
          </w:p>
        </w:tc>
        <w:tc>
          <w:tcPr>
            <w:tcW w:w="1346"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1.33 ± 1.20</w:t>
            </w:r>
          </w:p>
        </w:tc>
        <w:tc>
          <w:tcPr>
            <w:tcW w:w="1725"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1.32 ± 1.50</w:t>
            </w:r>
          </w:p>
        </w:tc>
        <w:tc>
          <w:tcPr>
            <w:tcW w:w="147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1.13 ± 1.02</w:t>
            </w:r>
          </w:p>
        </w:tc>
        <w:tc>
          <w:tcPr>
            <w:tcW w:w="82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0.022*</w:t>
            </w:r>
          </w:p>
        </w:tc>
        <w:tc>
          <w:tcPr>
            <w:tcW w:w="1640" w:type="dxa"/>
            <w:tcBorders>
              <w:top w:val="nil"/>
              <w:left w:val="nil"/>
              <w:bottom w:val="nil"/>
              <w:right w:val="nil"/>
            </w:tcBorders>
            <w:vAlign w:val="bottom"/>
          </w:tcPr>
          <w:p w:rsidR="002E046A" w:rsidRPr="00CC79CF" w:rsidRDefault="002E046A" w:rsidP="003C617E">
            <w:pPr>
              <w:spacing w:before="120" w:after="20" w:line="240" w:lineRule="auto"/>
              <w:rPr>
                <w:color w:val="000000"/>
                <w:sz w:val="14"/>
                <w:szCs w:val="14"/>
              </w:rPr>
            </w:pPr>
            <w:r w:rsidRPr="00CC79CF">
              <w:rPr>
                <w:color w:val="000000"/>
                <w:sz w:val="14"/>
                <w:szCs w:val="14"/>
              </w:rPr>
              <w:t>NSD in post hoc tests</w:t>
            </w: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20" w:after="20" w:line="240" w:lineRule="auto"/>
              <w:rPr>
                <w:color w:val="000000"/>
                <w:sz w:val="14"/>
                <w:szCs w:val="14"/>
              </w:rPr>
            </w:pPr>
          </w:p>
        </w:tc>
        <w:tc>
          <w:tcPr>
            <w:tcW w:w="2294"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r w:rsidRPr="00CC79CF">
              <w:rPr>
                <w:color w:val="000000"/>
                <w:sz w:val="14"/>
                <w:szCs w:val="14"/>
              </w:rPr>
              <w:t>Forefoot/Hindfoot  - Adduction</w:t>
            </w:r>
          </w:p>
        </w:tc>
        <w:tc>
          <w:tcPr>
            <w:tcW w:w="106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0.26 ± 0.90</w:t>
            </w:r>
          </w:p>
        </w:tc>
        <w:tc>
          <w:tcPr>
            <w:tcW w:w="1593"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0.05 ± 0.62</w:t>
            </w:r>
          </w:p>
        </w:tc>
        <w:tc>
          <w:tcPr>
            <w:tcW w:w="1346"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 xml:space="preserve">0.01 ± 0.65 </w:t>
            </w:r>
          </w:p>
        </w:tc>
        <w:tc>
          <w:tcPr>
            <w:tcW w:w="1725"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0.05 ± 0.80</w:t>
            </w:r>
          </w:p>
        </w:tc>
        <w:tc>
          <w:tcPr>
            <w:tcW w:w="147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0.08 ± 0.90</w:t>
            </w:r>
          </w:p>
        </w:tc>
        <w:tc>
          <w:tcPr>
            <w:tcW w:w="82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0.675</w:t>
            </w:r>
          </w:p>
        </w:tc>
        <w:tc>
          <w:tcPr>
            <w:tcW w:w="1640"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20" w:after="20" w:line="240" w:lineRule="auto"/>
              <w:rPr>
                <w:color w:val="000000"/>
                <w:sz w:val="14"/>
                <w:szCs w:val="14"/>
              </w:rPr>
            </w:pPr>
          </w:p>
        </w:tc>
        <w:tc>
          <w:tcPr>
            <w:tcW w:w="2294"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r w:rsidRPr="00CC79CF">
              <w:rPr>
                <w:color w:val="000000"/>
                <w:sz w:val="14"/>
                <w:szCs w:val="14"/>
              </w:rPr>
              <w:t xml:space="preserve">Forefoot/Hindfoot  - Supination </w:t>
            </w:r>
          </w:p>
        </w:tc>
        <w:tc>
          <w:tcPr>
            <w:tcW w:w="106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0.99 ± 1.10</w:t>
            </w:r>
          </w:p>
        </w:tc>
        <w:tc>
          <w:tcPr>
            <w:tcW w:w="1593"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0.59 ± 0.76</w:t>
            </w:r>
          </w:p>
        </w:tc>
        <w:tc>
          <w:tcPr>
            <w:tcW w:w="1346"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0.77 ± 1.02</w:t>
            </w:r>
          </w:p>
        </w:tc>
        <w:tc>
          <w:tcPr>
            <w:tcW w:w="1725"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0.66 ± 0.91</w:t>
            </w:r>
          </w:p>
        </w:tc>
        <w:tc>
          <w:tcPr>
            <w:tcW w:w="147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0.83 ± 1.04</w:t>
            </w:r>
          </w:p>
        </w:tc>
        <w:tc>
          <w:tcPr>
            <w:tcW w:w="828" w:type="dxa"/>
            <w:tcBorders>
              <w:top w:val="nil"/>
              <w:left w:val="nil"/>
              <w:bottom w:val="nil"/>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0.43</w:t>
            </w:r>
          </w:p>
        </w:tc>
        <w:tc>
          <w:tcPr>
            <w:tcW w:w="1640" w:type="dxa"/>
            <w:tcBorders>
              <w:top w:val="nil"/>
              <w:left w:val="nil"/>
              <w:bottom w:val="nil"/>
              <w:right w:val="nil"/>
            </w:tcBorders>
            <w:vAlign w:val="bottom"/>
          </w:tcPr>
          <w:p w:rsidR="002E046A" w:rsidRPr="00CC79CF" w:rsidRDefault="002E046A" w:rsidP="003C617E">
            <w:pPr>
              <w:spacing w:before="20" w:after="20" w:line="240" w:lineRule="auto"/>
              <w:rPr>
                <w:color w:val="000000"/>
                <w:sz w:val="14"/>
                <w:szCs w:val="14"/>
              </w:rPr>
            </w:pPr>
          </w:p>
        </w:tc>
      </w:tr>
      <w:tr w:rsidR="002E046A" w:rsidRPr="00CC79CF" w:rsidTr="003C617E">
        <w:trPr>
          <w:jc w:val="center"/>
        </w:trPr>
        <w:tc>
          <w:tcPr>
            <w:tcW w:w="1188" w:type="dxa"/>
            <w:vMerge/>
            <w:tcBorders>
              <w:left w:val="nil"/>
              <w:right w:val="nil"/>
            </w:tcBorders>
          </w:tcPr>
          <w:p w:rsidR="002E046A" w:rsidRPr="00CC79CF" w:rsidRDefault="002E046A" w:rsidP="003C617E">
            <w:pPr>
              <w:spacing w:before="120" w:after="20" w:line="240" w:lineRule="auto"/>
              <w:rPr>
                <w:sz w:val="14"/>
                <w:szCs w:val="14"/>
              </w:rPr>
            </w:pPr>
          </w:p>
        </w:tc>
        <w:tc>
          <w:tcPr>
            <w:tcW w:w="2294" w:type="dxa"/>
            <w:tcBorders>
              <w:top w:val="nil"/>
              <w:left w:val="nil"/>
              <w:bottom w:val="nil"/>
              <w:right w:val="nil"/>
            </w:tcBorders>
            <w:vAlign w:val="bottom"/>
          </w:tcPr>
          <w:p w:rsidR="002E046A" w:rsidRPr="00CC79CF" w:rsidRDefault="002E046A" w:rsidP="003C617E">
            <w:pPr>
              <w:spacing w:before="120" w:after="20" w:line="240" w:lineRule="auto"/>
              <w:rPr>
                <w:sz w:val="14"/>
                <w:szCs w:val="14"/>
              </w:rPr>
            </w:pPr>
            <w:r w:rsidRPr="00CC79CF">
              <w:rPr>
                <w:sz w:val="14"/>
                <w:szCs w:val="14"/>
              </w:rPr>
              <w:t xml:space="preserve">Hindfoot/Tibia – Dorsiflexion </w:t>
            </w:r>
          </w:p>
        </w:tc>
        <w:tc>
          <w:tcPr>
            <w:tcW w:w="106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Pr>
                <w:color w:val="000000"/>
                <w:sz w:val="14"/>
                <w:szCs w:val="14"/>
              </w:rPr>
              <w:t>-</w:t>
            </w:r>
            <w:r w:rsidRPr="00CC79CF">
              <w:rPr>
                <w:color w:val="000000"/>
                <w:sz w:val="14"/>
                <w:szCs w:val="14"/>
              </w:rPr>
              <w:t>3.76 ± 2.03</w:t>
            </w:r>
          </w:p>
        </w:tc>
        <w:tc>
          <w:tcPr>
            <w:tcW w:w="1593"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Pr>
                <w:color w:val="000000"/>
                <w:sz w:val="14"/>
                <w:szCs w:val="14"/>
              </w:rPr>
              <w:t>-</w:t>
            </w:r>
            <w:r w:rsidRPr="00CC79CF">
              <w:rPr>
                <w:color w:val="000000"/>
                <w:sz w:val="14"/>
                <w:szCs w:val="14"/>
              </w:rPr>
              <w:t>3.95 ± 2.08</w:t>
            </w:r>
          </w:p>
        </w:tc>
        <w:tc>
          <w:tcPr>
            <w:tcW w:w="1346"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Pr>
                <w:color w:val="000000"/>
                <w:sz w:val="14"/>
                <w:szCs w:val="14"/>
              </w:rPr>
              <w:t>-</w:t>
            </w:r>
            <w:r w:rsidRPr="00CC79CF">
              <w:rPr>
                <w:color w:val="000000"/>
                <w:sz w:val="14"/>
                <w:szCs w:val="14"/>
              </w:rPr>
              <w:t>3.71 ± 2.35</w:t>
            </w:r>
          </w:p>
        </w:tc>
        <w:tc>
          <w:tcPr>
            <w:tcW w:w="1725"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Pr>
                <w:color w:val="000000"/>
                <w:sz w:val="14"/>
                <w:szCs w:val="14"/>
              </w:rPr>
              <w:t>-</w:t>
            </w:r>
            <w:r w:rsidRPr="00CC79CF">
              <w:rPr>
                <w:color w:val="000000"/>
                <w:sz w:val="14"/>
                <w:szCs w:val="14"/>
              </w:rPr>
              <w:t>4.22 ± 2.08</w:t>
            </w:r>
          </w:p>
        </w:tc>
        <w:tc>
          <w:tcPr>
            <w:tcW w:w="147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Pr>
                <w:color w:val="000000"/>
                <w:sz w:val="14"/>
                <w:szCs w:val="14"/>
              </w:rPr>
              <w:t>-</w:t>
            </w:r>
            <w:r w:rsidRPr="00CC79CF">
              <w:rPr>
                <w:color w:val="000000"/>
                <w:sz w:val="14"/>
                <w:szCs w:val="14"/>
              </w:rPr>
              <w:t>3.89 ± 2.08</w:t>
            </w:r>
          </w:p>
        </w:tc>
        <w:tc>
          <w:tcPr>
            <w:tcW w:w="828" w:type="dxa"/>
            <w:tcBorders>
              <w:top w:val="nil"/>
              <w:left w:val="nil"/>
              <w:bottom w:val="nil"/>
              <w:right w:val="nil"/>
            </w:tcBorders>
            <w:vAlign w:val="bottom"/>
          </w:tcPr>
          <w:p w:rsidR="002E046A" w:rsidRPr="00CC79CF" w:rsidRDefault="002E046A" w:rsidP="003C617E">
            <w:pPr>
              <w:spacing w:before="120" w:after="20" w:line="240" w:lineRule="auto"/>
              <w:jc w:val="center"/>
              <w:rPr>
                <w:color w:val="000000"/>
                <w:sz w:val="14"/>
                <w:szCs w:val="14"/>
              </w:rPr>
            </w:pPr>
            <w:r w:rsidRPr="00CC79CF">
              <w:rPr>
                <w:color w:val="000000"/>
                <w:sz w:val="14"/>
                <w:szCs w:val="14"/>
              </w:rPr>
              <w:t>0.738</w:t>
            </w:r>
          </w:p>
        </w:tc>
        <w:tc>
          <w:tcPr>
            <w:tcW w:w="1640" w:type="dxa"/>
            <w:tcBorders>
              <w:top w:val="nil"/>
              <w:left w:val="nil"/>
              <w:bottom w:val="nil"/>
              <w:right w:val="nil"/>
            </w:tcBorders>
            <w:vAlign w:val="bottom"/>
          </w:tcPr>
          <w:p w:rsidR="002E046A" w:rsidRPr="00CC79CF" w:rsidRDefault="002E046A" w:rsidP="003C617E">
            <w:pPr>
              <w:spacing w:before="120" w:after="20" w:line="240" w:lineRule="auto"/>
              <w:rPr>
                <w:color w:val="000000"/>
                <w:sz w:val="14"/>
                <w:szCs w:val="14"/>
              </w:rPr>
            </w:pPr>
          </w:p>
        </w:tc>
      </w:tr>
      <w:tr w:rsidR="002E046A" w:rsidRPr="00CC79CF" w:rsidTr="003C617E">
        <w:trPr>
          <w:jc w:val="center"/>
        </w:trPr>
        <w:tc>
          <w:tcPr>
            <w:tcW w:w="1188" w:type="dxa"/>
            <w:vMerge/>
            <w:tcBorders>
              <w:left w:val="nil"/>
              <w:bottom w:val="single" w:sz="4" w:space="0" w:color="auto"/>
              <w:right w:val="nil"/>
            </w:tcBorders>
          </w:tcPr>
          <w:p w:rsidR="002E046A" w:rsidRPr="00CC79CF" w:rsidRDefault="002E046A" w:rsidP="003C617E">
            <w:pPr>
              <w:spacing w:before="20" w:after="20" w:line="240" w:lineRule="auto"/>
              <w:rPr>
                <w:sz w:val="14"/>
                <w:szCs w:val="14"/>
              </w:rPr>
            </w:pPr>
          </w:p>
        </w:tc>
        <w:tc>
          <w:tcPr>
            <w:tcW w:w="2294" w:type="dxa"/>
            <w:tcBorders>
              <w:top w:val="nil"/>
              <w:left w:val="nil"/>
              <w:bottom w:val="single" w:sz="4" w:space="0" w:color="auto"/>
              <w:right w:val="nil"/>
            </w:tcBorders>
            <w:vAlign w:val="bottom"/>
          </w:tcPr>
          <w:p w:rsidR="002E046A" w:rsidRPr="00CC79CF" w:rsidRDefault="002E046A" w:rsidP="003C617E">
            <w:pPr>
              <w:spacing w:before="20" w:after="20" w:line="240" w:lineRule="auto"/>
              <w:rPr>
                <w:sz w:val="14"/>
                <w:szCs w:val="14"/>
              </w:rPr>
            </w:pPr>
            <w:r w:rsidRPr="00CC79CF">
              <w:rPr>
                <w:sz w:val="14"/>
                <w:szCs w:val="14"/>
              </w:rPr>
              <w:t xml:space="preserve">Hindfoot/Tibia – Inversion </w:t>
            </w:r>
          </w:p>
        </w:tc>
        <w:tc>
          <w:tcPr>
            <w:tcW w:w="1068" w:type="dxa"/>
            <w:tcBorders>
              <w:top w:val="nil"/>
              <w:left w:val="nil"/>
              <w:bottom w:val="single" w:sz="4" w:space="0" w:color="auto"/>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1.22 ± 1.42</w:t>
            </w:r>
          </w:p>
        </w:tc>
        <w:tc>
          <w:tcPr>
            <w:tcW w:w="1593" w:type="dxa"/>
            <w:tcBorders>
              <w:top w:val="nil"/>
              <w:left w:val="nil"/>
              <w:bottom w:val="single" w:sz="4" w:space="0" w:color="auto"/>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1.31 ± 1.37</w:t>
            </w:r>
          </w:p>
        </w:tc>
        <w:tc>
          <w:tcPr>
            <w:tcW w:w="1346" w:type="dxa"/>
            <w:tcBorders>
              <w:top w:val="nil"/>
              <w:left w:val="nil"/>
              <w:bottom w:val="single" w:sz="4" w:space="0" w:color="auto"/>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1.66 ± 1.79</w:t>
            </w:r>
          </w:p>
        </w:tc>
        <w:tc>
          <w:tcPr>
            <w:tcW w:w="1725" w:type="dxa"/>
            <w:tcBorders>
              <w:top w:val="nil"/>
              <w:left w:val="nil"/>
              <w:bottom w:val="single" w:sz="4" w:space="0" w:color="auto"/>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0.96 ± 1.50</w:t>
            </w:r>
          </w:p>
        </w:tc>
        <w:tc>
          <w:tcPr>
            <w:tcW w:w="1478" w:type="dxa"/>
            <w:tcBorders>
              <w:top w:val="nil"/>
              <w:left w:val="nil"/>
              <w:bottom w:val="single" w:sz="4" w:space="0" w:color="auto"/>
              <w:right w:val="nil"/>
            </w:tcBorders>
            <w:vAlign w:val="bottom"/>
          </w:tcPr>
          <w:p w:rsidR="002E046A" w:rsidRPr="00CC79CF" w:rsidRDefault="002E046A" w:rsidP="003C617E">
            <w:pPr>
              <w:spacing w:before="20" w:after="20" w:line="240" w:lineRule="auto"/>
              <w:jc w:val="center"/>
              <w:rPr>
                <w:color w:val="000000"/>
                <w:sz w:val="14"/>
                <w:szCs w:val="14"/>
              </w:rPr>
            </w:pPr>
            <w:r>
              <w:rPr>
                <w:color w:val="000000"/>
                <w:sz w:val="14"/>
                <w:szCs w:val="14"/>
              </w:rPr>
              <w:t>-</w:t>
            </w:r>
            <w:r w:rsidRPr="00CC79CF">
              <w:rPr>
                <w:color w:val="000000"/>
                <w:sz w:val="14"/>
                <w:szCs w:val="14"/>
              </w:rPr>
              <w:t>1.09 ± 1.25</w:t>
            </w:r>
          </w:p>
        </w:tc>
        <w:tc>
          <w:tcPr>
            <w:tcW w:w="828" w:type="dxa"/>
            <w:tcBorders>
              <w:top w:val="nil"/>
              <w:left w:val="nil"/>
              <w:bottom w:val="single" w:sz="4" w:space="0" w:color="auto"/>
              <w:right w:val="nil"/>
            </w:tcBorders>
            <w:vAlign w:val="bottom"/>
          </w:tcPr>
          <w:p w:rsidR="002E046A" w:rsidRPr="00CC79CF" w:rsidRDefault="002E046A" w:rsidP="003C617E">
            <w:pPr>
              <w:spacing w:before="20" w:after="20" w:line="240" w:lineRule="auto"/>
              <w:jc w:val="center"/>
              <w:rPr>
                <w:color w:val="000000"/>
                <w:sz w:val="14"/>
                <w:szCs w:val="14"/>
              </w:rPr>
            </w:pPr>
            <w:r w:rsidRPr="00CC79CF">
              <w:rPr>
                <w:color w:val="000000"/>
                <w:sz w:val="14"/>
                <w:szCs w:val="14"/>
              </w:rPr>
              <w:t>0.125</w:t>
            </w:r>
          </w:p>
        </w:tc>
        <w:tc>
          <w:tcPr>
            <w:tcW w:w="1640" w:type="dxa"/>
            <w:tcBorders>
              <w:top w:val="nil"/>
              <w:left w:val="nil"/>
              <w:bottom w:val="single" w:sz="4" w:space="0" w:color="auto"/>
              <w:right w:val="nil"/>
            </w:tcBorders>
            <w:vAlign w:val="bottom"/>
          </w:tcPr>
          <w:p w:rsidR="002E046A" w:rsidRPr="00CC79CF" w:rsidRDefault="002E046A" w:rsidP="003C617E">
            <w:pPr>
              <w:spacing w:before="20" w:after="20" w:line="240" w:lineRule="auto"/>
              <w:rPr>
                <w:color w:val="000000"/>
                <w:sz w:val="14"/>
                <w:szCs w:val="14"/>
              </w:rPr>
            </w:pPr>
          </w:p>
        </w:tc>
      </w:tr>
    </w:tbl>
    <w:p w:rsidR="002E046A" w:rsidRDefault="002E046A" w:rsidP="002E046A">
      <w:pPr>
        <w:spacing w:after="0" w:line="240" w:lineRule="auto"/>
        <w:rPr>
          <w:sz w:val="14"/>
          <w:szCs w:val="14"/>
        </w:rPr>
      </w:pPr>
      <w:r w:rsidRPr="00F949B1">
        <w:rPr>
          <w:sz w:val="14"/>
          <w:szCs w:val="14"/>
        </w:rPr>
        <w:t xml:space="preserve">Note: SO = Shoe only; </w:t>
      </w:r>
      <w:r w:rsidRPr="004639C5">
        <w:rPr>
          <w:sz w:val="14"/>
          <w:szCs w:val="14"/>
        </w:rPr>
        <w:t xml:space="preserve">PU MD = PU medium density; PU LD = PU low density; </w:t>
      </w:r>
      <w:r w:rsidRPr="00F949B1">
        <w:rPr>
          <w:sz w:val="14"/>
          <w:szCs w:val="14"/>
        </w:rPr>
        <w:t>EVA MD = EVA medium density</w:t>
      </w:r>
      <w:r>
        <w:rPr>
          <w:sz w:val="14"/>
          <w:szCs w:val="14"/>
        </w:rPr>
        <w:t>.</w:t>
      </w:r>
      <w:r w:rsidRPr="00BF1F49">
        <w:rPr>
          <w:sz w:val="14"/>
          <w:szCs w:val="14"/>
        </w:rPr>
        <w:t xml:space="preserve"> </w:t>
      </w:r>
      <w:r>
        <w:rPr>
          <w:sz w:val="14"/>
          <w:szCs w:val="14"/>
        </w:rPr>
        <w:t>; NSD = no significant difference</w:t>
      </w:r>
    </w:p>
    <w:p w:rsidR="002E046A" w:rsidRDefault="002E046A" w:rsidP="002E046A">
      <w:pPr>
        <w:spacing w:after="0" w:line="240" w:lineRule="auto"/>
        <w:rPr>
          <w:sz w:val="14"/>
          <w:szCs w:val="14"/>
        </w:rPr>
      </w:pPr>
      <w:r w:rsidRPr="00F949B1">
        <w:rPr>
          <w:sz w:val="14"/>
          <w:szCs w:val="14"/>
        </w:rPr>
        <w:t>*Significant differenc</w:t>
      </w:r>
      <w:r>
        <w:rPr>
          <w:sz w:val="14"/>
          <w:szCs w:val="14"/>
        </w:rPr>
        <w:t>e (p ≤ 0.05) between conditions</w:t>
      </w:r>
    </w:p>
    <w:p w:rsidR="002E046A" w:rsidRDefault="002E046A" w:rsidP="002E046A">
      <w:pPr>
        <w:spacing w:after="0" w:line="240" w:lineRule="auto"/>
      </w:pPr>
      <w:r>
        <w:rPr>
          <w:sz w:val="14"/>
          <w:szCs w:val="14"/>
        </w:rPr>
        <w:t>**+ = in</w:t>
      </w:r>
      <w:r w:rsidRPr="00C10E0B">
        <w:rPr>
          <w:sz w:val="14"/>
          <w:szCs w:val="14"/>
        </w:rPr>
        <w:t>crease in angle from heel</w:t>
      </w:r>
      <w:r>
        <w:rPr>
          <w:sz w:val="14"/>
          <w:szCs w:val="14"/>
        </w:rPr>
        <w:t xml:space="preserve"> strike to 6% gait cycle; - = de</w:t>
      </w:r>
      <w:r w:rsidRPr="00C10E0B">
        <w:rPr>
          <w:sz w:val="14"/>
          <w:szCs w:val="14"/>
        </w:rPr>
        <w:t>crease in angle from heel strike to 6% gait cycle</w:t>
      </w:r>
    </w:p>
    <w:p w:rsidR="002E046A" w:rsidRDefault="002E046A" w:rsidP="002E046A">
      <w:pPr>
        <w:spacing w:line="240" w:lineRule="auto"/>
      </w:pPr>
    </w:p>
    <w:p w:rsidR="002E046A" w:rsidRDefault="002E046A" w:rsidP="002E046A">
      <w:pPr>
        <w:spacing w:line="240" w:lineRule="auto"/>
      </w:pPr>
    </w:p>
    <w:p w:rsidR="002E046A" w:rsidRPr="00215A44" w:rsidRDefault="002E046A" w:rsidP="002E046A"/>
    <w:p w:rsidR="002E046A" w:rsidRDefault="002E046A" w:rsidP="002E046A"/>
    <w:p w:rsidR="002E046A" w:rsidRDefault="002E046A" w:rsidP="002E046A"/>
    <w:p w:rsidR="002E046A" w:rsidRDefault="002E046A" w:rsidP="002E046A"/>
    <w:p w:rsidR="00165C2B" w:rsidRPr="008D237F" w:rsidRDefault="00165C2B" w:rsidP="0051671D">
      <w:pPr>
        <w:pStyle w:val="NormalWeb"/>
        <w:spacing w:line="480" w:lineRule="auto"/>
        <w:rPr>
          <w:rFonts w:ascii="Arial" w:hAnsi="Arial" w:cs="Arial"/>
          <w:sz w:val="22"/>
          <w:szCs w:val="22"/>
        </w:rPr>
      </w:pPr>
      <w:bookmarkStart w:id="8" w:name="_GoBack"/>
      <w:bookmarkEnd w:id="8"/>
    </w:p>
    <w:sectPr w:rsidR="00165C2B" w:rsidRPr="008D237F" w:rsidSect="00FA7B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D09" w:rsidRDefault="00E31D09" w:rsidP="00F8188E">
      <w:pPr>
        <w:spacing w:after="0" w:line="240" w:lineRule="auto"/>
      </w:pPr>
      <w:r>
        <w:separator/>
      </w:r>
    </w:p>
  </w:endnote>
  <w:endnote w:type="continuationSeparator" w:id="0">
    <w:p w:rsidR="00E31D09" w:rsidRDefault="00E31D09" w:rsidP="00F8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37F" w:rsidRDefault="008D2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84A" w:rsidRDefault="00E31D09">
    <w:pPr>
      <w:pStyle w:val="Footer"/>
      <w:jc w:val="right"/>
    </w:pPr>
    <w:r>
      <w:fldChar w:fldCharType="begin"/>
    </w:r>
    <w:r>
      <w:instrText xml:space="preserve"> PAGE   \* MERGEFORMAT </w:instrText>
    </w:r>
    <w:r>
      <w:fldChar w:fldCharType="separate"/>
    </w:r>
    <w:r w:rsidR="002E046A">
      <w:rPr>
        <w:noProof/>
      </w:rPr>
      <w:t>23</w:t>
    </w:r>
    <w:r>
      <w:rPr>
        <w:noProof/>
      </w:rPr>
      <w:fldChar w:fldCharType="end"/>
    </w:r>
  </w:p>
  <w:p w:rsidR="0013684A" w:rsidRDefault="00136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37F" w:rsidRDefault="008D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D09" w:rsidRDefault="00E31D09" w:rsidP="00F8188E">
      <w:pPr>
        <w:spacing w:after="0" w:line="240" w:lineRule="auto"/>
      </w:pPr>
      <w:r>
        <w:separator/>
      </w:r>
    </w:p>
  </w:footnote>
  <w:footnote w:type="continuationSeparator" w:id="0">
    <w:p w:rsidR="00E31D09" w:rsidRDefault="00E31D09" w:rsidP="00F81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37F" w:rsidRDefault="008D2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37F" w:rsidRDefault="008D2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37F" w:rsidRDefault="008D2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43A9A"/>
    <w:multiLevelType w:val="multilevel"/>
    <w:tmpl w:val="07D24088"/>
    <w:lvl w:ilvl="0">
      <w:start w:val="1"/>
      <w:numFmt w:val="decimal"/>
      <w:lvlText w:val="%1."/>
      <w:lvlJc w:val="left"/>
      <w:pPr>
        <w:ind w:left="360" w:hanging="360"/>
      </w:pPr>
      <w:rPr>
        <w:rFonts w:cs="Times New Roman"/>
        <w:sz w:val="22"/>
        <w:szCs w:val="22"/>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5"/>
    <w:rsid w:val="000012C1"/>
    <w:rsid w:val="0000516B"/>
    <w:rsid w:val="00026BCF"/>
    <w:rsid w:val="00032BF4"/>
    <w:rsid w:val="0004043D"/>
    <w:rsid w:val="00043C94"/>
    <w:rsid w:val="000715A5"/>
    <w:rsid w:val="00081ACA"/>
    <w:rsid w:val="000A240E"/>
    <w:rsid w:val="000B28C8"/>
    <w:rsid w:val="000D5E2B"/>
    <w:rsid w:val="000D6309"/>
    <w:rsid w:val="00114B69"/>
    <w:rsid w:val="0013684A"/>
    <w:rsid w:val="00141BA6"/>
    <w:rsid w:val="00145EBA"/>
    <w:rsid w:val="0016248E"/>
    <w:rsid w:val="00165C2B"/>
    <w:rsid w:val="001719AF"/>
    <w:rsid w:val="001972B4"/>
    <w:rsid w:val="001A1CD8"/>
    <w:rsid w:val="001A2367"/>
    <w:rsid w:val="001A456B"/>
    <w:rsid w:val="001B5552"/>
    <w:rsid w:val="001C14DE"/>
    <w:rsid w:val="002036E2"/>
    <w:rsid w:val="0021315F"/>
    <w:rsid w:val="002205C0"/>
    <w:rsid w:val="00242F1A"/>
    <w:rsid w:val="002668F1"/>
    <w:rsid w:val="002A3174"/>
    <w:rsid w:val="002D0123"/>
    <w:rsid w:val="002D02CA"/>
    <w:rsid w:val="002D4C8F"/>
    <w:rsid w:val="002E046A"/>
    <w:rsid w:val="002E44D0"/>
    <w:rsid w:val="002F1980"/>
    <w:rsid w:val="0031548F"/>
    <w:rsid w:val="00374A68"/>
    <w:rsid w:val="00375BDD"/>
    <w:rsid w:val="00384F0D"/>
    <w:rsid w:val="003874BF"/>
    <w:rsid w:val="003A1532"/>
    <w:rsid w:val="003A2099"/>
    <w:rsid w:val="003A616A"/>
    <w:rsid w:val="003C4572"/>
    <w:rsid w:val="004371CA"/>
    <w:rsid w:val="004A78D8"/>
    <w:rsid w:val="004B044D"/>
    <w:rsid w:val="004B357F"/>
    <w:rsid w:val="004D09D4"/>
    <w:rsid w:val="0051671D"/>
    <w:rsid w:val="00535F25"/>
    <w:rsid w:val="00542ED8"/>
    <w:rsid w:val="00554436"/>
    <w:rsid w:val="00560E0B"/>
    <w:rsid w:val="00576191"/>
    <w:rsid w:val="00592157"/>
    <w:rsid w:val="005A29C8"/>
    <w:rsid w:val="005B11A4"/>
    <w:rsid w:val="005C6A4B"/>
    <w:rsid w:val="005D586D"/>
    <w:rsid w:val="00627D96"/>
    <w:rsid w:val="006534ED"/>
    <w:rsid w:val="006609EE"/>
    <w:rsid w:val="006E0D05"/>
    <w:rsid w:val="007036DC"/>
    <w:rsid w:val="00721671"/>
    <w:rsid w:val="00737878"/>
    <w:rsid w:val="00755F25"/>
    <w:rsid w:val="00771A9E"/>
    <w:rsid w:val="007A7162"/>
    <w:rsid w:val="007C41B4"/>
    <w:rsid w:val="007C5618"/>
    <w:rsid w:val="007D2199"/>
    <w:rsid w:val="007F3235"/>
    <w:rsid w:val="00810A23"/>
    <w:rsid w:val="0081132D"/>
    <w:rsid w:val="00812D4F"/>
    <w:rsid w:val="00845AAE"/>
    <w:rsid w:val="008A02D0"/>
    <w:rsid w:val="008D237F"/>
    <w:rsid w:val="008D6EC2"/>
    <w:rsid w:val="0090041E"/>
    <w:rsid w:val="00947195"/>
    <w:rsid w:val="00953F8F"/>
    <w:rsid w:val="00962040"/>
    <w:rsid w:val="00983811"/>
    <w:rsid w:val="009A6808"/>
    <w:rsid w:val="009B5B13"/>
    <w:rsid w:val="00A064E8"/>
    <w:rsid w:val="00A160F1"/>
    <w:rsid w:val="00A30BBF"/>
    <w:rsid w:val="00A354CD"/>
    <w:rsid w:val="00A46F3F"/>
    <w:rsid w:val="00A67DC5"/>
    <w:rsid w:val="00A81416"/>
    <w:rsid w:val="00A93292"/>
    <w:rsid w:val="00AA3547"/>
    <w:rsid w:val="00AD662D"/>
    <w:rsid w:val="00AE0C4C"/>
    <w:rsid w:val="00B34FB8"/>
    <w:rsid w:val="00B43511"/>
    <w:rsid w:val="00B44FFF"/>
    <w:rsid w:val="00B83E9C"/>
    <w:rsid w:val="00BC4D51"/>
    <w:rsid w:val="00BF0E04"/>
    <w:rsid w:val="00C027CD"/>
    <w:rsid w:val="00C33D51"/>
    <w:rsid w:val="00C3495B"/>
    <w:rsid w:val="00C57526"/>
    <w:rsid w:val="00C667BA"/>
    <w:rsid w:val="00C74DCF"/>
    <w:rsid w:val="00C75E20"/>
    <w:rsid w:val="00C93A4D"/>
    <w:rsid w:val="00CB7069"/>
    <w:rsid w:val="00CD3D4F"/>
    <w:rsid w:val="00CF55B3"/>
    <w:rsid w:val="00D04863"/>
    <w:rsid w:val="00D20FC1"/>
    <w:rsid w:val="00D347CC"/>
    <w:rsid w:val="00D61DA3"/>
    <w:rsid w:val="00DC27F9"/>
    <w:rsid w:val="00E16DF9"/>
    <w:rsid w:val="00E170D8"/>
    <w:rsid w:val="00E31D09"/>
    <w:rsid w:val="00E50532"/>
    <w:rsid w:val="00E8098C"/>
    <w:rsid w:val="00E876D2"/>
    <w:rsid w:val="00E967E5"/>
    <w:rsid w:val="00EC1005"/>
    <w:rsid w:val="00EC6B8A"/>
    <w:rsid w:val="00EF2EF8"/>
    <w:rsid w:val="00EF3D45"/>
    <w:rsid w:val="00F27B6D"/>
    <w:rsid w:val="00F729C4"/>
    <w:rsid w:val="00F8188E"/>
    <w:rsid w:val="00F82CAE"/>
    <w:rsid w:val="00F94974"/>
    <w:rsid w:val="00F94E4D"/>
    <w:rsid w:val="00FA1277"/>
    <w:rsid w:val="00FA31C5"/>
    <w:rsid w:val="00FB62AF"/>
    <w:rsid w:val="00FE0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B9CA"/>
  <w15:docId w15:val="{F707EA07-6035-47A9-BEFA-107D4ED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9EE"/>
    <w:pPr>
      <w:spacing w:after="200" w:line="276" w:lineRule="auto"/>
    </w:pPr>
    <w:rPr>
      <w:rFonts w:ascii="Arial" w:hAnsi="Arial" w:cs="Arial"/>
      <w:sz w:val="22"/>
      <w:szCs w:val="22"/>
      <w:lang w:eastAsia="en-US" w:bidi="en-US"/>
    </w:rPr>
  </w:style>
  <w:style w:type="paragraph" w:styleId="Heading1">
    <w:name w:val="heading 1"/>
    <w:basedOn w:val="Normal"/>
    <w:next w:val="Normal"/>
    <w:link w:val="Heading1Char"/>
    <w:uiPriority w:val="99"/>
    <w:qFormat/>
    <w:rsid w:val="006609EE"/>
    <w:pPr>
      <w:spacing w:before="240" w:after="0"/>
      <w:contextualSpacing/>
      <w:outlineLvl w:val="0"/>
    </w:pPr>
    <w:rPr>
      <w:rFonts w:cs="Times New Roman"/>
      <w:b/>
      <w:bCs/>
      <w:sz w:val="28"/>
      <w:szCs w:val="28"/>
      <w:lang w:val="en-US"/>
    </w:rPr>
  </w:style>
  <w:style w:type="paragraph" w:styleId="Heading2">
    <w:name w:val="heading 2"/>
    <w:basedOn w:val="Normal"/>
    <w:next w:val="Normal"/>
    <w:link w:val="Heading2Char"/>
    <w:uiPriority w:val="99"/>
    <w:qFormat/>
    <w:rsid w:val="006609EE"/>
    <w:pPr>
      <w:spacing w:before="200" w:after="0"/>
      <w:outlineLvl w:val="1"/>
    </w:pPr>
    <w:rPr>
      <w:rFonts w:cs="Times New Roman"/>
      <w:b/>
      <w:bCs/>
      <w:sz w:val="26"/>
      <w:szCs w:val="26"/>
      <w:lang w:val="en-US"/>
    </w:rPr>
  </w:style>
  <w:style w:type="paragraph" w:styleId="Heading3">
    <w:name w:val="heading 3"/>
    <w:basedOn w:val="Normal"/>
    <w:next w:val="Normal"/>
    <w:link w:val="Heading3Char"/>
    <w:uiPriority w:val="99"/>
    <w:qFormat/>
    <w:rsid w:val="006609EE"/>
    <w:pPr>
      <w:spacing w:before="200" w:after="0" w:line="271" w:lineRule="auto"/>
      <w:outlineLvl w:val="2"/>
    </w:pPr>
    <w:rPr>
      <w:rFonts w:cs="Times New Roman"/>
      <w:b/>
      <w:bCs/>
      <w:sz w:val="24"/>
      <w:lang w:val="en-US"/>
    </w:rPr>
  </w:style>
  <w:style w:type="paragraph" w:styleId="Heading4">
    <w:name w:val="heading 4"/>
    <w:basedOn w:val="Normal"/>
    <w:next w:val="Normal"/>
    <w:link w:val="Heading4Char"/>
    <w:uiPriority w:val="99"/>
    <w:qFormat/>
    <w:rsid w:val="006609EE"/>
    <w:pPr>
      <w:spacing w:before="200" w:after="0"/>
      <w:outlineLvl w:val="3"/>
    </w:pPr>
    <w:rPr>
      <w:rFonts w:cs="Times New Roman"/>
      <w:b/>
      <w:bCs/>
      <w:i/>
      <w:iCs/>
      <w:lang w:val="en-US"/>
    </w:rPr>
  </w:style>
  <w:style w:type="paragraph" w:styleId="Heading5">
    <w:name w:val="heading 5"/>
    <w:basedOn w:val="Normal"/>
    <w:next w:val="Normal"/>
    <w:link w:val="Heading5Char"/>
    <w:uiPriority w:val="99"/>
    <w:qFormat/>
    <w:rsid w:val="006609EE"/>
    <w:pPr>
      <w:spacing w:before="200" w:after="0"/>
      <w:outlineLvl w:val="4"/>
    </w:pPr>
    <w:rPr>
      <w:b/>
      <w:bCs/>
      <w:i/>
    </w:rPr>
  </w:style>
  <w:style w:type="paragraph" w:styleId="Heading6">
    <w:name w:val="heading 6"/>
    <w:basedOn w:val="Normal"/>
    <w:next w:val="Normal"/>
    <w:link w:val="Heading6Char"/>
    <w:uiPriority w:val="99"/>
    <w:qFormat/>
    <w:rsid w:val="006609EE"/>
    <w:pPr>
      <w:spacing w:after="0" w:line="271" w:lineRule="auto"/>
      <w:outlineLvl w:val="5"/>
    </w:pPr>
    <w:rPr>
      <w:rFonts w:ascii="Cambria" w:hAnsi="Cambria" w:cs="Times New Roman"/>
      <w:b/>
      <w:bCs/>
      <w:i/>
      <w:iCs/>
      <w:color w:val="7F7F7F"/>
      <w:sz w:val="20"/>
      <w:szCs w:val="20"/>
      <w:lang w:eastAsia="en-GB" w:bidi="ar-SA"/>
    </w:rPr>
  </w:style>
  <w:style w:type="paragraph" w:styleId="Heading7">
    <w:name w:val="heading 7"/>
    <w:basedOn w:val="Normal"/>
    <w:next w:val="Normal"/>
    <w:link w:val="Heading7Char"/>
    <w:uiPriority w:val="99"/>
    <w:qFormat/>
    <w:rsid w:val="006609EE"/>
    <w:pPr>
      <w:spacing w:after="0"/>
      <w:outlineLvl w:val="6"/>
    </w:pPr>
    <w:rPr>
      <w:rFonts w:ascii="Cambria" w:hAnsi="Cambria" w:cs="Times New Roman"/>
      <w:i/>
      <w:iCs/>
      <w:sz w:val="20"/>
      <w:szCs w:val="20"/>
      <w:lang w:eastAsia="en-GB" w:bidi="ar-SA"/>
    </w:rPr>
  </w:style>
  <w:style w:type="paragraph" w:styleId="Heading8">
    <w:name w:val="heading 8"/>
    <w:basedOn w:val="Normal"/>
    <w:next w:val="Normal"/>
    <w:link w:val="Heading8Char"/>
    <w:uiPriority w:val="99"/>
    <w:qFormat/>
    <w:rsid w:val="006609EE"/>
    <w:pPr>
      <w:spacing w:after="0"/>
      <w:outlineLvl w:val="7"/>
    </w:pPr>
    <w:rPr>
      <w:rFonts w:ascii="Cambria" w:hAnsi="Cambria" w:cs="Times New Roman"/>
      <w:sz w:val="20"/>
      <w:szCs w:val="20"/>
      <w:lang w:eastAsia="en-GB" w:bidi="ar-SA"/>
    </w:rPr>
  </w:style>
  <w:style w:type="paragraph" w:styleId="Heading9">
    <w:name w:val="heading 9"/>
    <w:basedOn w:val="Normal"/>
    <w:next w:val="Normal"/>
    <w:link w:val="Heading9Char"/>
    <w:uiPriority w:val="99"/>
    <w:qFormat/>
    <w:rsid w:val="006609EE"/>
    <w:pPr>
      <w:spacing w:after="0"/>
      <w:outlineLvl w:val="8"/>
    </w:pPr>
    <w:rPr>
      <w:rFonts w:ascii="Cambria" w:hAnsi="Cambria" w:cs="Times New Roman"/>
      <w:i/>
      <w:iCs/>
      <w:spacing w:val="5"/>
      <w:sz w:val="20"/>
      <w:szCs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9EE"/>
    <w:rPr>
      <w:rFonts w:ascii="Arial" w:hAnsi="Arial"/>
      <w:b/>
      <w:bCs/>
      <w:sz w:val="28"/>
      <w:szCs w:val="28"/>
      <w:lang w:val="en-US" w:eastAsia="en-US" w:bidi="en-US"/>
    </w:rPr>
  </w:style>
  <w:style w:type="character" w:customStyle="1" w:styleId="Heading2Char">
    <w:name w:val="Heading 2 Char"/>
    <w:basedOn w:val="DefaultParagraphFont"/>
    <w:link w:val="Heading2"/>
    <w:uiPriority w:val="9"/>
    <w:rsid w:val="006609EE"/>
    <w:rPr>
      <w:rFonts w:ascii="Arial" w:hAnsi="Arial"/>
      <w:b/>
      <w:bCs/>
      <w:sz w:val="26"/>
      <w:szCs w:val="26"/>
      <w:lang w:val="en-US" w:eastAsia="en-US" w:bidi="en-US"/>
    </w:rPr>
  </w:style>
  <w:style w:type="character" w:customStyle="1" w:styleId="Heading3Char">
    <w:name w:val="Heading 3 Char"/>
    <w:basedOn w:val="DefaultParagraphFont"/>
    <w:link w:val="Heading3"/>
    <w:uiPriority w:val="99"/>
    <w:rsid w:val="006609EE"/>
    <w:rPr>
      <w:rFonts w:ascii="Arial" w:hAnsi="Arial"/>
      <w:b/>
      <w:bCs/>
      <w:sz w:val="24"/>
      <w:szCs w:val="22"/>
      <w:lang w:val="en-US" w:eastAsia="en-US" w:bidi="en-US"/>
    </w:rPr>
  </w:style>
  <w:style w:type="character" w:customStyle="1" w:styleId="Heading4Char">
    <w:name w:val="Heading 4 Char"/>
    <w:basedOn w:val="DefaultParagraphFont"/>
    <w:link w:val="Heading4"/>
    <w:uiPriority w:val="9"/>
    <w:rsid w:val="006609EE"/>
    <w:rPr>
      <w:rFonts w:ascii="Arial" w:hAnsi="Arial"/>
      <w:b/>
      <w:bCs/>
      <w:i/>
      <w:iCs/>
      <w:sz w:val="22"/>
      <w:szCs w:val="22"/>
      <w:lang w:val="en-US" w:eastAsia="en-US" w:bidi="en-US"/>
    </w:rPr>
  </w:style>
  <w:style w:type="character" w:customStyle="1" w:styleId="Heading5Char">
    <w:name w:val="Heading 5 Char"/>
    <w:basedOn w:val="DefaultParagraphFont"/>
    <w:link w:val="Heading5"/>
    <w:uiPriority w:val="9"/>
    <w:rsid w:val="006609EE"/>
    <w:rPr>
      <w:rFonts w:ascii="Arial" w:hAnsi="Arial" w:cs="Arial"/>
      <w:b/>
      <w:bCs/>
      <w:i/>
      <w:sz w:val="22"/>
      <w:szCs w:val="22"/>
      <w:lang w:eastAsia="en-US" w:bidi="en-US"/>
    </w:rPr>
  </w:style>
  <w:style w:type="character" w:customStyle="1" w:styleId="Heading6Char">
    <w:name w:val="Heading 6 Char"/>
    <w:basedOn w:val="DefaultParagraphFont"/>
    <w:link w:val="Heading6"/>
    <w:uiPriority w:val="9"/>
    <w:rsid w:val="006609E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rsid w:val="006609EE"/>
    <w:rPr>
      <w:rFonts w:ascii="Cambria" w:eastAsia="Times New Roman" w:hAnsi="Cambria" w:cs="Times New Roman"/>
      <w:i/>
      <w:iCs/>
    </w:rPr>
  </w:style>
  <w:style w:type="character" w:customStyle="1" w:styleId="Heading8Char">
    <w:name w:val="Heading 8 Char"/>
    <w:basedOn w:val="DefaultParagraphFont"/>
    <w:link w:val="Heading8"/>
    <w:uiPriority w:val="9"/>
    <w:rsid w:val="006609EE"/>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6609EE"/>
    <w:rPr>
      <w:rFonts w:ascii="Cambria" w:eastAsia="Times New Roman" w:hAnsi="Cambria" w:cs="Times New Roman"/>
      <w:i/>
      <w:iCs/>
      <w:spacing w:val="5"/>
      <w:sz w:val="20"/>
      <w:szCs w:val="20"/>
    </w:rPr>
  </w:style>
  <w:style w:type="paragraph" w:styleId="TOC1">
    <w:name w:val="toc 1"/>
    <w:basedOn w:val="Normal"/>
    <w:next w:val="Normal"/>
    <w:autoRedefine/>
    <w:uiPriority w:val="39"/>
    <w:unhideWhenUsed/>
    <w:qFormat/>
    <w:rsid w:val="006609EE"/>
    <w:pPr>
      <w:tabs>
        <w:tab w:val="left" w:pos="440"/>
        <w:tab w:val="right" w:leader="dot" w:pos="9016"/>
      </w:tabs>
    </w:pPr>
  </w:style>
  <w:style w:type="paragraph" w:styleId="TOC2">
    <w:name w:val="toc 2"/>
    <w:basedOn w:val="Normal"/>
    <w:next w:val="Normal"/>
    <w:autoRedefine/>
    <w:uiPriority w:val="39"/>
    <w:unhideWhenUsed/>
    <w:qFormat/>
    <w:rsid w:val="006609EE"/>
    <w:pPr>
      <w:tabs>
        <w:tab w:val="right" w:leader="dot" w:pos="9016"/>
      </w:tabs>
      <w:ind w:left="220"/>
    </w:pPr>
    <w:rPr>
      <w:noProof/>
    </w:rPr>
  </w:style>
  <w:style w:type="paragraph" w:styleId="TOC3">
    <w:name w:val="toc 3"/>
    <w:basedOn w:val="Normal"/>
    <w:next w:val="Normal"/>
    <w:autoRedefine/>
    <w:uiPriority w:val="39"/>
    <w:unhideWhenUsed/>
    <w:qFormat/>
    <w:rsid w:val="006609EE"/>
    <w:pPr>
      <w:ind w:left="440"/>
    </w:pPr>
  </w:style>
  <w:style w:type="paragraph" w:styleId="Caption">
    <w:name w:val="caption"/>
    <w:basedOn w:val="Normal"/>
    <w:next w:val="Normal"/>
    <w:uiPriority w:val="35"/>
    <w:qFormat/>
    <w:rsid w:val="006609EE"/>
    <w:rPr>
      <w:b/>
      <w:bCs/>
      <w:sz w:val="18"/>
      <w:szCs w:val="20"/>
    </w:rPr>
  </w:style>
  <w:style w:type="paragraph" w:styleId="Title">
    <w:name w:val="Title"/>
    <w:basedOn w:val="Normal"/>
    <w:next w:val="Normal"/>
    <w:link w:val="TitleChar"/>
    <w:uiPriority w:val="10"/>
    <w:qFormat/>
    <w:rsid w:val="006609EE"/>
    <w:pPr>
      <w:pBdr>
        <w:bottom w:val="single" w:sz="4" w:space="1" w:color="auto"/>
      </w:pBdr>
      <w:spacing w:line="240" w:lineRule="auto"/>
      <w:contextualSpacing/>
    </w:pPr>
    <w:rPr>
      <w:rFonts w:ascii="Cambria" w:hAnsi="Cambria" w:cs="Times New Roman"/>
      <w:spacing w:val="5"/>
      <w:sz w:val="52"/>
      <w:szCs w:val="52"/>
      <w:lang w:eastAsia="en-GB" w:bidi="ar-SA"/>
    </w:rPr>
  </w:style>
  <w:style w:type="character" w:customStyle="1" w:styleId="TitleChar">
    <w:name w:val="Title Char"/>
    <w:basedOn w:val="DefaultParagraphFont"/>
    <w:link w:val="Title"/>
    <w:uiPriority w:val="10"/>
    <w:rsid w:val="006609E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609EE"/>
    <w:pPr>
      <w:spacing w:after="600"/>
    </w:pPr>
    <w:rPr>
      <w:rFonts w:ascii="Cambria" w:hAnsi="Cambria" w:cs="Times New Roman"/>
      <w:i/>
      <w:iCs/>
      <w:spacing w:val="13"/>
      <w:sz w:val="24"/>
      <w:szCs w:val="24"/>
      <w:lang w:eastAsia="en-GB" w:bidi="ar-SA"/>
    </w:rPr>
  </w:style>
  <w:style w:type="character" w:customStyle="1" w:styleId="SubtitleChar">
    <w:name w:val="Subtitle Char"/>
    <w:basedOn w:val="DefaultParagraphFont"/>
    <w:link w:val="Subtitle"/>
    <w:uiPriority w:val="11"/>
    <w:rsid w:val="006609EE"/>
    <w:rPr>
      <w:rFonts w:ascii="Cambria" w:eastAsia="Times New Roman" w:hAnsi="Cambria" w:cs="Times New Roman"/>
      <w:i/>
      <w:iCs/>
      <w:spacing w:val="13"/>
      <w:sz w:val="24"/>
      <w:szCs w:val="24"/>
    </w:rPr>
  </w:style>
  <w:style w:type="character" w:styleId="Strong">
    <w:name w:val="Strong"/>
    <w:uiPriority w:val="22"/>
    <w:qFormat/>
    <w:rsid w:val="006609EE"/>
    <w:rPr>
      <w:b/>
      <w:bCs/>
    </w:rPr>
  </w:style>
  <w:style w:type="character" w:styleId="Emphasis">
    <w:name w:val="Emphasis"/>
    <w:uiPriority w:val="20"/>
    <w:qFormat/>
    <w:rsid w:val="006609EE"/>
    <w:rPr>
      <w:b/>
      <w:bCs/>
      <w:i/>
      <w:iCs/>
      <w:spacing w:val="10"/>
      <w:bdr w:val="none" w:sz="0" w:space="0" w:color="auto"/>
      <w:shd w:val="clear" w:color="auto" w:fill="auto"/>
    </w:rPr>
  </w:style>
  <w:style w:type="paragraph" w:styleId="NoSpacing">
    <w:name w:val="No Spacing"/>
    <w:basedOn w:val="Normal"/>
    <w:uiPriority w:val="1"/>
    <w:qFormat/>
    <w:rsid w:val="006609EE"/>
    <w:pPr>
      <w:spacing w:after="0" w:line="240" w:lineRule="auto"/>
    </w:pPr>
  </w:style>
  <w:style w:type="paragraph" w:styleId="ListParagraph">
    <w:name w:val="List Paragraph"/>
    <w:basedOn w:val="Normal"/>
    <w:uiPriority w:val="34"/>
    <w:qFormat/>
    <w:rsid w:val="006609EE"/>
    <w:pPr>
      <w:ind w:left="720"/>
      <w:contextualSpacing/>
    </w:pPr>
  </w:style>
  <w:style w:type="paragraph" w:styleId="Quote">
    <w:name w:val="Quote"/>
    <w:basedOn w:val="Normal"/>
    <w:next w:val="Normal"/>
    <w:link w:val="QuoteChar"/>
    <w:uiPriority w:val="29"/>
    <w:qFormat/>
    <w:rsid w:val="006609EE"/>
    <w:pPr>
      <w:spacing w:before="200" w:after="0"/>
      <w:ind w:left="360" w:right="360"/>
    </w:pPr>
    <w:rPr>
      <w:rFonts w:ascii="Calibri" w:hAnsi="Calibri" w:cs="Times New Roman"/>
      <w:i/>
      <w:iCs/>
      <w:sz w:val="20"/>
      <w:szCs w:val="20"/>
      <w:lang w:eastAsia="en-GB" w:bidi="ar-SA"/>
    </w:rPr>
  </w:style>
  <w:style w:type="character" w:customStyle="1" w:styleId="QuoteChar">
    <w:name w:val="Quote Char"/>
    <w:basedOn w:val="DefaultParagraphFont"/>
    <w:link w:val="Quote"/>
    <w:uiPriority w:val="29"/>
    <w:rsid w:val="006609EE"/>
    <w:rPr>
      <w:i/>
      <w:iCs/>
    </w:rPr>
  </w:style>
  <w:style w:type="paragraph" w:styleId="IntenseQuote">
    <w:name w:val="Intense Quote"/>
    <w:basedOn w:val="Normal"/>
    <w:next w:val="Normal"/>
    <w:link w:val="IntenseQuoteChar"/>
    <w:uiPriority w:val="30"/>
    <w:qFormat/>
    <w:rsid w:val="006609EE"/>
    <w:pPr>
      <w:pBdr>
        <w:bottom w:val="single" w:sz="4" w:space="1" w:color="auto"/>
      </w:pBdr>
      <w:spacing w:before="200" w:after="280"/>
      <w:ind w:left="1008" w:right="1152"/>
      <w:jc w:val="both"/>
    </w:pPr>
    <w:rPr>
      <w:rFonts w:ascii="Calibri" w:hAnsi="Calibri" w:cs="Times New Roman"/>
      <w:b/>
      <w:bCs/>
      <w:i/>
      <w:iCs/>
      <w:sz w:val="20"/>
      <w:szCs w:val="20"/>
      <w:lang w:eastAsia="en-GB" w:bidi="ar-SA"/>
    </w:rPr>
  </w:style>
  <w:style w:type="character" w:customStyle="1" w:styleId="IntenseQuoteChar">
    <w:name w:val="Intense Quote Char"/>
    <w:basedOn w:val="DefaultParagraphFont"/>
    <w:link w:val="IntenseQuote"/>
    <w:uiPriority w:val="30"/>
    <w:rsid w:val="006609EE"/>
    <w:rPr>
      <w:b/>
      <w:bCs/>
      <w:i/>
      <w:iCs/>
    </w:rPr>
  </w:style>
  <w:style w:type="character" w:styleId="SubtleEmphasis">
    <w:name w:val="Subtle Emphasis"/>
    <w:uiPriority w:val="19"/>
    <w:qFormat/>
    <w:rsid w:val="006609EE"/>
    <w:rPr>
      <w:i/>
      <w:iCs/>
    </w:rPr>
  </w:style>
  <w:style w:type="character" w:styleId="IntenseEmphasis">
    <w:name w:val="Intense Emphasis"/>
    <w:uiPriority w:val="21"/>
    <w:qFormat/>
    <w:rsid w:val="006609EE"/>
    <w:rPr>
      <w:b/>
      <w:bCs/>
    </w:rPr>
  </w:style>
  <w:style w:type="character" w:styleId="SubtleReference">
    <w:name w:val="Subtle Reference"/>
    <w:uiPriority w:val="31"/>
    <w:qFormat/>
    <w:rsid w:val="006609EE"/>
    <w:rPr>
      <w:smallCaps/>
    </w:rPr>
  </w:style>
  <w:style w:type="character" w:styleId="IntenseReference">
    <w:name w:val="Intense Reference"/>
    <w:uiPriority w:val="32"/>
    <w:qFormat/>
    <w:rsid w:val="006609EE"/>
    <w:rPr>
      <w:smallCaps/>
      <w:spacing w:val="5"/>
      <w:u w:val="single"/>
    </w:rPr>
  </w:style>
  <w:style w:type="character" w:styleId="BookTitle">
    <w:name w:val="Book Title"/>
    <w:uiPriority w:val="33"/>
    <w:qFormat/>
    <w:rsid w:val="006609EE"/>
    <w:rPr>
      <w:i/>
      <w:iCs/>
      <w:smallCaps/>
      <w:spacing w:val="5"/>
    </w:rPr>
  </w:style>
  <w:style w:type="paragraph" w:styleId="TOCHeading">
    <w:name w:val="TOC Heading"/>
    <w:basedOn w:val="Heading1"/>
    <w:next w:val="Normal"/>
    <w:uiPriority w:val="39"/>
    <w:qFormat/>
    <w:rsid w:val="006609EE"/>
    <w:pPr>
      <w:outlineLvl w:val="9"/>
    </w:pPr>
    <w:rPr>
      <w:rFonts w:cs="Arial"/>
      <w:lang w:val="en-GB"/>
    </w:rPr>
  </w:style>
  <w:style w:type="paragraph" w:styleId="NormalWeb">
    <w:name w:val="Normal (Web)"/>
    <w:basedOn w:val="Normal"/>
    <w:uiPriority w:val="99"/>
    <w:rsid w:val="00EF2EF8"/>
    <w:pPr>
      <w:spacing w:before="100" w:beforeAutospacing="1" w:after="100" w:afterAutospacing="1" w:line="240" w:lineRule="auto"/>
    </w:pPr>
    <w:rPr>
      <w:rFonts w:ascii="Times New Roman" w:hAnsi="Times New Roman" w:cs="Times New Roman"/>
      <w:sz w:val="24"/>
      <w:szCs w:val="24"/>
      <w:lang w:eastAsia="en-GB" w:bidi="ar-SA"/>
    </w:rPr>
  </w:style>
  <w:style w:type="paragraph" w:styleId="Header">
    <w:name w:val="header"/>
    <w:basedOn w:val="Normal"/>
    <w:link w:val="HeaderChar"/>
    <w:uiPriority w:val="99"/>
    <w:semiHidden/>
    <w:unhideWhenUsed/>
    <w:rsid w:val="00F818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188E"/>
    <w:rPr>
      <w:rFonts w:ascii="Arial" w:hAnsi="Arial" w:cs="Arial"/>
      <w:sz w:val="22"/>
      <w:szCs w:val="22"/>
      <w:lang w:eastAsia="en-US" w:bidi="en-US"/>
    </w:rPr>
  </w:style>
  <w:style w:type="paragraph" w:styleId="Footer">
    <w:name w:val="footer"/>
    <w:basedOn w:val="Normal"/>
    <w:link w:val="FooterChar"/>
    <w:uiPriority w:val="99"/>
    <w:unhideWhenUsed/>
    <w:rsid w:val="00F81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88E"/>
    <w:rPr>
      <w:rFonts w:ascii="Arial" w:hAnsi="Arial" w:cs="Arial"/>
      <w:sz w:val="22"/>
      <w:szCs w:val="22"/>
      <w:lang w:eastAsia="en-US" w:bidi="en-US"/>
    </w:rPr>
  </w:style>
  <w:style w:type="paragraph" w:styleId="BalloonText">
    <w:name w:val="Balloon Text"/>
    <w:basedOn w:val="Normal"/>
    <w:link w:val="BalloonTextChar"/>
    <w:uiPriority w:val="99"/>
    <w:semiHidden/>
    <w:unhideWhenUsed/>
    <w:rsid w:val="00E80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98C"/>
    <w:rPr>
      <w:rFonts w:ascii="Tahoma" w:hAnsi="Tahoma" w:cs="Tahoma"/>
      <w:sz w:val="16"/>
      <w:szCs w:val="16"/>
      <w:lang w:eastAsia="en-US" w:bidi="en-US"/>
    </w:rPr>
  </w:style>
  <w:style w:type="character" w:styleId="Hyperlink">
    <w:name w:val="Hyperlink"/>
    <w:basedOn w:val="DefaultParagraphFont"/>
    <w:uiPriority w:val="99"/>
    <w:semiHidden/>
    <w:unhideWhenUsed/>
    <w:rsid w:val="005C6A4B"/>
    <w:rPr>
      <w:color w:val="0000FF"/>
      <w:u w:val="single"/>
    </w:rPr>
  </w:style>
  <w:style w:type="character" w:styleId="LineNumber">
    <w:name w:val="line number"/>
    <w:basedOn w:val="DefaultParagraphFont"/>
    <w:uiPriority w:val="99"/>
    <w:semiHidden/>
    <w:unhideWhenUsed/>
    <w:rsid w:val="001719AF"/>
  </w:style>
  <w:style w:type="character" w:styleId="CommentReference">
    <w:name w:val="annotation reference"/>
    <w:basedOn w:val="DefaultParagraphFont"/>
    <w:uiPriority w:val="99"/>
    <w:semiHidden/>
    <w:unhideWhenUsed/>
    <w:rsid w:val="0031548F"/>
    <w:rPr>
      <w:sz w:val="16"/>
      <w:szCs w:val="16"/>
    </w:rPr>
  </w:style>
  <w:style w:type="paragraph" w:styleId="CommentText">
    <w:name w:val="annotation text"/>
    <w:basedOn w:val="Normal"/>
    <w:link w:val="CommentTextChar"/>
    <w:uiPriority w:val="99"/>
    <w:semiHidden/>
    <w:unhideWhenUsed/>
    <w:rsid w:val="0031548F"/>
    <w:pPr>
      <w:spacing w:line="240" w:lineRule="auto"/>
    </w:pPr>
    <w:rPr>
      <w:sz w:val="20"/>
      <w:szCs w:val="20"/>
    </w:rPr>
  </w:style>
  <w:style w:type="character" w:customStyle="1" w:styleId="CommentTextChar">
    <w:name w:val="Comment Text Char"/>
    <w:basedOn w:val="DefaultParagraphFont"/>
    <w:link w:val="CommentText"/>
    <w:uiPriority w:val="99"/>
    <w:semiHidden/>
    <w:rsid w:val="0031548F"/>
    <w:rPr>
      <w:rFonts w:ascii="Arial" w:hAnsi="Arial" w:cs="Arial"/>
      <w:lang w:eastAsia="en-US" w:bidi="en-US"/>
    </w:rPr>
  </w:style>
  <w:style w:type="paragraph" w:styleId="CommentSubject">
    <w:name w:val="annotation subject"/>
    <w:basedOn w:val="CommentText"/>
    <w:next w:val="CommentText"/>
    <w:link w:val="CommentSubjectChar"/>
    <w:uiPriority w:val="99"/>
    <w:semiHidden/>
    <w:unhideWhenUsed/>
    <w:rsid w:val="0031548F"/>
    <w:rPr>
      <w:b/>
      <w:bCs/>
    </w:rPr>
  </w:style>
  <w:style w:type="character" w:customStyle="1" w:styleId="CommentSubjectChar">
    <w:name w:val="Comment Subject Char"/>
    <w:basedOn w:val="CommentTextChar"/>
    <w:link w:val="CommentSubject"/>
    <w:uiPriority w:val="99"/>
    <w:semiHidden/>
    <w:rsid w:val="0031548F"/>
    <w:rPr>
      <w:rFonts w:ascii="Arial" w:hAnsi="Arial" w:cs="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421">
      <w:bodyDiv w:val="1"/>
      <w:marLeft w:val="0"/>
      <w:marRight w:val="0"/>
      <w:marTop w:val="0"/>
      <w:marBottom w:val="0"/>
      <w:divBdr>
        <w:top w:val="none" w:sz="0" w:space="0" w:color="auto"/>
        <w:left w:val="none" w:sz="0" w:space="0" w:color="auto"/>
        <w:bottom w:val="none" w:sz="0" w:space="0" w:color="auto"/>
        <w:right w:val="none" w:sz="0" w:space="0" w:color="auto"/>
      </w:divBdr>
    </w:div>
    <w:div w:id="11956115">
      <w:bodyDiv w:val="1"/>
      <w:marLeft w:val="0"/>
      <w:marRight w:val="0"/>
      <w:marTop w:val="0"/>
      <w:marBottom w:val="0"/>
      <w:divBdr>
        <w:top w:val="none" w:sz="0" w:space="0" w:color="auto"/>
        <w:left w:val="none" w:sz="0" w:space="0" w:color="auto"/>
        <w:bottom w:val="none" w:sz="0" w:space="0" w:color="auto"/>
        <w:right w:val="none" w:sz="0" w:space="0" w:color="auto"/>
      </w:divBdr>
    </w:div>
    <w:div w:id="18355208">
      <w:bodyDiv w:val="1"/>
      <w:marLeft w:val="0"/>
      <w:marRight w:val="0"/>
      <w:marTop w:val="0"/>
      <w:marBottom w:val="0"/>
      <w:divBdr>
        <w:top w:val="none" w:sz="0" w:space="0" w:color="auto"/>
        <w:left w:val="none" w:sz="0" w:space="0" w:color="auto"/>
        <w:bottom w:val="none" w:sz="0" w:space="0" w:color="auto"/>
        <w:right w:val="none" w:sz="0" w:space="0" w:color="auto"/>
      </w:divBdr>
    </w:div>
    <w:div w:id="33586065">
      <w:bodyDiv w:val="1"/>
      <w:marLeft w:val="0"/>
      <w:marRight w:val="0"/>
      <w:marTop w:val="0"/>
      <w:marBottom w:val="0"/>
      <w:divBdr>
        <w:top w:val="none" w:sz="0" w:space="0" w:color="auto"/>
        <w:left w:val="none" w:sz="0" w:space="0" w:color="auto"/>
        <w:bottom w:val="none" w:sz="0" w:space="0" w:color="auto"/>
        <w:right w:val="none" w:sz="0" w:space="0" w:color="auto"/>
      </w:divBdr>
    </w:div>
    <w:div w:id="39285560">
      <w:bodyDiv w:val="1"/>
      <w:marLeft w:val="0"/>
      <w:marRight w:val="0"/>
      <w:marTop w:val="0"/>
      <w:marBottom w:val="0"/>
      <w:divBdr>
        <w:top w:val="none" w:sz="0" w:space="0" w:color="auto"/>
        <w:left w:val="none" w:sz="0" w:space="0" w:color="auto"/>
        <w:bottom w:val="none" w:sz="0" w:space="0" w:color="auto"/>
        <w:right w:val="none" w:sz="0" w:space="0" w:color="auto"/>
      </w:divBdr>
    </w:div>
    <w:div w:id="44332751">
      <w:bodyDiv w:val="1"/>
      <w:marLeft w:val="0"/>
      <w:marRight w:val="0"/>
      <w:marTop w:val="0"/>
      <w:marBottom w:val="0"/>
      <w:divBdr>
        <w:top w:val="none" w:sz="0" w:space="0" w:color="auto"/>
        <w:left w:val="none" w:sz="0" w:space="0" w:color="auto"/>
        <w:bottom w:val="none" w:sz="0" w:space="0" w:color="auto"/>
        <w:right w:val="none" w:sz="0" w:space="0" w:color="auto"/>
      </w:divBdr>
    </w:div>
    <w:div w:id="45034064">
      <w:bodyDiv w:val="1"/>
      <w:marLeft w:val="0"/>
      <w:marRight w:val="0"/>
      <w:marTop w:val="0"/>
      <w:marBottom w:val="0"/>
      <w:divBdr>
        <w:top w:val="none" w:sz="0" w:space="0" w:color="auto"/>
        <w:left w:val="none" w:sz="0" w:space="0" w:color="auto"/>
        <w:bottom w:val="none" w:sz="0" w:space="0" w:color="auto"/>
        <w:right w:val="none" w:sz="0" w:space="0" w:color="auto"/>
      </w:divBdr>
    </w:div>
    <w:div w:id="52897681">
      <w:bodyDiv w:val="1"/>
      <w:marLeft w:val="0"/>
      <w:marRight w:val="0"/>
      <w:marTop w:val="0"/>
      <w:marBottom w:val="0"/>
      <w:divBdr>
        <w:top w:val="none" w:sz="0" w:space="0" w:color="auto"/>
        <w:left w:val="none" w:sz="0" w:space="0" w:color="auto"/>
        <w:bottom w:val="none" w:sz="0" w:space="0" w:color="auto"/>
        <w:right w:val="none" w:sz="0" w:space="0" w:color="auto"/>
      </w:divBdr>
    </w:div>
    <w:div w:id="53047879">
      <w:bodyDiv w:val="1"/>
      <w:marLeft w:val="0"/>
      <w:marRight w:val="0"/>
      <w:marTop w:val="0"/>
      <w:marBottom w:val="0"/>
      <w:divBdr>
        <w:top w:val="none" w:sz="0" w:space="0" w:color="auto"/>
        <w:left w:val="none" w:sz="0" w:space="0" w:color="auto"/>
        <w:bottom w:val="none" w:sz="0" w:space="0" w:color="auto"/>
        <w:right w:val="none" w:sz="0" w:space="0" w:color="auto"/>
      </w:divBdr>
    </w:div>
    <w:div w:id="62946044">
      <w:bodyDiv w:val="1"/>
      <w:marLeft w:val="0"/>
      <w:marRight w:val="0"/>
      <w:marTop w:val="0"/>
      <w:marBottom w:val="0"/>
      <w:divBdr>
        <w:top w:val="none" w:sz="0" w:space="0" w:color="auto"/>
        <w:left w:val="none" w:sz="0" w:space="0" w:color="auto"/>
        <w:bottom w:val="none" w:sz="0" w:space="0" w:color="auto"/>
        <w:right w:val="none" w:sz="0" w:space="0" w:color="auto"/>
      </w:divBdr>
    </w:div>
    <w:div w:id="63576484">
      <w:bodyDiv w:val="1"/>
      <w:marLeft w:val="0"/>
      <w:marRight w:val="0"/>
      <w:marTop w:val="0"/>
      <w:marBottom w:val="0"/>
      <w:divBdr>
        <w:top w:val="none" w:sz="0" w:space="0" w:color="auto"/>
        <w:left w:val="none" w:sz="0" w:space="0" w:color="auto"/>
        <w:bottom w:val="none" w:sz="0" w:space="0" w:color="auto"/>
        <w:right w:val="none" w:sz="0" w:space="0" w:color="auto"/>
      </w:divBdr>
    </w:div>
    <w:div w:id="66074492">
      <w:bodyDiv w:val="1"/>
      <w:marLeft w:val="0"/>
      <w:marRight w:val="0"/>
      <w:marTop w:val="0"/>
      <w:marBottom w:val="0"/>
      <w:divBdr>
        <w:top w:val="none" w:sz="0" w:space="0" w:color="auto"/>
        <w:left w:val="none" w:sz="0" w:space="0" w:color="auto"/>
        <w:bottom w:val="none" w:sz="0" w:space="0" w:color="auto"/>
        <w:right w:val="none" w:sz="0" w:space="0" w:color="auto"/>
      </w:divBdr>
    </w:div>
    <w:div w:id="75832383">
      <w:bodyDiv w:val="1"/>
      <w:marLeft w:val="0"/>
      <w:marRight w:val="0"/>
      <w:marTop w:val="0"/>
      <w:marBottom w:val="0"/>
      <w:divBdr>
        <w:top w:val="none" w:sz="0" w:space="0" w:color="auto"/>
        <w:left w:val="none" w:sz="0" w:space="0" w:color="auto"/>
        <w:bottom w:val="none" w:sz="0" w:space="0" w:color="auto"/>
        <w:right w:val="none" w:sz="0" w:space="0" w:color="auto"/>
      </w:divBdr>
    </w:div>
    <w:div w:id="76756120">
      <w:bodyDiv w:val="1"/>
      <w:marLeft w:val="0"/>
      <w:marRight w:val="0"/>
      <w:marTop w:val="0"/>
      <w:marBottom w:val="0"/>
      <w:divBdr>
        <w:top w:val="none" w:sz="0" w:space="0" w:color="auto"/>
        <w:left w:val="none" w:sz="0" w:space="0" w:color="auto"/>
        <w:bottom w:val="none" w:sz="0" w:space="0" w:color="auto"/>
        <w:right w:val="none" w:sz="0" w:space="0" w:color="auto"/>
      </w:divBdr>
    </w:div>
    <w:div w:id="90320498">
      <w:bodyDiv w:val="1"/>
      <w:marLeft w:val="0"/>
      <w:marRight w:val="0"/>
      <w:marTop w:val="0"/>
      <w:marBottom w:val="0"/>
      <w:divBdr>
        <w:top w:val="none" w:sz="0" w:space="0" w:color="auto"/>
        <w:left w:val="none" w:sz="0" w:space="0" w:color="auto"/>
        <w:bottom w:val="none" w:sz="0" w:space="0" w:color="auto"/>
        <w:right w:val="none" w:sz="0" w:space="0" w:color="auto"/>
      </w:divBdr>
    </w:div>
    <w:div w:id="92409085">
      <w:bodyDiv w:val="1"/>
      <w:marLeft w:val="0"/>
      <w:marRight w:val="0"/>
      <w:marTop w:val="0"/>
      <w:marBottom w:val="0"/>
      <w:divBdr>
        <w:top w:val="none" w:sz="0" w:space="0" w:color="auto"/>
        <w:left w:val="none" w:sz="0" w:space="0" w:color="auto"/>
        <w:bottom w:val="none" w:sz="0" w:space="0" w:color="auto"/>
        <w:right w:val="none" w:sz="0" w:space="0" w:color="auto"/>
      </w:divBdr>
    </w:div>
    <w:div w:id="103497556">
      <w:bodyDiv w:val="1"/>
      <w:marLeft w:val="0"/>
      <w:marRight w:val="0"/>
      <w:marTop w:val="0"/>
      <w:marBottom w:val="0"/>
      <w:divBdr>
        <w:top w:val="none" w:sz="0" w:space="0" w:color="auto"/>
        <w:left w:val="none" w:sz="0" w:space="0" w:color="auto"/>
        <w:bottom w:val="none" w:sz="0" w:space="0" w:color="auto"/>
        <w:right w:val="none" w:sz="0" w:space="0" w:color="auto"/>
      </w:divBdr>
    </w:div>
    <w:div w:id="117143616">
      <w:bodyDiv w:val="1"/>
      <w:marLeft w:val="0"/>
      <w:marRight w:val="0"/>
      <w:marTop w:val="0"/>
      <w:marBottom w:val="0"/>
      <w:divBdr>
        <w:top w:val="none" w:sz="0" w:space="0" w:color="auto"/>
        <w:left w:val="none" w:sz="0" w:space="0" w:color="auto"/>
        <w:bottom w:val="none" w:sz="0" w:space="0" w:color="auto"/>
        <w:right w:val="none" w:sz="0" w:space="0" w:color="auto"/>
      </w:divBdr>
    </w:div>
    <w:div w:id="141775895">
      <w:bodyDiv w:val="1"/>
      <w:marLeft w:val="0"/>
      <w:marRight w:val="0"/>
      <w:marTop w:val="0"/>
      <w:marBottom w:val="0"/>
      <w:divBdr>
        <w:top w:val="none" w:sz="0" w:space="0" w:color="auto"/>
        <w:left w:val="none" w:sz="0" w:space="0" w:color="auto"/>
        <w:bottom w:val="none" w:sz="0" w:space="0" w:color="auto"/>
        <w:right w:val="none" w:sz="0" w:space="0" w:color="auto"/>
      </w:divBdr>
    </w:div>
    <w:div w:id="148252462">
      <w:bodyDiv w:val="1"/>
      <w:marLeft w:val="0"/>
      <w:marRight w:val="0"/>
      <w:marTop w:val="0"/>
      <w:marBottom w:val="0"/>
      <w:divBdr>
        <w:top w:val="none" w:sz="0" w:space="0" w:color="auto"/>
        <w:left w:val="none" w:sz="0" w:space="0" w:color="auto"/>
        <w:bottom w:val="none" w:sz="0" w:space="0" w:color="auto"/>
        <w:right w:val="none" w:sz="0" w:space="0" w:color="auto"/>
      </w:divBdr>
    </w:div>
    <w:div w:id="168297384">
      <w:bodyDiv w:val="1"/>
      <w:marLeft w:val="0"/>
      <w:marRight w:val="0"/>
      <w:marTop w:val="0"/>
      <w:marBottom w:val="0"/>
      <w:divBdr>
        <w:top w:val="none" w:sz="0" w:space="0" w:color="auto"/>
        <w:left w:val="none" w:sz="0" w:space="0" w:color="auto"/>
        <w:bottom w:val="none" w:sz="0" w:space="0" w:color="auto"/>
        <w:right w:val="none" w:sz="0" w:space="0" w:color="auto"/>
      </w:divBdr>
    </w:div>
    <w:div w:id="174999307">
      <w:bodyDiv w:val="1"/>
      <w:marLeft w:val="0"/>
      <w:marRight w:val="0"/>
      <w:marTop w:val="0"/>
      <w:marBottom w:val="0"/>
      <w:divBdr>
        <w:top w:val="none" w:sz="0" w:space="0" w:color="auto"/>
        <w:left w:val="none" w:sz="0" w:space="0" w:color="auto"/>
        <w:bottom w:val="none" w:sz="0" w:space="0" w:color="auto"/>
        <w:right w:val="none" w:sz="0" w:space="0" w:color="auto"/>
      </w:divBdr>
    </w:div>
    <w:div w:id="209999374">
      <w:bodyDiv w:val="1"/>
      <w:marLeft w:val="0"/>
      <w:marRight w:val="0"/>
      <w:marTop w:val="0"/>
      <w:marBottom w:val="0"/>
      <w:divBdr>
        <w:top w:val="none" w:sz="0" w:space="0" w:color="auto"/>
        <w:left w:val="none" w:sz="0" w:space="0" w:color="auto"/>
        <w:bottom w:val="none" w:sz="0" w:space="0" w:color="auto"/>
        <w:right w:val="none" w:sz="0" w:space="0" w:color="auto"/>
      </w:divBdr>
    </w:div>
    <w:div w:id="232012663">
      <w:bodyDiv w:val="1"/>
      <w:marLeft w:val="0"/>
      <w:marRight w:val="0"/>
      <w:marTop w:val="0"/>
      <w:marBottom w:val="0"/>
      <w:divBdr>
        <w:top w:val="none" w:sz="0" w:space="0" w:color="auto"/>
        <w:left w:val="none" w:sz="0" w:space="0" w:color="auto"/>
        <w:bottom w:val="none" w:sz="0" w:space="0" w:color="auto"/>
        <w:right w:val="none" w:sz="0" w:space="0" w:color="auto"/>
      </w:divBdr>
    </w:div>
    <w:div w:id="246354924">
      <w:bodyDiv w:val="1"/>
      <w:marLeft w:val="0"/>
      <w:marRight w:val="0"/>
      <w:marTop w:val="0"/>
      <w:marBottom w:val="0"/>
      <w:divBdr>
        <w:top w:val="none" w:sz="0" w:space="0" w:color="auto"/>
        <w:left w:val="none" w:sz="0" w:space="0" w:color="auto"/>
        <w:bottom w:val="none" w:sz="0" w:space="0" w:color="auto"/>
        <w:right w:val="none" w:sz="0" w:space="0" w:color="auto"/>
      </w:divBdr>
    </w:div>
    <w:div w:id="257255707">
      <w:bodyDiv w:val="1"/>
      <w:marLeft w:val="0"/>
      <w:marRight w:val="0"/>
      <w:marTop w:val="0"/>
      <w:marBottom w:val="0"/>
      <w:divBdr>
        <w:top w:val="none" w:sz="0" w:space="0" w:color="auto"/>
        <w:left w:val="none" w:sz="0" w:space="0" w:color="auto"/>
        <w:bottom w:val="none" w:sz="0" w:space="0" w:color="auto"/>
        <w:right w:val="none" w:sz="0" w:space="0" w:color="auto"/>
      </w:divBdr>
    </w:div>
    <w:div w:id="264306917">
      <w:bodyDiv w:val="1"/>
      <w:marLeft w:val="0"/>
      <w:marRight w:val="0"/>
      <w:marTop w:val="0"/>
      <w:marBottom w:val="0"/>
      <w:divBdr>
        <w:top w:val="none" w:sz="0" w:space="0" w:color="auto"/>
        <w:left w:val="none" w:sz="0" w:space="0" w:color="auto"/>
        <w:bottom w:val="none" w:sz="0" w:space="0" w:color="auto"/>
        <w:right w:val="none" w:sz="0" w:space="0" w:color="auto"/>
      </w:divBdr>
    </w:div>
    <w:div w:id="267860521">
      <w:bodyDiv w:val="1"/>
      <w:marLeft w:val="0"/>
      <w:marRight w:val="0"/>
      <w:marTop w:val="0"/>
      <w:marBottom w:val="0"/>
      <w:divBdr>
        <w:top w:val="none" w:sz="0" w:space="0" w:color="auto"/>
        <w:left w:val="none" w:sz="0" w:space="0" w:color="auto"/>
        <w:bottom w:val="none" w:sz="0" w:space="0" w:color="auto"/>
        <w:right w:val="none" w:sz="0" w:space="0" w:color="auto"/>
      </w:divBdr>
    </w:div>
    <w:div w:id="274338392">
      <w:bodyDiv w:val="1"/>
      <w:marLeft w:val="0"/>
      <w:marRight w:val="0"/>
      <w:marTop w:val="0"/>
      <w:marBottom w:val="0"/>
      <w:divBdr>
        <w:top w:val="none" w:sz="0" w:space="0" w:color="auto"/>
        <w:left w:val="none" w:sz="0" w:space="0" w:color="auto"/>
        <w:bottom w:val="none" w:sz="0" w:space="0" w:color="auto"/>
        <w:right w:val="none" w:sz="0" w:space="0" w:color="auto"/>
      </w:divBdr>
    </w:div>
    <w:div w:id="274748460">
      <w:bodyDiv w:val="1"/>
      <w:marLeft w:val="0"/>
      <w:marRight w:val="0"/>
      <w:marTop w:val="0"/>
      <w:marBottom w:val="0"/>
      <w:divBdr>
        <w:top w:val="none" w:sz="0" w:space="0" w:color="auto"/>
        <w:left w:val="none" w:sz="0" w:space="0" w:color="auto"/>
        <w:bottom w:val="none" w:sz="0" w:space="0" w:color="auto"/>
        <w:right w:val="none" w:sz="0" w:space="0" w:color="auto"/>
      </w:divBdr>
    </w:div>
    <w:div w:id="277296292">
      <w:bodyDiv w:val="1"/>
      <w:marLeft w:val="0"/>
      <w:marRight w:val="0"/>
      <w:marTop w:val="0"/>
      <w:marBottom w:val="0"/>
      <w:divBdr>
        <w:top w:val="none" w:sz="0" w:space="0" w:color="auto"/>
        <w:left w:val="none" w:sz="0" w:space="0" w:color="auto"/>
        <w:bottom w:val="none" w:sz="0" w:space="0" w:color="auto"/>
        <w:right w:val="none" w:sz="0" w:space="0" w:color="auto"/>
      </w:divBdr>
    </w:div>
    <w:div w:id="286545803">
      <w:bodyDiv w:val="1"/>
      <w:marLeft w:val="0"/>
      <w:marRight w:val="0"/>
      <w:marTop w:val="0"/>
      <w:marBottom w:val="0"/>
      <w:divBdr>
        <w:top w:val="none" w:sz="0" w:space="0" w:color="auto"/>
        <w:left w:val="none" w:sz="0" w:space="0" w:color="auto"/>
        <w:bottom w:val="none" w:sz="0" w:space="0" w:color="auto"/>
        <w:right w:val="none" w:sz="0" w:space="0" w:color="auto"/>
      </w:divBdr>
    </w:div>
    <w:div w:id="289408446">
      <w:bodyDiv w:val="1"/>
      <w:marLeft w:val="0"/>
      <w:marRight w:val="0"/>
      <w:marTop w:val="0"/>
      <w:marBottom w:val="0"/>
      <w:divBdr>
        <w:top w:val="none" w:sz="0" w:space="0" w:color="auto"/>
        <w:left w:val="none" w:sz="0" w:space="0" w:color="auto"/>
        <w:bottom w:val="none" w:sz="0" w:space="0" w:color="auto"/>
        <w:right w:val="none" w:sz="0" w:space="0" w:color="auto"/>
      </w:divBdr>
    </w:div>
    <w:div w:id="291523166">
      <w:bodyDiv w:val="1"/>
      <w:marLeft w:val="0"/>
      <w:marRight w:val="0"/>
      <w:marTop w:val="0"/>
      <w:marBottom w:val="0"/>
      <w:divBdr>
        <w:top w:val="none" w:sz="0" w:space="0" w:color="auto"/>
        <w:left w:val="none" w:sz="0" w:space="0" w:color="auto"/>
        <w:bottom w:val="none" w:sz="0" w:space="0" w:color="auto"/>
        <w:right w:val="none" w:sz="0" w:space="0" w:color="auto"/>
      </w:divBdr>
    </w:div>
    <w:div w:id="294484002">
      <w:bodyDiv w:val="1"/>
      <w:marLeft w:val="0"/>
      <w:marRight w:val="0"/>
      <w:marTop w:val="0"/>
      <w:marBottom w:val="0"/>
      <w:divBdr>
        <w:top w:val="none" w:sz="0" w:space="0" w:color="auto"/>
        <w:left w:val="none" w:sz="0" w:space="0" w:color="auto"/>
        <w:bottom w:val="none" w:sz="0" w:space="0" w:color="auto"/>
        <w:right w:val="none" w:sz="0" w:space="0" w:color="auto"/>
      </w:divBdr>
    </w:div>
    <w:div w:id="302469334">
      <w:bodyDiv w:val="1"/>
      <w:marLeft w:val="0"/>
      <w:marRight w:val="0"/>
      <w:marTop w:val="0"/>
      <w:marBottom w:val="0"/>
      <w:divBdr>
        <w:top w:val="none" w:sz="0" w:space="0" w:color="auto"/>
        <w:left w:val="none" w:sz="0" w:space="0" w:color="auto"/>
        <w:bottom w:val="none" w:sz="0" w:space="0" w:color="auto"/>
        <w:right w:val="none" w:sz="0" w:space="0" w:color="auto"/>
      </w:divBdr>
    </w:div>
    <w:div w:id="332609542">
      <w:bodyDiv w:val="1"/>
      <w:marLeft w:val="0"/>
      <w:marRight w:val="0"/>
      <w:marTop w:val="0"/>
      <w:marBottom w:val="0"/>
      <w:divBdr>
        <w:top w:val="none" w:sz="0" w:space="0" w:color="auto"/>
        <w:left w:val="none" w:sz="0" w:space="0" w:color="auto"/>
        <w:bottom w:val="none" w:sz="0" w:space="0" w:color="auto"/>
        <w:right w:val="none" w:sz="0" w:space="0" w:color="auto"/>
      </w:divBdr>
    </w:div>
    <w:div w:id="344595271">
      <w:bodyDiv w:val="1"/>
      <w:marLeft w:val="0"/>
      <w:marRight w:val="0"/>
      <w:marTop w:val="0"/>
      <w:marBottom w:val="0"/>
      <w:divBdr>
        <w:top w:val="none" w:sz="0" w:space="0" w:color="auto"/>
        <w:left w:val="none" w:sz="0" w:space="0" w:color="auto"/>
        <w:bottom w:val="none" w:sz="0" w:space="0" w:color="auto"/>
        <w:right w:val="none" w:sz="0" w:space="0" w:color="auto"/>
      </w:divBdr>
    </w:div>
    <w:div w:id="346292492">
      <w:bodyDiv w:val="1"/>
      <w:marLeft w:val="0"/>
      <w:marRight w:val="0"/>
      <w:marTop w:val="0"/>
      <w:marBottom w:val="0"/>
      <w:divBdr>
        <w:top w:val="none" w:sz="0" w:space="0" w:color="auto"/>
        <w:left w:val="none" w:sz="0" w:space="0" w:color="auto"/>
        <w:bottom w:val="none" w:sz="0" w:space="0" w:color="auto"/>
        <w:right w:val="none" w:sz="0" w:space="0" w:color="auto"/>
      </w:divBdr>
    </w:div>
    <w:div w:id="349990782">
      <w:bodyDiv w:val="1"/>
      <w:marLeft w:val="0"/>
      <w:marRight w:val="0"/>
      <w:marTop w:val="0"/>
      <w:marBottom w:val="0"/>
      <w:divBdr>
        <w:top w:val="none" w:sz="0" w:space="0" w:color="auto"/>
        <w:left w:val="none" w:sz="0" w:space="0" w:color="auto"/>
        <w:bottom w:val="none" w:sz="0" w:space="0" w:color="auto"/>
        <w:right w:val="none" w:sz="0" w:space="0" w:color="auto"/>
      </w:divBdr>
    </w:div>
    <w:div w:id="350032064">
      <w:bodyDiv w:val="1"/>
      <w:marLeft w:val="0"/>
      <w:marRight w:val="0"/>
      <w:marTop w:val="0"/>
      <w:marBottom w:val="0"/>
      <w:divBdr>
        <w:top w:val="none" w:sz="0" w:space="0" w:color="auto"/>
        <w:left w:val="none" w:sz="0" w:space="0" w:color="auto"/>
        <w:bottom w:val="none" w:sz="0" w:space="0" w:color="auto"/>
        <w:right w:val="none" w:sz="0" w:space="0" w:color="auto"/>
      </w:divBdr>
    </w:div>
    <w:div w:id="357779040">
      <w:bodyDiv w:val="1"/>
      <w:marLeft w:val="0"/>
      <w:marRight w:val="0"/>
      <w:marTop w:val="0"/>
      <w:marBottom w:val="0"/>
      <w:divBdr>
        <w:top w:val="none" w:sz="0" w:space="0" w:color="auto"/>
        <w:left w:val="none" w:sz="0" w:space="0" w:color="auto"/>
        <w:bottom w:val="none" w:sz="0" w:space="0" w:color="auto"/>
        <w:right w:val="none" w:sz="0" w:space="0" w:color="auto"/>
      </w:divBdr>
    </w:div>
    <w:div w:id="372078409">
      <w:bodyDiv w:val="1"/>
      <w:marLeft w:val="0"/>
      <w:marRight w:val="0"/>
      <w:marTop w:val="0"/>
      <w:marBottom w:val="0"/>
      <w:divBdr>
        <w:top w:val="none" w:sz="0" w:space="0" w:color="auto"/>
        <w:left w:val="none" w:sz="0" w:space="0" w:color="auto"/>
        <w:bottom w:val="none" w:sz="0" w:space="0" w:color="auto"/>
        <w:right w:val="none" w:sz="0" w:space="0" w:color="auto"/>
      </w:divBdr>
    </w:div>
    <w:div w:id="383796996">
      <w:bodyDiv w:val="1"/>
      <w:marLeft w:val="0"/>
      <w:marRight w:val="0"/>
      <w:marTop w:val="0"/>
      <w:marBottom w:val="0"/>
      <w:divBdr>
        <w:top w:val="none" w:sz="0" w:space="0" w:color="auto"/>
        <w:left w:val="none" w:sz="0" w:space="0" w:color="auto"/>
        <w:bottom w:val="none" w:sz="0" w:space="0" w:color="auto"/>
        <w:right w:val="none" w:sz="0" w:space="0" w:color="auto"/>
      </w:divBdr>
    </w:div>
    <w:div w:id="389964682">
      <w:bodyDiv w:val="1"/>
      <w:marLeft w:val="0"/>
      <w:marRight w:val="0"/>
      <w:marTop w:val="0"/>
      <w:marBottom w:val="0"/>
      <w:divBdr>
        <w:top w:val="none" w:sz="0" w:space="0" w:color="auto"/>
        <w:left w:val="none" w:sz="0" w:space="0" w:color="auto"/>
        <w:bottom w:val="none" w:sz="0" w:space="0" w:color="auto"/>
        <w:right w:val="none" w:sz="0" w:space="0" w:color="auto"/>
      </w:divBdr>
    </w:div>
    <w:div w:id="390616118">
      <w:bodyDiv w:val="1"/>
      <w:marLeft w:val="0"/>
      <w:marRight w:val="0"/>
      <w:marTop w:val="0"/>
      <w:marBottom w:val="0"/>
      <w:divBdr>
        <w:top w:val="none" w:sz="0" w:space="0" w:color="auto"/>
        <w:left w:val="none" w:sz="0" w:space="0" w:color="auto"/>
        <w:bottom w:val="none" w:sz="0" w:space="0" w:color="auto"/>
        <w:right w:val="none" w:sz="0" w:space="0" w:color="auto"/>
      </w:divBdr>
    </w:div>
    <w:div w:id="401410307">
      <w:bodyDiv w:val="1"/>
      <w:marLeft w:val="0"/>
      <w:marRight w:val="0"/>
      <w:marTop w:val="0"/>
      <w:marBottom w:val="0"/>
      <w:divBdr>
        <w:top w:val="none" w:sz="0" w:space="0" w:color="auto"/>
        <w:left w:val="none" w:sz="0" w:space="0" w:color="auto"/>
        <w:bottom w:val="none" w:sz="0" w:space="0" w:color="auto"/>
        <w:right w:val="none" w:sz="0" w:space="0" w:color="auto"/>
      </w:divBdr>
    </w:div>
    <w:div w:id="409230653">
      <w:bodyDiv w:val="1"/>
      <w:marLeft w:val="0"/>
      <w:marRight w:val="0"/>
      <w:marTop w:val="0"/>
      <w:marBottom w:val="0"/>
      <w:divBdr>
        <w:top w:val="none" w:sz="0" w:space="0" w:color="auto"/>
        <w:left w:val="none" w:sz="0" w:space="0" w:color="auto"/>
        <w:bottom w:val="none" w:sz="0" w:space="0" w:color="auto"/>
        <w:right w:val="none" w:sz="0" w:space="0" w:color="auto"/>
      </w:divBdr>
    </w:div>
    <w:div w:id="412246170">
      <w:bodyDiv w:val="1"/>
      <w:marLeft w:val="0"/>
      <w:marRight w:val="0"/>
      <w:marTop w:val="0"/>
      <w:marBottom w:val="0"/>
      <w:divBdr>
        <w:top w:val="none" w:sz="0" w:space="0" w:color="auto"/>
        <w:left w:val="none" w:sz="0" w:space="0" w:color="auto"/>
        <w:bottom w:val="none" w:sz="0" w:space="0" w:color="auto"/>
        <w:right w:val="none" w:sz="0" w:space="0" w:color="auto"/>
      </w:divBdr>
    </w:div>
    <w:div w:id="416753924">
      <w:bodyDiv w:val="1"/>
      <w:marLeft w:val="0"/>
      <w:marRight w:val="0"/>
      <w:marTop w:val="0"/>
      <w:marBottom w:val="0"/>
      <w:divBdr>
        <w:top w:val="none" w:sz="0" w:space="0" w:color="auto"/>
        <w:left w:val="none" w:sz="0" w:space="0" w:color="auto"/>
        <w:bottom w:val="none" w:sz="0" w:space="0" w:color="auto"/>
        <w:right w:val="none" w:sz="0" w:space="0" w:color="auto"/>
      </w:divBdr>
    </w:div>
    <w:div w:id="418599314">
      <w:bodyDiv w:val="1"/>
      <w:marLeft w:val="0"/>
      <w:marRight w:val="0"/>
      <w:marTop w:val="0"/>
      <w:marBottom w:val="0"/>
      <w:divBdr>
        <w:top w:val="none" w:sz="0" w:space="0" w:color="auto"/>
        <w:left w:val="none" w:sz="0" w:space="0" w:color="auto"/>
        <w:bottom w:val="none" w:sz="0" w:space="0" w:color="auto"/>
        <w:right w:val="none" w:sz="0" w:space="0" w:color="auto"/>
      </w:divBdr>
    </w:div>
    <w:div w:id="419133446">
      <w:bodyDiv w:val="1"/>
      <w:marLeft w:val="0"/>
      <w:marRight w:val="0"/>
      <w:marTop w:val="0"/>
      <w:marBottom w:val="0"/>
      <w:divBdr>
        <w:top w:val="none" w:sz="0" w:space="0" w:color="auto"/>
        <w:left w:val="none" w:sz="0" w:space="0" w:color="auto"/>
        <w:bottom w:val="none" w:sz="0" w:space="0" w:color="auto"/>
        <w:right w:val="none" w:sz="0" w:space="0" w:color="auto"/>
      </w:divBdr>
    </w:div>
    <w:div w:id="422068909">
      <w:bodyDiv w:val="1"/>
      <w:marLeft w:val="0"/>
      <w:marRight w:val="0"/>
      <w:marTop w:val="0"/>
      <w:marBottom w:val="0"/>
      <w:divBdr>
        <w:top w:val="none" w:sz="0" w:space="0" w:color="auto"/>
        <w:left w:val="none" w:sz="0" w:space="0" w:color="auto"/>
        <w:bottom w:val="none" w:sz="0" w:space="0" w:color="auto"/>
        <w:right w:val="none" w:sz="0" w:space="0" w:color="auto"/>
      </w:divBdr>
    </w:div>
    <w:div w:id="423453793">
      <w:bodyDiv w:val="1"/>
      <w:marLeft w:val="0"/>
      <w:marRight w:val="0"/>
      <w:marTop w:val="0"/>
      <w:marBottom w:val="0"/>
      <w:divBdr>
        <w:top w:val="none" w:sz="0" w:space="0" w:color="auto"/>
        <w:left w:val="none" w:sz="0" w:space="0" w:color="auto"/>
        <w:bottom w:val="none" w:sz="0" w:space="0" w:color="auto"/>
        <w:right w:val="none" w:sz="0" w:space="0" w:color="auto"/>
      </w:divBdr>
    </w:div>
    <w:div w:id="428500664">
      <w:bodyDiv w:val="1"/>
      <w:marLeft w:val="0"/>
      <w:marRight w:val="0"/>
      <w:marTop w:val="0"/>
      <w:marBottom w:val="0"/>
      <w:divBdr>
        <w:top w:val="none" w:sz="0" w:space="0" w:color="auto"/>
        <w:left w:val="none" w:sz="0" w:space="0" w:color="auto"/>
        <w:bottom w:val="none" w:sz="0" w:space="0" w:color="auto"/>
        <w:right w:val="none" w:sz="0" w:space="0" w:color="auto"/>
      </w:divBdr>
    </w:div>
    <w:div w:id="429662665">
      <w:bodyDiv w:val="1"/>
      <w:marLeft w:val="0"/>
      <w:marRight w:val="0"/>
      <w:marTop w:val="0"/>
      <w:marBottom w:val="0"/>
      <w:divBdr>
        <w:top w:val="none" w:sz="0" w:space="0" w:color="auto"/>
        <w:left w:val="none" w:sz="0" w:space="0" w:color="auto"/>
        <w:bottom w:val="none" w:sz="0" w:space="0" w:color="auto"/>
        <w:right w:val="none" w:sz="0" w:space="0" w:color="auto"/>
      </w:divBdr>
    </w:div>
    <w:div w:id="430013347">
      <w:bodyDiv w:val="1"/>
      <w:marLeft w:val="0"/>
      <w:marRight w:val="0"/>
      <w:marTop w:val="0"/>
      <w:marBottom w:val="0"/>
      <w:divBdr>
        <w:top w:val="none" w:sz="0" w:space="0" w:color="auto"/>
        <w:left w:val="none" w:sz="0" w:space="0" w:color="auto"/>
        <w:bottom w:val="none" w:sz="0" w:space="0" w:color="auto"/>
        <w:right w:val="none" w:sz="0" w:space="0" w:color="auto"/>
      </w:divBdr>
    </w:div>
    <w:div w:id="436408483">
      <w:bodyDiv w:val="1"/>
      <w:marLeft w:val="0"/>
      <w:marRight w:val="0"/>
      <w:marTop w:val="0"/>
      <w:marBottom w:val="0"/>
      <w:divBdr>
        <w:top w:val="none" w:sz="0" w:space="0" w:color="auto"/>
        <w:left w:val="none" w:sz="0" w:space="0" w:color="auto"/>
        <w:bottom w:val="none" w:sz="0" w:space="0" w:color="auto"/>
        <w:right w:val="none" w:sz="0" w:space="0" w:color="auto"/>
      </w:divBdr>
    </w:div>
    <w:div w:id="452944310">
      <w:bodyDiv w:val="1"/>
      <w:marLeft w:val="0"/>
      <w:marRight w:val="0"/>
      <w:marTop w:val="0"/>
      <w:marBottom w:val="0"/>
      <w:divBdr>
        <w:top w:val="none" w:sz="0" w:space="0" w:color="auto"/>
        <w:left w:val="none" w:sz="0" w:space="0" w:color="auto"/>
        <w:bottom w:val="none" w:sz="0" w:space="0" w:color="auto"/>
        <w:right w:val="none" w:sz="0" w:space="0" w:color="auto"/>
      </w:divBdr>
    </w:div>
    <w:div w:id="455217304">
      <w:bodyDiv w:val="1"/>
      <w:marLeft w:val="0"/>
      <w:marRight w:val="0"/>
      <w:marTop w:val="0"/>
      <w:marBottom w:val="0"/>
      <w:divBdr>
        <w:top w:val="none" w:sz="0" w:space="0" w:color="auto"/>
        <w:left w:val="none" w:sz="0" w:space="0" w:color="auto"/>
        <w:bottom w:val="none" w:sz="0" w:space="0" w:color="auto"/>
        <w:right w:val="none" w:sz="0" w:space="0" w:color="auto"/>
      </w:divBdr>
    </w:div>
    <w:div w:id="464128115">
      <w:bodyDiv w:val="1"/>
      <w:marLeft w:val="0"/>
      <w:marRight w:val="0"/>
      <w:marTop w:val="0"/>
      <w:marBottom w:val="0"/>
      <w:divBdr>
        <w:top w:val="none" w:sz="0" w:space="0" w:color="auto"/>
        <w:left w:val="none" w:sz="0" w:space="0" w:color="auto"/>
        <w:bottom w:val="none" w:sz="0" w:space="0" w:color="auto"/>
        <w:right w:val="none" w:sz="0" w:space="0" w:color="auto"/>
      </w:divBdr>
    </w:div>
    <w:div w:id="493107312">
      <w:bodyDiv w:val="1"/>
      <w:marLeft w:val="0"/>
      <w:marRight w:val="0"/>
      <w:marTop w:val="0"/>
      <w:marBottom w:val="0"/>
      <w:divBdr>
        <w:top w:val="none" w:sz="0" w:space="0" w:color="auto"/>
        <w:left w:val="none" w:sz="0" w:space="0" w:color="auto"/>
        <w:bottom w:val="none" w:sz="0" w:space="0" w:color="auto"/>
        <w:right w:val="none" w:sz="0" w:space="0" w:color="auto"/>
      </w:divBdr>
    </w:div>
    <w:div w:id="505942551">
      <w:bodyDiv w:val="1"/>
      <w:marLeft w:val="0"/>
      <w:marRight w:val="0"/>
      <w:marTop w:val="0"/>
      <w:marBottom w:val="0"/>
      <w:divBdr>
        <w:top w:val="none" w:sz="0" w:space="0" w:color="auto"/>
        <w:left w:val="none" w:sz="0" w:space="0" w:color="auto"/>
        <w:bottom w:val="none" w:sz="0" w:space="0" w:color="auto"/>
        <w:right w:val="none" w:sz="0" w:space="0" w:color="auto"/>
      </w:divBdr>
    </w:div>
    <w:div w:id="514223730">
      <w:bodyDiv w:val="1"/>
      <w:marLeft w:val="0"/>
      <w:marRight w:val="0"/>
      <w:marTop w:val="0"/>
      <w:marBottom w:val="0"/>
      <w:divBdr>
        <w:top w:val="none" w:sz="0" w:space="0" w:color="auto"/>
        <w:left w:val="none" w:sz="0" w:space="0" w:color="auto"/>
        <w:bottom w:val="none" w:sz="0" w:space="0" w:color="auto"/>
        <w:right w:val="none" w:sz="0" w:space="0" w:color="auto"/>
      </w:divBdr>
    </w:div>
    <w:div w:id="516314523">
      <w:bodyDiv w:val="1"/>
      <w:marLeft w:val="0"/>
      <w:marRight w:val="0"/>
      <w:marTop w:val="0"/>
      <w:marBottom w:val="0"/>
      <w:divBdr>
        <w:top w:val="none" w:sz="0" w:space="0" w:color="auto"/>
        <w:left w:val="none" w:sz="0" w:space="0" w:color="auto"/>
        <w:bottom w:val="none" w:sz="0" w:space="0" w:color="auto"/>
        <w:right w:val="none" w:sz="0" w:space="0" w:color="auto"/>
      </w:divBdr>
    </w:div>
    <w:div w:id="519977283">
      <w:bodyDiv w:val="1"/>
      <w:marLeft w:val="0"/>
      <w:marRight w:val="0"/>
      <w:marTop w:val="0"/>
      <w:marBottom w:val="0"/>
      <w:divBdr>
        <w:top w:val="none" w:sz="0" w:space="0" w:color="auto"/>
        <w:left w:val="none" w:sz="0" w:space="0" w:color="auto"/>
        <w:bottom w:val="none" w:sz="0" w:space="0" w:color="auto"/>
        <w:right w:val="none" w:sz="0" w:space="0" w:color="auto"/>
      </w:divBdr>
    </w:div>
    <w:div w:id="529609896">
      <w:bodyDiv w:val="1"/>
      <w:marLeft w:val="0"/>
      <w:marRight w:val="0"/>
      <w:marTop w:val="0"/>
      <w:marBottom w:val="0"/>
      <w:divBdr>
        <w:top w:val="none" w:sz="0" w:space="0" w:color="auto"/>
        <w:left w:val="none" w:sz="0" w:space="0" w:color="auto"/>
        <w:bottom w:val="none" w:sz="0" w:space="0" w:color="auto"/>
        <w:right w:val="none" w:sz="0" w:space="0" w:color="auto"/>
      </w:divBdr>
    </w:div>
    <w:div w:id="536936504">
      <w:bodyDiv w:val="1"/>
      <w:marLeft w:val="0"/>
      <w:marRight w:val="0"/>
      <w:marTop w:val="0"/>
      <w:marBottom w:val="0"/>
      <w:divBdr>
        <w:top w:val="none" w:sz="0" w:space="0" w:color="auto"/>
        <w:left w:val="none" w:sz="0" w:space="0" w:color="auto"/>
        <w:bottom w:val="none" w:sz="0" w:space="0" w:color="auto"/>
        <w:right w:val="none" w:sz="0" w:space="0" w:color="auto"/>
      </w:divBdr>
    </w:div>
    <w:div w:id="541790045">
      <w:bodyDiv w:val="1"/>
      <w:marLeft w:val="0"/>
      <w:marRight w:val="0"/>
      <w:marTop w:val="0"/>
      <w:marBottom w:val="0"/>
      <w:divBdr>
        <w:top w:val="none" w:sz="0" w:space="0" w:color="auto"/>
        <w:left w:val="none" w:sz="0" w:space="0" w:color="auto"/>
        <w:bottom w:val="none" w:sz="0" w:space="0" w:color="auto"/>
        <w:right w:val="none" w:sz="0" w:space="0" w:color="auto"/>
      </w:divBdr>
    </w:div>
    <w:div w:id="553810550">
      <w:bodyDiv w:val="1"/>
      <w:marLeft w:val="0"/>
      <w:marRight w:val="0"/>
      <w:marTop w:val="0"/>
      <w:marBottom w:val="0"/>
      <w:divBdr>
        <w:top w:val="none" w:sz="0" w:space="0" w:color="auto"/>
        <w:left w:val="none" w:sz="0" w:space="0" w:color="auto"/>
        <w:bottom w:val="none" w:sz="0" w:space="0" w:color="auto"/>
        <w:right w:val="none" w:sz="0" w:space="0" w:color="auto"/>
      </w:divBdr>
    </w:div>
    <w:div w:id="576286297">
      <w:bodyDiv w:val="1"/>
      <w:marLeft w:val="0"/>
      <w:marRight w:val="0"/>
      <w:marTop w:val="0"/>
      <w:marBottom w:val="0"/>
      <w:divBdr>
        <w:top w:val="none" w:sz="0" w:space="0" w:color="auto"/>
        <w:left w:val="none" w:sz="0" w:space="0" w:color="auto"/>
        <w:bottom w:val="none" w:sz="0" w:space="0" w:color="auto"/>
        <w:right w:val="none" w:sz="0" w:space="0" w:color="auto"/>
      </w:divBdr>
    </w:div>
    <w:div w:id="584999706">
      <w:bodyDiv w:val="1"/>
      <w:marLeft w:val="0"/>
      <w:marRight w:val="0"/>
      <w:marTop w:val="0"/>
      <w:marBottom w:val="0"/>
      <w:divBdr>
        <w:top w:val="none" w:sz="0" w:space="0" w:color="auto"/>
        <w:left w:val="none" w:sz="0" w:space="0" w:color="auto"/>
        <w:bottom w:val="none" w:sz="0" w:space="0" w:color="auto"/>
        <w:right w:val="none" w:sz="0" w:space="0" w:color="auto"/>
      </w:divBdr>
    </w:div>
    <w:div w:id="588389689">
      <w:bodyDiv w:val="1"/>
      <w:marLeft w:val="0"/>
      <w:marRight w:val="0"/>
      <w:marTop w:val="0"/>
      <w:marBottom w:val="0"/>
      <w:divBdr>
        <w:top w:val="none" w:sz="0" w:space="0" w:color="auto"/>
        <w:left w:val="none" w:sz="0" w:space="0" w:color="auto"/>
        <w:bottom w:val="none" w:sz="0" w:space="0" w:color="auto"/>
        <w:right w:val="none" w:sz="0" w:space="0" w:color="auto"/>
      </w:divBdr>
    </w:div>
    <w:div w:id="597104686">
      <w:bodyDiv w:val="1"/>
      <w:marLeft w:val="0"/>
      <w:marRight w:val="0"/>
      <w:marTop w:val="0"/>
      <w:marBottom w:val="0"/>
      <w:divBdr>
        <w:top w:val="none" w:sz="0" w:space="0" w:color="auto"/>
        <w:left w:val="none" w:sz="0" w:space="0" w:color="auto"/>
        <w:bottom w:val="none" w:sz="0" w:space="0" w:color="auto"/>
        <w:right w:val="none" w:sz="0" w:space="0" w:color="auto"/>
      </w:divBdr>
    </w:div>
    <w:div w:id="604921748">
      <w:bodyDiv w:val="1"/>
      <w:marLeft w:val="0"/>
      <w:marRight w:val="0"/>
      <w:marTop w:val="0"/>
      <w:marBottom w:val="0"/>
      <w:divBdr>
        <w:top w:val="none" w:sz="0" w:space="0" w:color="auto"/>
        <w:left w:val="none" w:sz="0" w:space="0" w:color="auto"/>
        <w:bottom w:val="none" w:sz="0" w:space="0" w:color="auto"/>
        <w:right w:val="none" w:sz="0" w:space="0" w:color="auto"/>
      </w:divBdr>
    </w:div>
    <w:div w:id="613635425">
      <w:bodyDiv w:val="1"/>
      <w:marLeft w:val="0"/>
      <w:marRight w:val="0"/>
      <w:marTop w:val="0"/>
      <w:marBottom w:val="0"/>
      <w:divBdr>
        <w:top w:val="none" w:sz="0" w:space="0" w:color="auto"/>
        <w:left w:val="none" w:sz="0" w:space="0" w:color="auto"/>
        <w:bottom w:val="none" w:sz="0" w:space="0" w:color="auto"/>
        <w:right w:val="none" w:sz="0" w:space="0" w:color="auto"/>
      </w:divBdr>
    </w:div>
    <w:div w:id="616716736">
      <w:bodyDiv w:val="1"/>
      <w:marLeft w:val="0"/>
      <w:marRight w:val="0"/>
      <w:marTop w:val="0"/>
      <w:marBottom w:val="0"/>
      <w:divBdr>
        <w:top w:val="none" w:sz="0" w:space="0" w:color="auto"/>
        <w:left w:val="none" w:sz="0" w:space="0" w:color="auto"/>
        <w:bottom w:val="none" w:sz="0" w:space="0" w:color="auto"/>
        <w:right w:val="none" w:sz="0" w:space="0" w:color="auto"/>
      </w:divBdr>
    </w:div>
    <w:div w:id="620232947">
      <w:bodyDiv w:val="1"/>
      <w:marLeft w:val="0"/>
      <w:marRight w:val="0"/>
      <w:marTop w:val="0"/>
      <w:marBottom w:val="0"/>
      <w:divBdr>
        <w:top w:val="none" w:sz="0" w:space="0" w:color="auto"/>
        <w:left w:val="none" w:sz="0" w:space="0" w:color="auto"/>
        <w:bottom w:val="none" w:sz="0" w:space="0" w:color="auto"/>
        <w:right w:val="none" w:sz="0" w:space="0" w:color="auto"/>
      </w:divBdr>
    </w:div>
    <w:div w:id="624387249">
      <w:bodyDiv w:val="1"/>
      <w:marLeft w:val="0"/>
      <w:marRight w:val="0"/>
      <w:marTop w:val="0"/>
      <w:marBottom w:val="0"/>
      <w:divBdr>
        <w:top w:val="none" w:sz="0" w:space="0" w:color="auto"/>
        <w:left w:val="none" w:sz="0" w:space="0" w:color="auto"/>
        <w:bottom w:val="none" w:sz="0" w:space="0" w:color="auto"/>
        <w:right w:val="none" w:sz="0" w:space="0" w:color="auto"/>
      </w:divBdr>
    </w:div>
    <w:div w:id="637688266">
      <w:bodyDiv w:val="1"/>
      <w:marLeft w:val="0"/>
      <w:marRight w:val="0"/>
      <w:marTop w:val="0"/>
      <w:marBottom w:val="0"/>
      <w:divBdr>
        <w:top w:val="none" w:sz="0" w:space="0" w:color="auto"/>
        <w:left w:val="none" w:sz="0" w:space="0" w:color="auto"/>
        <w:bottom w:val="none" w:sz="0" w:space="0" w:color="auto"/>
        <w:right w:val="none" w:sz="0" w:space="0" w:color="auto"/>
      </w:divBdr>
    </w:div>
    <w:div w:id="644627367">
      <w:bodyDiv w:val="1"/>
      <w:marLeft w:val="0"/>
      <w:marRight w:val="0"/>
      <w:marTop w:val="0"/>
      <w:marBottom w:val="0"/>
      <w:divBdr>
        <w:top w:val="none" w:sz="0" w:space="0" w:color="auto"/>
        <w:left w:val="none" w:sz="0" w:space="0" w:color="auto"/>
        <w:bottom w:val="none" w:sz="0" w:space="0" w:color="auto"/>
        <w:right w:val="none" w:sz="0" w:space="0" w:color="auto"/>
      </w:divBdr>
    </w:div>
    <w:div w:id="644628998">
      <w:bodyDiv w:val="1"/>
      <w:marLeft w:val="0"/>
      <w:marRight w:val="0"/>
      <w:marTop w:val="0"/>
      <w:marBottom w:val="0"/>
      <w:divBdr>
        <w:top w:val="none" w:sz="0" w:space="0" w:color="auto"/>
        <w:left w:val="none" w:sz="0" w:space="0" w:color="auto"/>
        <w:bottom w:val="none" w:sz="0" w:space="0" w:color="auto"/>
        <w:right w:val="none" w:sz="0" w:space="0" w:color="auto"/>
      </w:divBdr>
    </w:div>
    <w:div w:id="666372322">
      <w:bodyDiv w:val="1"/>
      <w:marLeft w:val="0"/>
      <w:marRight w:val="0"/>
      <w:marTop w:val="0"/>
      <w:marBottom w:val="0"/>
      <w:divBdr>
        <w:top w:val="none" w:sz="0" w:space="0" w:color="auto"/>
        <w:left w:val="none" w:sz="0" w:space="0" w:color="auto"/>
        <w:bottom w:val="none" w:sz="0" w:space="0" w:color="auto"/>
        <w:right w:val="none" w:sz="0" w:space="0" w:color="auto"/>
      </w:divBdr>
    </w:div>
    <w:div w:id="670523624">
      <w:bodyDiv w:val="1"/>
      <w:marLeft w:val="0"/>
      <w:marRight w:val="0"/>
      <w:marTop w:val="0"/>
      <w:marBottom w:val="0"/>
      <w:divBdr>
        <w:top w:val="none" w:sz="0" w:space="0" w:color="auto"/>
        <w:left w:val="none" w:sz="0" w:space="0" w:color="auto"/>
        <w:bottom w:val="none" w:sz="0" w:space="0" w:color="auto"/>
        <w:right w:val="none" w:sz="0" w:space="0" w:color="auto"/>
      </w:divBdr>
    </w:div>
    <w:div w:id="675229825">
      <w:bodyDiv w:val="1"/>
      <w:marLeft w:val="0"/>
      <w:marRight w:val="0"/>
      <w:marTop w:val="0"/>
      <w:marBottom w:val="0"/>
      <w:divBdr>
        <w:top w:val="none" w:sz="0" w:space="0" w:color="auto"/>
        <w:left w:val="none" w:sz="0" w:space="0" w:color="auto"/>
        <w:bottom w:val="none" w:sz="0" w:space="0" w:color="auto"/>
        <w:right w:val="none" w:sz="0" w:space="0" w:color="auto"/>
      </w:divBdr>
    </w:div>
    <w:div w:id="677654436">
      <w:bodyDiv w:val="1"/>
      <w:marLeft w:val="0"/>
      <w:marRight w:val="0"/>
      <w:marTop w:val="0"/>
      <w:marBottom w:val="0"/>
      <w:divBdr>
        <w:top w:val="none" w:sz="0" w:space="0" w:color="auto"/>
        <w:left w:val="none" w:sz="0" w:space="0" w:color="auto"/>
        <w:bottom w:val="none" w:sz="0" w:space="0" w:color="auto"/>
        <w:right w:val="none" w:sz="0" w:space="0" w:color="auto"/>
      </w:divBdr>
    </w:div>
    <w:div w:id="680623491">
      <w:bodyDiv w:val="1"/>
      <w:marLeft w:val="0"/>
      <w:marRight w:val="0"/>
      <w:marTop w:val="0"/>
      <w:marBottom w:val="0"/>
      <w:divBdr>
        <w:top w:val="none" w:sz="0" w:space="0" w:color="auto"/>
        <w:left w:val="none" w:sz="0" w:space="0" w:color="auto"/>
        <w:bottom w:val="none" w:sz="0" w:space="0" w:color="auto"/>
        <w:right w:val="none" w:sz="0" w:space="0" w:color="auto"/>
      </w:divBdr>
    </w:div>
    <w:div w:id="684525904">
      <w:bodyDiv w:val="1"/>
      <w:marLeft w:val="0"/>
      <w:marRight w:val="0"/>
      <w:marTop w:val="0"/>
      <w:marBottom w:val="0"/>
      <w:divBdr>
        <w:top w:val="none" w:sz="0" w:space="0" w:color="auto"/>
        <w:left w:val="none" w:sz="0" w:space="0" w:color="auto"/>
        <w:bottom w:val="none" w:sz="0" w:space="0" w:color="auto"/>
        <w:right w:val="none" w:sz="0" w:space="0" w:color="auto"/>
      </w:divBdr>
    </w:div>
    <w:div w:id="685788501">
      <w:bodyDiv w:val="1"/>
      <w:marLeft w:val="0"/>
      <w:marRight w:val="0"/>
      <w:marTop w:val="0"/>
      <w:marBottom w:val="0"/>
      <w:divBdr>
        <w:top w:val="none" w:sz="0" w:space="0" w:color="auto"/>
        <w:left w:val="none" w:sz="0" w:space="0" w:color="auto"/>
        <w:bottom w:val="none" w:sz="0" w:space="0" w:color="auto"/>
        <w:right w:val="none" w:sz="0" w:space="0" w:color="auto"/>
      </w:divBdr>
    </w:div>
    <w:div w:id="688289226">
      <w:bodyDiv w:val="1"/>
      <w:marLeft w:val="0"/>
      <w:marRight w:val="0"/>
      <w:marTop w:val="0"/>
      <w:marBottom w:val="0"/>
      <w:divBdr>
        <w:top w:val="none" w:sz="0" w:space="0" w:color="auto"/>
        <w:left w:val="none" w:sz="0" w:space="0" w:color="auto"/>
        <w:bottom w:val="none" w:sz="0" w:space="0" w:color="auto"/>
        <w:right w:val="none" w:sz="0" w:space="0" w:color="auto"/>
      </w:divBdr>
    </w:div>
    <w:div w:id="695618235">
      <w:bodyDiv w:val="1"/>
      <w:marLeft w:val="0"/>
      <w:marRight w:val="0"/>
      <w:marTop w:val="0"/>
      <w:marBottom w:val="0"/>
      <w:divBdr>
        <w:top w:val="none" w:sz="0" w:space="0" w:color="auto"/>
        <w:left w:val="none" w:sz="0" w:space="0" w:color="auto"/>
        <w:bottom w:val="none" w:sz="0" w:space="0" w:color="auto"/>
        <w:right w:val="none" w:sz="0" w:space="0" w:color="auto"/>
      </w:divBdr>
    </w:div>
    <w:div w:id="703678334">
      <w:bodyDiv w:val="1"/>
      <w:marLeft w:val="0"/>
      <w:marRight w:val="0"/>
      <w:marTop w:val="0"/>
      <w:marBottom w:val="0"/>
      <w:divBdr>
        <w:top w:val="none" w:sz="0" w:space="0" w:color="auto"/>
        <w:left w:val="none" w:sz="0" w:space="0" w:color="auto"/>
        <w:bottom w:val="none" w:sz="0" w:space="0" w:color="auto"/>
        <w:right w:val="none" w:sz="0" w:space="0" w:color="auto"/>
      </w:divBdr>
    </w:div>
    <w:div w:id="715549324">
      <w:bodyDiv w:val="1"/>
      <w:marLeft w:val="0"/>
      <w:marRight w:val="0"/>
      <w:marTop w:val="0"/>
      <w:marBottom w:val="0"/>
      <w:divBdr>
        <w:top w:val="none" w:sz="0" w:space="0" w:color="auto"/>
        <w:left w:val="none" w:sz="0" w:space="0" w:color="auto"/>
        <w:bottom w:val="none" w:sz="0" w:space="0" w:color="auto"/>
        <w:right w:val="none" w:sz="0" w:space="0" w:color="auto"/>
      </w:divBdr>
    </w:div>
    <w:div w:id="742604162">
      <w:bodyDiv w:val="1"/>
      <w:marLeft w:val="0"/>
      <w:marRight w:val="0"/>
      <w:marTop w:val="0"/>
      <w:marBottom w:val="0"/>
      <w:divBdr>
        <w:top w:val="none" w:sz="0" w:space="0" w:color="auto"/>
        <w:left w:val="none" w:sz="0" w:space="0" w:color="auto"/>
        <w:bottom w:val="none" w:sz="0" w:space="0" w:color="auto"/>
        <w:right w:val="none" w:sz="0" w:space="0" w:color="auto"/>
      </w:divBdr>
    </w:div>
    <w:div w:id="757560487">
      <w:bodyDiv w:val="1"/>
      <w:marLeft w:val="0"/>
      <w:marRight w:val="0"/>
      <w:marTop w:val="0"/>
      <w:marBottom w:val="0"/>
      <w:divBdr>
        <w:top w:val="none" w:sz="0" w:space="0" w:color="auto"/>
        <w:left w:val="none" w:sz="0" w:space="0" w:color="auto"/>
        <w:bottom w:val="none" w:sz="0" w:space="0" w:color="auto"/>
        <w:right w:val="none" w:sz="0" w:space="0" w:color="auto"/>
      </w:divBdr>
    </w:div>
    <w:div w:id="764771230">
      <w:bodyDiv w:val="1"/>
      <w:marLeft w:val="0"/>
      <w:marRight w:val="0"/>
      <w:marTop w:val="0"/>
      <w:marBottom w:val="0"/>
      <w:divBdr>
        <w:top w:val="none" w:sz="0" w:space="0" w:color="auto"/>
        <w:left w:val="none" w:sz="0" w:space="0" w:color="auto"/>
        <w:bottom w:val="none" w:sz="0" w:space="0" w:color="auto"/>
        <w:right w:val="none" w:sz="0" w:space="0" w:color="auto"/>
      </w:divBdr>
    </w:div>
    <w:div w:id="782187599">
      <w:bodyDiv w:val="1"/>
      <w:marLeft w:val="0"/>
      <w:marRight w:val="0"/>
      <w:marTop w:val="0"/>
      <w:marBottom w:val="0"/>
      <w:divBdr>
        <w:top w:val="none" w:sz="0" w:space="0" w:color="auto"/>
        <w:left w:val="none" w:sz="0" w:space="0" w:color="auto"/>
        <w:bottom w:val="none" w:sz="0" w:space="0" w:color="auto"/>
        <w:right w:val="none" w:sz="0" w:space="0" w:color="auto"/>
      </w:divBdr>
    </w:div>
    <w:div w:id="810293927">
      <w:bodyDiv w:val="1"/>
      <w:marLeft w:val="0"/>
      <w:marRight w:val="0"/>
      <w:marTop w:val="0"/>
      <w:marBottom w:val="0"/>
      <w:divBdr>
        <w:top w:val="none" w:sz="0" w:space="0" w:color="auto"/>
        <w:left w:val="none" w:sz="0" w:space="0" w:color="auto"/>
        <w:bottom w:val="none" w:sz="0" w:space="0" w:color="auto"/>
        <w:right w:val="none" w:sz="0" w:space="0" w:color="auto"/>
      </w:divBdr>
    </w:div>
    <w:div w:id="833840407">
      <w:bodyDiv w:val="1"/>
      <w:marLeft w:val="0"/>
      <w:marRight w:val="0"/>
      <w:marTop w:val="0"/>
      <w:marBottom w:val="0"/>
      <w:divBdr>
        <w:top w:val="none" w:sz="0" w:space="0" w:color="auto"/>
        <w:left w:val="none" w:sz="0" w:space="0" w:color="auto"/>
        <w:bottom w:val="none" w:sz="0" w:space="0" w:color="auto"/>
        <w:right w:val="none" w:sz="0" w:space="0" w:color="auto"/>
      </w:divBdr>
    </w:div>
    <w:div w:id="845285431">
      <w:bodyDiv w:val="1"/>
      <w:marLeft w:val="0"/>
      <w:marRight w:val="0"/>
      <w:marTop w:val="0"/>
      <w:marBottom w:val="0"/>
      <w:divBdr>
        <w:top w:val="none" w:sz="0" w:space="0" w:color="auto"/>
        <w:left w:val="none" w:sz="0" w:space="0" w:color="auto"/>
        <w:bottom w:val="none" w:sz="0" w:space="0" w:color="auto"/>
        <w:right w:val="none" w:sz="0" w:space="0" w:color="auto"/>
      </w:divBdr>
    </w:div>
    <w:div w:id="856845920">
      <w:bodyDiv w:val="1"/>
      <w:marLeft w:val="0"/>
      <w:marRight w:val="0"/>
      <w:marTop w:val="0"/>
      <w:marBottom w:val="0"/>
      <w:divBdr>
        <w:top w:val="none" w:sz="0" w:space="0" w:color="auto"/>
        <w:left w:val="none" w:sz="0" w:space="0" w:color="auto"/>
        <w:bottom w:val="none" w:sz="0" w:space="0" w:color="auto"/>
        <w:right w:val="none" w:sz="0" w:space="0" w:color="auto"/>
      </w:divBdr>
    </w:div>
    <w:div w:id="859855236">
      <w:bodyDiv w:val="1"/>
      <w:marLeft w:val="0"/>
      <w:marRight w:val="0"/>
      <w:marTop w:val="0"/>
      <w:marBottom w:val="0"/>
      <w:divBdr>
        <w:top w:val="none" w:sz="0" w:space="0" w:color="auto"/>
        <w:left w:val="none" w:sz="0" w:space="0" w:color="auto"/>
        <w:bottom w:val="none" w:sz="0" w:space="0" w:color="auto"/>
        <w:right w:val="none" w:sz="0" w:space="0" w:color="auto"/>
      </w:divBdr>
    </w:div>
    <w:div w:id="860049974">
      <w:bodyDiv w:val="1"/>
      <w:marLeft w:val="0"/>
      <w:marRight w:val="0"/>
      <w:marTop w:val="0"/>
      <w:marBottom w:val="0"/>
      <w:divBdr>
        <w:top w:val="none" w:sz="0" w:space="0" w:color="auto"/>
        <w:left w:val="none" w:sz="0" w:space="0" w:color="auto"/>
        <w:bottom w:val="none" w:sz="0" w:space="0" w:color="auto"/>
        <w:right w:val="none" w:sz="0" w:space="0" w:color="auto"/>
      </w:divBdr>
    </w:div>
    <w:div w:id="861086546">
      <w:bodyDiv w:val="1"/>
      <w:marLeft w:val="0"/>
      <w:marRight w:val="0"/>
      <w:marTop w:val="0"/>
      <w:marBottom w:val="0"/>
      <w:divBdr>
        <w:top w:val="none" w:sz="0" w:space="0" w:color="auto"/>
        <w:left w:val="none" w:sz="0" w:space="0" w:color="auto"/>
        <w:bottom w:val="none" w:sz="0" w:space="0" w:color="auto"/>
        <w:right w:val="none" w:sz="0" w:space="0" w:color="auto"/>
      </w:divBdr>
    </w:div>
    <w:div w:id="862864924">
      <w:bodyDiv w:val="1"/>
      <w:marLeft w:val="0"/>
      <w:marRight w:val="0"/>
      <w:marTop w:val="0"/>
      <w:marBottom w:val="0"/>
      <w:divBdr>
        <w:top w:val="none" w:sz="0" w:space="0" w:color="auto"/>
        <w:left w:val="none" w:sz="0" w:space="0" w:color="auto"/>
        <w:bottom w:val="none" w:sz="0" w:space="0" w:color="auto"/>
        <w:right w:val="none" w:sz="0" w:space="0" w:color="auto"/>
      </w:divBdr>
    </w:div>
    <w:div w:id="867644723">
      <w:bodyDiv w:val="1"/>
      <w:marLeft w:val="0"/>
      <w:marRight w:val="0"/>
      <w:marTop w:val="0"/>
      <w:marBottom w:val="0"/>
      <w:divBdr>
        <w:top w:val="none" w:sz="0" w:space="0" w:color="auto"/>
        <w:left w:val="none" w:sz="0" w:space="0" w:color="auto"/>
        <w:bottom w:val="none" w:sz="0" w:space="0" w:color="auto"/>
        <w:right w:val="none" w:sz="0" w:space="0" w:color="auto"/>
      </w:divBdr>
    </w:div>
    <w:div w:id="876049058">
      <w:bodyDiv w:val="1"/>
      <w:marLeft w:val="0"/>
      <w:marRight w:val="0"/>
      <w:marTop w:val="0"/>
      <w:marBottom w:val="0"/>
      <w:divBdr>
        <w:top w:val="none" w:sz="0" w:space="0" w:color="auto"/>
        <w:left w:val="none" w:sz="0" w:space="0" w:color="auto"/>
        <w:bottom w:val="none" w:sz="0" w:space="0" w:color="auto"/>
        <w:right w:val="none" w:sz="0" w:space="0" w:color="auto"/>
      </w:divBdr>
    </w:div>
    <w:div w:id="880240927">
      <w:bodyDiv w:val="1"/>
      <w:marLeft w:val="0"/>
      <w:marRight w:val="0"/>
      <w:marTop w:val="0"/>
      <w:marBottom w:val="0"/>
      <w:divBdr>
        <w:top w:val="none" w:sz="0" w:space="0" w:color="auto"/>
        <w:left w:val="none" w:sz="0" w:space="0" w:color="auto"/>
        <w:bottom w:val="none" w:sz="0" w:space="0" w:color="auto"/>
        <w:right w:val="none" w:sz="0" w:space="0" w:color="auto"/>
      </w:divBdr>
    </w:div>
    <w:div w:id="888608403">
      <w:bodyDiv w:val="1"/>
      <w:marLeft w:val="0"/>
      <w:marRight w:val="0"/>
      <w:marTop w:val="0"/>
      <w:marBottom w:val="0"/>
      <w:divBdr>
        <w:top w:val="none" w:sz="0" w:space="0" w:color="auto"/>
        <w:left w:val="none" w:sz="0" w:space="0" w:color="auto"/>
        <w:bottom w:val="none" w:sz="0" w:space="0" w:color="auto"/>
        <w:right w:val="none" w:sz="0" w:space="0" w:color="auto"/>
      </w:divBdr>
    </w:div>
    <w:div w:id="894437311">
      <w:bodyDiv w:val="1"/>
      <w:marLeft w:val="0"/>
      <w:marRight w:val="0"/>
      <w:marTop w:val="0"/>
      <w:marBottom w:val="0"/>
      <w:divBdr>
        <w:top w:val="none" w:sz="0" w:space="0" w:color="auto"/>
        <w:left w:val="none" w:sz="0" w:space="0" w:color="auto"/>
        <w:bottom w:val="none" w:sz="0" w:space="0" w:color="auto"/>
        <w:right w:val="none" w:sz="0" w:space="0" w:color="auto"/>
      </w:divBdr>
    </w:div>
    <w:div w:id="898445441">
      <w:bodyDiv w:val="1"/>
      <w:marLeft w:val="0"/>
      <w:marRight w:val="0"/>
      <w:marTop w:val="0"/>
      <w:marBottom w:val="0"/>
      <w:divBdr>
        <w:top w:val="none" w:sz="0" w:space="0" w:color="auto"/>
        <w:left w:val="none" w:sz="0" w:space="0" w:color="auto"/>
        <w:bottom w:val="none" w:sz="0" w:space="0" w:color="auto"/>
        <w:right w:val="none" w:sz="0" w:space="0" w:color="auto"/>
      </w:divBdr>
    </w:div>
    <w:div w:id="901524221">
      <w:bodyDiv w:val="1"/>
      <w:marLeft w:val="0"/>
      <w:marRight w:val="0"/>
      <w:marTop w:val="0"/>
      <w:marBottom w:val="0"/>
      <w:divBdr>
        <w:top w:val="none" w:sz="0" w:space="0" w:color="auto"/>
        <w:left w:val="none" w:sz="0" w:space="0" w:color="auto"/>
        <w:bottom w:val="none" w:sz="0" w:space="0" w:color="auto"/>
        <w:right w:val="none" w:sz="0" w:space="0" w:color="auto"/>
      </w:divBdr>
    </w:div>
    <w:div w:id="911501435">
      <w:bodyDiv w:val="1"/>
      <w:marLeft w:val="0"/>
      <w:marRight w:val="0"/>
      <w:marTop w:val="0"/>
      <w:marBottom w:val="0"/>
      <w:divBdr>
        <w:top w:val="none" w:sz="0" w:space="0" w:color="auto"/>
        <w:left w:val="none" w:sz="0" w:space="0" w:color="auto"/>
        <w:bottom w:val="none" w:sz="0" w:space="0" w:color="auto"/>
        <w:right w:val="none" w:sz="0" w:space="0" w:color="auto"/>
      </w:divBdr>
    </w:div>
    <w:div w:id="929656407">
      <w:bodyDiv w:val="1"/>
      <w:marLeft w:val="0"/>
      <w:marRight w:val="0"/>
      <w:marTop w:val="0"/>
      <w:marBottom w:val="0"/>
      <w:divBdr>
        <w:top w:val="none" w:sz="0" w:space="0" w:color="auto"/>
        <w:left w:val="none" w:sz="0" w:space="0" w:color="auto"/>
        <w:bottom w:val="none" w:sz="0" w:space="0" w:color="auto"/>
        <w:right w:val="none" w:sz="0" w:space="0" w:color="auto"/>
      </w:divBdr>
    </w:div>
    <w:div w:id="944532267">
      <w:bodyDiv w:val="1"/>
      <w:marLeft w:val="0"/>
      <w:marRight w:val="0"/>
      <w:marTop w:val="0"/>
      <w:marBottom w:val="0"/>
      <w:divBdr>
        <w:top w:val="none" w:sz="0" w:space="0" w:color="auto"/>
        <w:left w:val="none" w:sz="0" w:space="0" w:color="auto"/>
        <w:bottom w:val="none" w:sz="0" w:space="0" w:color="auto"/>
        <w:right w:val="none" w:sz="0" w:space="0" w:color="auto"/>
      </w:divBdr>
    </w:div>
    <w:div w:id="945313560">
      <w:bodyDiv w:val="1"/>
      <w:marLeft w:val="0"/>
      <w:marRight w:val="0"/>
      <w:marTop w:val="0"/>
      <w:marBottom w:val="0"/>
      <w:divBdr>
        <w:top w:val="none" w:sz="0" w:space="0" w:color="auto"/>
        <w:left w:val="none" w:sz="0" w:space="0" w:color="auto"/>
        <w:bottom w:val="none" w:sz="0" w:space="0" w:color="auto"/>
        <w:right w:val="none" w:sz="0" w:space="0" w:color="auto"/>
      </w:divBdr>
    </w:div>
    <w:div w:id="947003936">
      <w:bodyDiv w:val="1"/>
      <w:marLeft w:val="0"/>
      <w:marRight w:val="0"/>
      <w:marTop w:val="0"/>
      <w:marBottom w:val="0"/>
      <w:divBdr>
        <w:top w:val="none" w:sz="0" w:space="0" w:color="auto"/>
        <w:left w:val="none" w:sz="0" w:space="0" w:color="auto"/>
        <w:bottom w:val="none" w:sz="0" w:space="0" w:color="auto"/>
        <w:right w:val="none" w:sz="0" w:space="0" w:color="auto"/>
      </w:divBdr>
    </w:div>
    <w:div w:id="948317134">
      <w:bodyDiv w:val="1"/>
      <w:marLeft w:val="0"/>
      <w:marRight w:val="0"/>
      <w:marTop w:val="0"/>
      <w:marBottom w:val="0"/>
      <w:divBdr>
        <w:top w:val="none" w:sz="0" w:space="0" w:color="auto"/>
        <w:left w:val="none" w:sz="0" w:space="0" w:color="auto"/>
        <w:bottom w:val="none" w:sz="0" w:space="0" w:color="auto"/>
        <w:right w:val="none" w:sz="0" w:space="0" w:color="auto"/>
      </w:divBdr>
    </w:div>
    <w:div w:id="953442992">
      <w:bodyDiv w:val="1"/>
      <w:marLeft w:val="0"/>
      <w:marRight w:val="0"/>
      <w:marTop w:val="0"/>
      <w:marBottom w:val="0"/>
      <w:divBdr>
        <w:top w:val="none" w:sz="0" w:space="0" w:color="auto"/>
        <w:left w:val="none" w:sz="0" w:space="0" w:color="auto"/>
        <w:bottom w:val="none" w:sz="0" w:space="0" w:color="auto"/>
        <w:right w:val="none" w:sz="0" w:space="0" w:color="auto"/>
      </w:divBdr>
    </w:div>
    <w:div w:id="960233943">
      <w:bodyDiv w:val="1"/>
      <w:marLeft w:val="0"/>
      <w:marRight w:val="0"/>
      <w:marTop w:val="0"/>
      <w:marBottom w:val="0"/>
      <w:divBdr>
        <w:top w:val="none" w:sz="0" w:space="0" w:color="auto"/>
        <w:left w:val="none" w:sz="0" w:space="0" w:color="auto"/>
        <w:bottom w:val="none" w:sz="0" w:space="0" w:color="auto"/>
        <w:right w:val="none" w:sz="0" w:space="0" w:color="auto"/>
      </w:divBdr>
    </w:div>
    <w:div w:id="960382454">
      <w:bodyDiv w:val="1"/>
      <w:marLeft w:val="0"/>
      <w:marRight w:val="0"/>
      <w:marTop w:val="0"/>
      <w:marBottom w:val="0"/>
      <w:divBdr>
        <w:top w:val="none" w:sz="0" w:space="0" w:color="auto"/>
        <w:left w:val="none" w:sz="0" w:space="0" w:color="auto"/>
        <w:bottom w:val="none" w:sz="0" w:space="0" w:color="auto"/>
        <w:right w:val="none" w:sz="0" w:space="0" w:color="auto"/>
      </w:divBdr>
    </w:div>
    <w:div w:id="965888562">
      <w:bodyDiv w:val="1"/>
      <w:marLeft w:val="0"/>
      <w:marRight w:val="0"/>
      <w:marTop w:val="0"/>
      <w:marBottom w:val="0"/>
      <w:divBdr>
        <w:top w:val="none" w:sz="0" w:space="0" w:color="auto"/>
        <w:left w:val="none" w:sz="0" w:space="0" w:color="auto"/>
        <w:bottom w:val="none" w:sz="0" w:space="0" w:color="auto"/>
        <w:right w:val="none" w:sz="0" w:space="0" w:color="auto"/>
      </w:divBdr>
    </w:div>
    <w:div w:id="974144848">
      <w:bodyDiv w:val="1"/>
      <w:marLeft w:val="0"/>
      <w:marRight w:val="0"/>
      <w:marTop w:val="0"/>
      <w:marBottom w:val="0"/>
      <w:divBdr>
        <w:top w:val="none" w:sz="0" w:space="0" w:color="auto"/>
        <w:left w:val="none" w:sz="0" w:space="0" w:color="auto"/>
        <w:bottom w:val="none" w:sz="0" w:space="0" w:color="auto"/>
        <w:right w:val="none" w:sz="0" w:space="0" w:color="auto"/>
      </w:divBdr>
    </w:div>
    <w:div w:id="986862277">
      <w:bodyDiv w:val="1"/>
      <w:marLeft w:val="0"/>
      <w:marRight w:val="0"/>
      <w:marTop w:val="0"/>
      <w:marBottom w:val="0"/>
      <w:divBdr>
        <w:top w:val="none" w:sz="0" w:space="0" w:color="auto"/>
        <w:left w:val="none" w:sz="0" w:space="0" w:color="auto"/>
        <w:bottom w:val="none" w:sz="0" w:space="0" w:color="auto"/>
        <w:right w:val="none" w:sz="0" w:space="0" w:color="auto"/>
      </w:divBdr>
    </w:div>
    <w:div w:id="995037774">
      <w:bodyDiv w:val="1"/>
      <w:marLeft w:val="0"/>
      <w:marRight w:val="0"/>
      <w:marTop w:val="0"/>
      <w:marBottom w:val="0"/>
      <w:divBdr>
        <w:top w:val="none" w:sz="0" w:space="0" w:color="auto"/>
        <w:left w:val="none" w:sz="0" w:space="0" w:color="auto"/>
        <w:bottom w:val="none" w:sz="0" w:space="0" w:color="auto"/>
        <w:right w:val="none" w:sz="0" w:space="0" w:color="auto"/>
      </w:divBdr>
    </w:div>
    <w:div w:id="1003507861">
      <w:bodyDiv w:val="1"/>
      <w:marLeft w:val="0"/>
      <w:marRight w:val="0"/>
      <w:marTop w:val="0"/>
      <w:marBottom w:val="0"/>
      <w:divBdr>
        <w:top w:val="none" w:sz="0" w:space="0" w:color="auto"/>
        <w:left w:val="none" w:sz="0" w:space="0" w:color="auto"/>
        <w:bottom w:val="none" w:sz="0" w:space="0" w:color="auto"/>
        <w:right w:val="none" w:sz="0" w:space="0" w:color="auto"/>
      </w:divBdr>
    </w:div>
    <w:div w:id="1010764898">
      <w:bodyDiv w:val="1"/>
      <w:marLeft w:val="0"/>
      <w:marRight w:val="0"/>
      <w:marTop w:val="0"/>
      <w:marBottom w:val="0"/>
      <w:divBdr>
        <w:top w:val="none" w:sz="0" w:space="0" w:color="auto"/>
        <w:left w:val="none" w:sz="0" w:space="0" w:color="auto"/>
        <w:bottom w:val="none" w:sz="0" w:space="0" w:color="auto"/>
        <w:right w:val="none" w:sz="0" w:space="0" w:color="auto"/>
      </w:divBdr>
    </w:div>
    <w:div w:id="1017583382">
      <w:bodyDiv w:val="1"/>
      <w:marLeft w:val="0"/>
      <w:marRight w:val="0"/>
      <w:marTop w:val="0"/>
      <w:marBottom w:val="0"/>
      <w:divBdr>
        <w:top w:val="none" w:sz="0" w:space="0" w:color="auto"/>
        <w:left w:val="none" w:sz="0" w:space="0" w:color="auto"/>
        <w:bottom w:val="none" w:sz="0" w:space="0" w:color="auto"/>
        <w:right w:val="none" w:sz="0" w:space="0" w:color="auto"/>
      </w:divBdr>
    </w:div>
    <w:div w:id="1030766469">
      <w:bodyDiv w:val="1"/>
      <w:marLeft w:val="0"/>
      <w:marRight w:val="0"/>
      <w:marTop w:val="0"/>
      <w:marBottom w:val="0"/>
      <w:divBdr>
        <w:top w:val="none" w:sz="0" w:space="0" w:color="auto"/>
        <w:left w:val="none" w:sz="0" w:space="0" w:color="auto"/>
        <w:bottom w:val="none" w:sz="0" w:space="0" w:color="auto"/>
        <w:right w:val="none" w:sz="0" w:space="0" w:color="auto"/>
      </w:divBdr>
    </w:div>
    <w:div w:id="1039863503">
      <w:bodyDiv w:val="1"/>
      <w:marLeft w:val="0"/>
      <w:marRight w:val="0"/>
      <w:marTop w:val="0"/>
      <w:marBottom w:val="0"/>
      <w:divBdr>
        <w:top w:val="none" w:sz="0" w:space="0" w:color="auto"/>
        <w:left w:val="none" w:sz="0" w:space="0" w:color="auto"/>
        <w:bottom w:val="none" w:sz="0" w:space="0" w:color="auto"/>
        <w:right w:val="none" w:sz="0" w:space="0" w:color="auto"/>
      </w:divBdr>
    </w:div>
    <w:div w:id="1046486271">
      <w:bodyDiv w:val="1"/>
      <w:marLeft w:val="0"/>
      <w:marRight w:val="0"/>
      <w:marTop w:val="0"/>
      <w:marBottom w:val="0"/>
      <w:divBdr>
        <w:top w:val="none" w:sz="0" w:space="0" w:color="auto"/>
        <w:left w:val="none" w:sz="0" w:space="0" w:color="auto"/>
        <w:bottom w:val="none" w:sz="0" w:space="0" w:color="auto"/>
        <w:right w:val="none" w:sz="0" w:space="0" w:color="auto"/>
      </w:divBdr>
    </w:div>
    <w:div w:id="1052342051">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2633414">
      <w:bodyDiv w:val="1"/>
      <w:marLeft w:val="0"/>
      <w:marRight w:val="0"/>
      <w:marTop w:val="0"/>
      <w:marBottom w:val="0"/>
      <w:divBdr>
        <w:top w:val="none" w:sz="0" w:space="0" w:color="auto"/>
        <w:left w:val="none" w:sz="0" w:space="0" w:color="auto"/>
        <w:bottom w:val="none" w:sz="0" w:space="0" w:color="auto"/>
        <w:right w:val="none" w:sz="0" w:space="0" w:color="auto"/>
      </w:divBdr>
    </w:div>
    <w:div w:id="1063866551">
      <w:bodyDiv w:val="1"/>
      <w:marLeft w:val="0"/>
      <w:marRight w:val="0"/>
      <w:marTop w:val="0"/>
      <w:marBottom w:val="0"/>
      <w:divBdr>
        <w:top w:val="none" w:sz="0" w:space="0" w:color="auto"/>
        <w:left w:val="none" w:sz="0" w:space="0" w:color="auto"/>
        <w:bottom w:val="none" w:sz="0" w:space="0" w:color="auto"/>
        <w:right w:val="none" w:sz="0" w:space="0" w:color="auto"/>
      </w:divBdr>
    </w:div>
    <w:div w:id="1070612287">
      <w:bodyDiv w:val="1"/>
      <w:marLeft w:val="0"/>
      <w:marRight w:val="0"/>
      <w:marTop w:val="0"/>
      <w:marBottom w:val="0"/>
      <w:divBdr>
        <w:top w:val="none" w:sz="0" w:space="0" w:color="auto"/>
        <w:left w:val="none" w:sz="0" w:space="0" w:color="auto"/>
        <w:bottom w:val="none" w:sz="0" w:space="0" w:color="auto"/>
        <w:right w:val="none" w:sz="0" w:space="0" w:color="auto"/>
      </w:divBdr>
    </w:div>
    <w:div w:id="1077898993">
      <w:bodyDiv w:val="1"/>
      <w:marLeft w:val="0"/>
      <w:marRight w:val="0"/>
      <w:marTop w:val="0"/>
      <w:marBottom w:val="0"/>
      <w:divBdr>
        <w:top w:val="none" w:sz="0" w:space="0" w:color="auto"/>
        <w:left w:val="none" w:sz="0" w:space="0" w:color="auto"/>
        <w:bottom w:val="none" w:sz="0" w:space="0" w:color="auto"/>
        <w:right w:val="none" w:sz="0" w:space="0" w:color="auto"/>
      </w:divBdr>
    </w:div>
    <w:div w:id="1078745632">
      <w:bodyDiv w:val="1"/>
      <w:marLeft w:val="0"/>
      <w:marRight w:val="0"/>
      <w:marTop w:val="0"/>
      <w:marBottom w:val="0"/>
      <w:divBdr>
        <w:top w:val="none" w:sz="0" w:space="0" w:color="auto"/>
        <w:left w:val="none" w:sz="0" w:space="0" w:color="auto"/>
        <w:bottom w:val="none" w:sz="0" w:space="0" w:color="auto"/>
        <w:right w:val="none" w:sz="0" w:space="0" w:color="auto"/>
      </w:divBdr>
    </w:div>
    <w:div w:id="1087313708">
      <w:bodyDiv w:val="1"/>
      <w:marLeft w:val="0"/>
      <w:marRight w:val="0"/>
      <w:marTop w:val="0"/>
      <w:marBottom w:val="0"/>
      <w:divBdr>
        <w:top w:val="none" w:sz="0" w:space="0" w:color="auto"/>
        <w:left w:val="none" w:sz="0" w:space="0" w:color="auto"/>
        <w:bottom w:val="none" w:sz="0" w:space="0" w:color="auto"/>
        <w:right w:val="none" w:sz="0" w:space="0" w:color="auto"/>
      </w:divBdr>
    </w:div>
    <w:div w:id="1087458410">
      <w:bodyDiv w:val="1"/>
      <w:marLeft w:val="0"/>
      <w:marRight w:val="0"/>
      <w:marTop w:val="0"/>
      <w:marBottom w:val="0"/>
      <w:divBdr>
        <w:top w:val="none" w:sz="0" w:space="0" w:color="auto"/>
        <w:left w:val="none" w:sz="0" w:space="0" w:color="auto"/>
        <w:bottom w:val="none" w:sz="0" w:space="0" w:color="auto"/>
        <w:right w:val="none" w:sz="0" w:space="0" w:color="auto"/>
      </w:divBdr>
    </w:div>
    <w:div w:id="1098671825">
      <w:bodyDiv w:val="1"/>
      <w:marLeft w:val="0"/>
      <w:marRight w:val="0"/>
      <w:marTop w:val="0"/>
      <w:marBottom w:val="0"/>
      <w:divBdr>
        <w:top w:val="none" w:sz="0" w:space="0" w:color="auto"/>
        <w:left w:val="none" w:sz="0" w:space="0" w:color="auto"/>
        <w:bottom w:val="none" w:sz="0" w:space="0" w:color="auto"/>
        <w:right w:val="none" w:sz="0" w:space="0" w:color="auto"/>
      </w:divBdr>
    </w:div>
    <w:div w:id="1098939828">
      <w:bodyDiv w:val="1"/>
      <w:marLeft w:val="0"/>
      <w:marRight w:val="0"/>
      <w:marTop w:val="0"/>
      <w:marBottom w:val="0"/>
      <w:divBdr>
        <w:top w:val="none" w:sz="0" w:space="0" w:color="auto"/>
        <w:left w:val="none" w:sz="0" w:space="0" w:color="auto"/>
        <w:bottom w:val="none" w:sz="0" w:space="0" w:color="auto"/>
        <w:right w:val="none" w:sz="0" w:space="0" w:color="auto"/>
      </w:divBdr>
    </w:div>
    <w:div w:id="1101796137">
      <w:bodyDiv w:val="1"/>
      <w:marLeft w:val="0"/>
      <w:marRight w:val="0"/>
      <w:marTop w:val="0"/>
      <w:marBottom w:val="0"/>
      <w:divBdr>
        <w:top w:val="none" w:sz="0" w:space="0" w:color="auto"/>
        <w:left w:val="none" w:sz="0" w:space="0" w:color="auto"/>
        <w:bottom w:val="none" w:sz="0" w:space="0" w:color="auto"/>
        <w:right w:val="none" w:sz="0" w:space="0" w:color="auto"/>
      </w:divBdr>
    </w:div>
    <w:div w:id="1110515854">
      <w:bodyDiv w:val="1"/>
      <w:marLeft w:val="0"/>
      <w:marRight w:val="0"/>
      <w:marTop w:val="0"/>
      <w:marBottom w:val="0"/>
      <w:divBdr>
        <w:top w:val="none" w:sz="0" w:space="0" w:color="auto"/>
        <w:left w:val="none" w:sz="0" w:space="0" w:color="auto"/>
        <w:bottom w:val="none" w:sz="0" w:space="0" w:color="auto"/>
        <w:right w:val="none" w:sz="0" w:space="0" w:color="auto"/>
      </w:divBdr>
    </w:div>
    <w:div w:id="1115100717">
      <w:bodyDiv w:val="1"/>
      <w:marLeft w:val="0"/>
      <w:marRight w:val="0"/>
      <w:marTop w:val="0"/>
      <w:marBottom w:val="0"/>
      <w:divBdr>
        <w:top w:val="none" w:sz="0" w:space="0" w:color="auto"/>
        <w:left w:val="none" w:sz="0" w:space="0" w:color="auto"/>
        <w:bottom w:val="none" w:sz="0" w:space="0" w:color="auto"/>
        <w:right w:val="none" w:sz="0" w:space="0" w:color="auto"/>
      </w:divBdr>
    </w:div>
    <w:div w:id="1121261793">
      <w:bodyDiv w:val="1"/>
      <w:marLeft w:val="0"/>
      <w:marRight w:val="0"/>
      <w:marTop w:val="0"/>
      <w:marBottom w:val="0"/>
      <w:divBdr>
        <w:top w:val="none" w:sz="0" w:space="0" w:color="auto"/>
        <w:left w:val="none" w:sz="0" w:space="0" w:color="auto"/>
        <w:bottom w:val="none" w:sz="0" w:space="0" w:color="auto"/>
        <w:right w:val="none" w:sz="0" w:space="0" w:color="auto"/>
      </w:divBdr>
    </w:div>
    <w:div w:id="1151210441">
      <w:bodyDiv w:val="1"/>
      <w:marLeft w:val="0"/>
      <w:marRight w:val="0"/>
      <w:marTop w:val="0"/>
      <w:marBottom w:val="0"/>
      <w:divBdr>
        <w:top w:val="none" w:sz="0" w:space="0" w:color="auto"/>
        <w:left w:val="none" w:sz="0" w:space="0" w:color="auto"/>
        <w:bottom w:val="none" w:sz="0" w:space="0" w:color="auto"/>
        <w:right w:val="none" w:sz="0" w:space="0" w:color="auto"/>
      </w:divBdr>
    </w:div>
    <w:div w:id="1162936369">
      <w:bodyDiv w:val="1"/>
      <w:marLeft w:val="0"/>
      <w:marRight w:val="0"/>
      <w:marTop w:val="0"/>
      <w:marBottom w:val="0"/>
      <w:divBdr>
        <w:top w:val="none" w:sz="0" w:space="0" w:color="auto"/>
        <w:left w:val="none" w:sz="0" w:space="0" w:color="auto"/>
        <w:bottom w:val="none" w:sz="0" w:space="0" w:color="auto"/>
        <w:right w:val="none" w:sz="0" w:space="0" w:color="auto"/>
      </w:divBdr>
    </w:div>
    <w:div w:id="1167670070">
      <w:bodyDiv w:val="1"/>
      <w:marLeft w:val="0"/>
      <w:marRight w:val="0"/>
      <w:marTop w:val="0"/>
      <w:marBottom w:val="0"/>
      <w:divBdr>
        <w:top w:val="none" w:sz="0" w:space="0" w:color="auto"/>
        <w:left w:val="none" w:sz="0" w:space="0" w:color="auto"/>
        <w:bottom w:val="none" w:sz="0" w:space="0" w:color="auto"/>
        <w:right w:val="none" w:sz="0" w:space="0" w:color="auto"/>
      </w:divBdr>
    </w:div>
    <w:div w:id="1168905006">
      <w:bodyDiv w:val="1"/>
      <w:marLeft w:val="0"/>
      <w:marRight w:val="0"/>
      <w:marTop w:val="0"/>
      <w:marBottom w:val="0"/>
      <w:divBdr>
        <w:top w:val="none" w:sz="0" w:space="0" w:color="auto"/>
        <w:left w:val="none" w:sz="0" w:space="0" w:color="auto"/>
        <w:bottom w:val="none" w:sz="0" w:space="0" w:color="auto"/>
        <w:right w:val="none" w:sz="0" w:space="0" w:color="auto"/>
      </w:divBdr>
    </w:div>
    <w:div w:id="1188518707">
      <w:bodyDiv w:val="1"/>
      <w:marLeft w:val="0"/>
      <w:marRight w:val="0"/>
      <w:marTop w:val="0"/>
      <w:marBottom w:val="0"/>
      <w:divBdr>
        <w:top w:val="none" w:sz="0" w:space="0" w:color="auto"/>
        <w:left w:val="none" w:sz="0" w:space="0" w:color="auto"/>
        <w:bottom w:val="none" w:sz="0" w:space="0" w:color="auto"/>
        <w:right w:val="none" w:sz="0" w:space="0" w:color="auto"/>
      </w:divBdr>
    </w:div>
    <w:div w:id="1191991993">
      <w:bodyDiv w:val="1"/>
      <w:marLeft w:val="0"/>
      <w:marRight w:val="0"/>
      <w:marTop w:val="0"/>
      <w:marBottom w:val="0"/>
      <w:divBdr>
        <w:top w:val="none" w:sz="0" w:space="0" w:color="auto"/>
        <w:left w:val="none" w:sz="0" w:space="0" w:color="auto"/>
        <w:bottom w:val="none" w:sz="0" w:space="0" w:color="auto"/>
        <w:right w:val="none" w:sz="0" w:space="0" w:color="auto"/>
      </w:divBdr>
    </w:div>
    <w:div w:id="1192381978">
      <w:bodyDiv w:val="1"/>
      <w:marLeft w:val="0"/>
      <w:marRight w:val="0"/>
      <w:marTop w:val="0"/>
      <w:marBottom w:val="0"/>
      <w:divBdr>
        <w:top w:val="none" w:sz="0" w:space="0" w:color="auto"/>
        <w:left w:val="none" w:sz="0" w:space="0" w:color="auto"/>
        <w:bottom w:val="none" w:sz="0" w:space="0" w:color="auto"/>
        <w:right w:val="none" w:sz="0" w:space="0" w:color="auto"/>
      </w:divBdr>
    </w:div>
    <w:div w:id="1206987447">
      <w:bodyDiv w:val="1"/>
      <w:marLeft w:val="0"/>
      <w:marRight w:val="0"/>
      <w:marTop w:val="0"/>
      <w:marBottom w:val="0"/>
      <w:divBdr>
        <w:top w:val="none" w:sz="0" w:space="0" w:color="auto"/>
        <w:left w:val="none" w:sz="0" w:space="0" w:color="auto"/>
        <w:bottom w:val="none" w:sz="0" w:space="0" w:color="auto"/>
        <w:right w:val="none" w:sz="0" w:space="0" w:color="auto"/>
      </w:divBdr>
    </w:div>
    <w:div w:id="1208491096">
      <w:bodyDiv w:val="1"/>
      <w:marLeft w:val="0"/>
      <w:marRight w:val="0"/>
      <w:marTop w:val="0"/>
      <w:marBottom w:val="0"/>
      <w:divBdr>
        <w:top w:val="none" w:sz="0" w:space="0" w:color="auto"/>
        <w:left w:val="none" w:sz="0" w:space="0" w:color="auto"/>
        <w:bottom w:val="none" w:sz="0" w:space="0" w:color="auto"/>
        <w:right w:val="none" w:sz="0" w:space="0" w:color="auto"/>
      </w:divBdr>
    </w:div>
    <w:div w:id="1220095775">
      <w:bodyDiv w:val="1"/>
      <w:marLeft w:val="0"/>
      <w:marRight w:val="0"/>
      <w:marTop w:val="0"/>
      <w:marBottom w:val="0"/>
      <w:divBdr>
        <w:top w:val="none" w:sz="0" w:space="0" w:color="auto"/>
        <w:left w:val="none" w:sz="0" w:space="0" w:color="auto"/>
        <w:bottom w:val="none" w:sz="0" w:space="0" w:color="auto"/>
        <w:right w:val="none" w:sz="0" w:space="0" w:color="auto"/>
      </w:divBdr>
    </w:div>
    <w:div w:id="1220634588">
      <w:bodyDiv w:val="1"/>
      <w:marLeft w:val="0"/>
      <w:marRight w:val="0"/>
      <w:marTop w:val="0"/>
      <w:marBottom w:val="0"/>
      <w:divBdr>
        <w:top w:val="none" w:sz="0" w:space="0" w:color="auto"/>
        <w:left w:val="none" w:sz="0" w:space="0" w:color="auto"/>
        <w:bottom w:val="none" w:sz="0" w:space="0" w:color="auto"/>
        <w:right w:val="none" w:sz="0" w:space="0" w:color="auto"/>
      </w:divBdr>
    </w:div>
    <w:div w:id="1222054220">
      <w:bodyDiv w:val="1"/>
      <w:marLeft w:val="0"/>
      <w:marRight w:val="0"/>
      <w:marTop w:val="0"/>
      <w:marBottom w:val="0"/>
      <w:divBdr>
        <w:top w:val="none" w:sz="0" w:space="0" w:color="auto"/>
        <w:left w:val="none" w:sz="0" w:space="0" w:color="auto"/>
        <w:bottom w:val="none" w:sz="0" w:space="0" w:color="auto"/>
        <w:right w:val="none" w:sz="0" w:space="0" w:color="auto"/>
      </w:divBdr>
    </w:div>
    <w:div w:id="1223249020">
      <w:bodyDiv w:val="1"/>
      <w:marLeft w:val="0"/>
      <w:marRight w:val="0"/>
      <w:marTop w:val="0"/>
      <w:marBottom w:val="0"/>
      <w:divBdr>
        <w:top w:val="none" w:sz="0" w:space="0" w:color="auto"/>
        <w:left w:val="none" w:sz="0" w:space="0" w:color="auto"/>
        <w:bottom w:val="none" w:sz="0" w:space="0" w:color="auto"/>
        <w:right w:val="none" w:sz="0" w:space="0" w:color="auto"/>
      </w:divBdr>
    </w:div>
    <w:div w:id="1224949515">
      <w:bodyDiv w:val="1"/>
      <w:marLeft w:val="0"/>
      <w:marRight w:val="0"/>
      <w:marTop w:val="0"/>
      <w:marBottom w:val="0"/>
      <w:divBdr>
        <w:top w:val="none" w:sz="0" w:space="0" w:color="auto"/>
        <w:left w:val="none" w:sz="0" w:space="0" w:color="auto"/>
        <w:bottom w:val="none" w:sz="0" w:space="0" w:color="auto"/>
        <w:right w:val="none" w:sz="0" w:space="0" w:color="auto"/>
      </w:divBdr>
    </w:div>
    <w:div w:id="1248461467">
      <w:bodyDiv w:val="1"/>
      <w:marLeft w:val="0"/>
      <w:marRight w:val="0"/>
      <w:marTop w:val="0"/>
      <w:marBottom w:val="0"/>
      <w:divBdr>
        <w:top w:val="none" w:sz="0" w:space="0" w:color="auto"/>
        <w:left w:val="none" w:sz="0" w:space="0" w:color="auto"/>
        <w:bottom w:val="none" w:sz="0" w:space="0" w:color="auto"/>
        <w:right w:val="none" w:sz="0" w:space="0" w:color="auto"/>
      </w:divBdr>
    </w:div>
    <w:div w:id="1258055924">
      <w:bodyDiv w:val="1"/>
      <w:marLeft w:val="0"/>
      <w:marRight w:val="0"/>
      <w:marTop w:val="0"/>
      <w:marBottom w:val="0"/>
      <w:divBdr>
        <w:top w:val="none" w:sz="0" w:space="0" w:color="auto"/>
        <w:left w:val="none" w:sz="0" w:space="0" w:color="auto"/>
        <w:bottom w:val="none" w:sz="0" w:space="0" w:color="auto"/>
        <w:right w:val="none" w:sz="0" w:space="0" w:color="auto"/>
      </w:divBdr>
    </w:div>
    <w:div w:id="1259674771">
      <w:bodyDiv w:val="1"/>
      <w:marLeft w:val="0"/>
      <w:marRight w:val="0"/>
      <w:marTop w:val="0"/>
      <w:marBottom w:val="0"/>
      <w:divBdr>
        <w:top w:val="none" w:sz="0" w:space="0" w:color="auto"/>
        <w:left w:val="none" w:sz="0" w:space="0" w:color="auto"/>
        <w:bottom w:val="none" w:sz="0" w:space="0" w:color="auto"/>
        <w:right w:val="none" w:sz="0" w:space="0" w:color="auto"/>
      </w:divBdr>
    </w:div>
    <w:div w:id="1261331027">
      <w:bodyDiv w:val="1"/>
      <w:marLeft w:val="0"/>
      <w:marRight w:val="0"/>
      <w:marTop w:val="0"/>
      <w:marBottom w:val="0"/>
      <w:divBdr>
        <w:top w:val="none" w:sz="0" w:space="0" w:color="auto"/>
        <w:left w:val="none" w:sz="0" w:space="0" w:color="auto"/>
        <w:bottom w:val="none" w:sz="0" w:space="0" w:color="auto"/>
        <w:right w:val="none" w:sz="0" w:space="0" w:color="auto"/>
      </w:divBdr>
    </w:div>
    <w:div w:id="1265263270">
      <w:bodyDiv w:val="1"/>
      <w:marLeft w:val="0"/>
      <w:marRight w:val="0"/>
      <w:marTop w:val="0"/>
      <w:marBottom w:val="0"/>
      <w:divBdr>
        <w:top w:val="none" w:sz="0" w:space="0" w:color="auto"/>
        <w:left w:val="none" w:sz="0" w:space="0" w:color="auto"/>
        <w:bottom w:val="none" w:sz="0" w:space="0" w:color="auto"/>
        <w:right w:val="none" w:sz="0" w:space="0" w:color="auto"/>
      </w:divBdr>
    </w:div>
    <w:div w:id="1274632056">
      <w:bodyDiv w:val="1"/>
      <w:marLeft w:val="0"/>
      <w:marRight w:val="0"/>
      <w:marTop w:val="0"/>
      <w:marBottom w:val="0"/>
      <w:divBdr>
        <w:top w:val="none" w:sz="0" w:space="0" w:color="auto"/>
        <w:left w:val="none" w:sz="0" w:space="0" w:color="auto"/>
        <w:bottom w:val="none" w:sz="0" w:space="0" w:color="auto"/>
        <w:right w:val="none" w:sz="0" w:space="0" w:color="auto"/>
      </w:divBdr>
    </w:div>
    <w:div w:id="1283616164">
      <w:bodyDiv w:val="1"/>
      <w:marLeft w:val="0"/>
      <w:marRight w:val="0"/>
      <w:marTop w:val="0"/>
      <w:marBottom w:val="0"/>
      <w:divBdr>
        <w:top w:val="none" w:sz="0" w:space="0" w:color="auto"/>
        <w:left w:val="none" w:sz="0" w:space="0" w:color="auto"/>
        <w:bottom w:val="none" w:sz="0" w:space="0" w:color="auto"/>
        <w:right w:val="none" w:sz="0" w:space="0" w:color="auto"/>
      </w:divBdr>
    </w:div>
    <w:div w:id="1286348907">
      <w:bodyDiv w:val="1"/>
      <w:marLeft w:val="0"/>
      <w:marRight w:val="0"/>
      <w:marTop w:val="0"/>
      <w:marBottom w:val="0"/>
      <w:divBdr>
        <w:top w:val="none" w:sz="0" w:space="0" w:color="auto"/>
        <w:left w:val="none" w:sz="0" w:space="0" w:color="auto"/>
        <w:bottom w:val="none" w:sz="0" w:space="0" w:color="auto"/>
        <w:right w:val="none" w:sz="0" w:space="0" w:color="auto"/>
      </w:divBdr>
    </w:div>
    <w:div w:id="1293709508">
      <w:bodyDiv w:val="1"/>
      <w:marLeft w:val="0"/>
      <w:marRight w:val="0"/>
      <w:marTop w:val="0"/>
      <w:marBottom w:val="0"/>
      <w:divBdr>
        <w:top w:val="none" w:sz="0" w:space="0" w:color="auto"/>
        <w:left w:val="none" w:sz="0" w:space="0" w:color="auto"/>
        <w:bottom w:val="none" w:sz="0" w:space="0" w:color="auto"/>
        <w:right w:val="none" w:sz="0" w:space="0" w:color="auto"/>
      </w:divBdr>
    </w:div>
    <w:div w:id="1297180284">
      <w:bodyDiv w:val="1"/>
      <w:marLeft w:val="0"/>
      <w:marRight w:val="0"/>
      <w:marTop w:val="0"/>
      <w:marBottom w:val="0"/>
      <w:divBdr>
        <w:top w:val="none" w:sz="0" w:space="0" w:color="auto"/>
        <w:left w:val="none" w:sz="0" w:space="0" w:color="auto"/>
        <w:bottom w:val="none" w:sz="0" w:space="0" w:color="auto"/>
        <w:right w:val="none" w:sz="0" w:space="0" w:color="auto"/>
      </w:divBdr>
    </w:div>
    <w:div w:id="1307004869">
      <w:bodyDiv w:val="1"/>
      <w:marLeft w:val="0"/>
      <w:marRight w:val="0"/>
      <w:marTop w:val="0"/>
      <w:marBottom w:val="0"/>
      <w:divBdr>
        <w:top w:val="none" w:sz="0" w:space="0" w:color="auto"/>
        <w:left w:val="none" w:sz="0" w:space="0" w:color="auto"/>
        <w:bottom w:val="none" w:sz="0" w:space="0" w:color="auto"/>
        <w:right w:val="none" w:sz="0" w:space="0" w:color="auto"/>
      </w:divBdr>
    </w:div>
    <w:div w:id="1309016230">
      <w:bodyDiv w:val="1"/>
      <w:marLeft w:val="0"/>
      <w:marRight w:val="0"/>
      <w:marTop w:val="0"/>
      <w:marBottom w:val="0"/>
      <w:divBdr>
        <w:top w:val="none" w:sz="0" w:space="0" w:color="auto"/>
        <w:left w:val="none" w:sz="0" w:space="0" w:color="auto"/>
        <w:bottom w:val="none" w:sz="0" w:space="0" w:color="auto"/>
        <w:right w:val="none" w:sz="0" w:space="0" w:color="auto"/>
      </w:divBdr>
    </w:div>
    <w:div w:id="1316957899">
      <w:bodyDiv w:val="1"/>
      <w:marLeft w:val="0"/>
      <w:marRight w:val="0"/>
      <w:marTop w:val="0"/>
      <w:marBottom w:val="0"/>
      <w:divBdr>
        <w:top w:val="none" w:sz="0" w:space="0" w:color="auto"/>
        <w:left w:val="none" w:sz="0" w:space="0" w:color="auto"/>
        <w:bottom w:val="none" w:sz="0" w:space="0" w:color="auto"/>
        <w:right w:val="none" w:sz="0" w:space="0" w:color="auto"/>
      </w:divBdr>
    </w:div>
    <w:div w:id="1317344216">
      <w:bodyDiv w:val="1"/>
      <w:marLeft w:val="0"/>
      <w:marRight w:val="0"/>
      <w:marTop w:val="0"/>
      <w:marBottom w:val="0"/>
      <w:divBdr>
        <w:top w:val="none" w:sz="0" w:space="0" w:color="auto"/>
        <w:left w:val="none" w:sz="0" w:space="0" w:color="auto"/>
        <w:bottom w:val="none" w:sz="0" w:space="0" w:color="auto"/>
        <w:right w:val="none" w:sz="0" w:space="0" w:color="auto"/>
      </w:divBdr>
    </w:div>
    <w:div w:id="1320495944">
      <w:bodyDiv w:val="1"/>
      <w:marLeft w:val="0"/>
      <w:marRight w:val="0"/>
      <w:marTop w:val="0"/>
      <w:marBottom w:val="0"/>
      <w:divBdr>
        <w:top w:val="none" w:sz="0" w:space="0" w:color="auto"/>
        <w:left w:val="none" w:sz="0" w:space="0" w:color="auto"/>
        <w:bottom w:val="none" w:sz="0" w:space="0" w:color="auto"/>
        <w:right w:val="none" w:sz="0" w:space="0" w:color="auto"/>
      </w:divBdr>
    </w:div>
    <w:div w:id="1329019286">
      <w:bodyDiv w:val="1"/>
      <w:marLeft w:val="0"/>
      <w:marRight w:val="0"/>
      <w:marTop w:val="0"/>
      <w:marBottom w:val="0"/>
      <w:divBdr>
        <w:top w:val="none" w:sz="0" w:space="0" w:color="auto"/>
        <w:left w:val="none" w:sz="0" w:space="0" w:color="auto"/>
        <w:bottom w:val="none" w:sz="0" w:space="0" w:color="auto"/>
        <w:right w:val="none" w:sz="0" w:space="0" w:color="auto"/>
      </w:divBdr>
    </w:div>
    <w:div w:id="1330328524">
      <w:bodyDiv w:val="1"/>
      <w:marLeft w:val="0"/>
      <w:marRight w:val="0"/>
      <w:marTop w:val="0"/>
      <w:marBottom w:val="0"/>
      <w:divBdr>
        <w:top w:val="none" w:sz="0" w:space="0" w:color="auto"/>
        <w:left w:val="none" w:sz="0" w:space="0" w:color="auto"/>
        <w:bottom w:val="none" w:sz="0" w:space="0" w:color="auto"/>
        <w:right w:val="none" w:sz="0" w:space="0" w:color="auto"/>
      </w:divBdr>
    </w:div>
    <w:div w:id="1362509397">
      <w:bodyDiv w:val="1"/>
      <w:marLeft w:val="0"/>
      <w:marRight w:val="0"/>
      <w:marTop w:val="0"/>
      <w:marBottom w:val="0"/>
      <w:divBdr>
        <w:top w:val="none" w:sz="0" w:space="0" w:color="auto"/>
        <w:left w:val="none" w:sz="0" w:space="0" w:color="auto"/>
        <w:bottom w:val="none" w:sz="0" w:space="0" w:color="auto"/>
        <w:right w:val="none" w:sz="0" w:space="0" w:color="auto"/>
      </w:divBdr>
    </w:div>
    <w:div w:id="1374306358">
      <w:bodyDiv w:val="1"/>
      <w:marLeft w:val="0"/>
      <w:marRight w:val="0"/>
      <w:marTop w:val="0"/>
      <w:marBottom w:val="0"/>
      <w:divBdr>
        <w:top w:val="none" w:sz="0" w:space="0" w:color="auto"/>
        <w:left w:val="none" w:sz="0" w:space="0" w:color="auto"/>
        <w:bottom w:val="none" w:sz="0" w:space="0" w:color="auto"/>
        <w:right w:val="none" w:sz="0" w:space="0" w:color="auto"/>
      </w:divBdr>
    </w:div>
    <w:div w:id="1381662459">
      <w:bodyDiv w:val="1"/>
      <w:marLeft w:val="0"/>
      <w:marRight w:val="0"/>
      <w:marTop w:val="0"/>
      <w:marBottom w:val="0"/>
      <w:divBdr>
        <w:top w:val="none" w:sz="0" w:space="0" w:color="auto"/>
        <w:left w:val="none" w:sz="0" w:space="0" w:color="auto"/>
        <w:bottom w:val="none" w:sz="0" w:space="0" w:color="auto"/>
        <w:right w:val="none" w:sz="0" w:space="0" w:color="auto"/>
      </w:divBdr>
    </w:div>
    <w:div w:id="1384450360">
      <w:bodyDiv w:val="1"/>
      <w:marLeft w:val="0"/>
      <w:marRight w:val="0"/>
      <w:marTop w:val="0"/>
      <w:marBottom w:val="0"/>
      <w:divBdr>
        <w:top w:val="none" w:sz="0" w:space="0" w:color="auto"/>
        <w:left w:val="none" w:sz="0" w:space="0" w:color="auto"/>
        <w:bottom w:val="none" w:sz="0" w:space="0" w:color="auto"/>
        <w:right w:val="none" w:sz="0" w:space="0" w:color="auto"/>
      </w:divBdr>
    </w:div>
    <w:div w:id="1392462693">
      <w:bodyDiv w:val="1"/>
      <w:marLeft w:val="0"/>
      <w:marRight w:val="0"/>
      <w:marTop w:val="0"/>
      <w:marBottom w:val="0"/>
      <w:divBdr>
        <w:top w:val="none" w:sz="0" w:space="0" w:color="auto"/>
        <w:left w:val="none" w:sz="0" w:space="0" w:color="auto"/>
        <w:bottom w:val="none" w:sz="0" w:space="0" w:color="auto"/>
        <w:right w:val="none" w:sz="0" w:space="0" w:color="auto"/>
      </w:divBdr>
    </w:div>
    <w:div w:id="1394238243">
      <w:bodyDiv w:val="1"/>
      <w:marLeft w:val="0"/>
      <w:marRight w:val="0"/>
      <w:marTop w:val="0"/>
      <w:marBottom w:val="0"/>
      <w:divBdr>
        <w:top w:val="none" w:sz="0" w:space="0" w:color="auto"/>
        <w:left w:val="none" w:sz="0" w:space="0" w:color="auto"/>
        <w:bottom w:val="none" w:sz="0" w:space="0" w:color="auto"/>
        <w:right w:val="none" w:sz="0" w:space="0" w:color="auto"/>
      </w:divBdr>
    </w:div>
    <w:div w:id="1395396049">
      <w:bodyDiv w:val="1"/>
      <w:marLeft w:val="0"/>
      <w:marRight w:val="0"/>
      <w:marTop w:val="0"/>
      <w:marBottom w:val="0"/>
      <w:divBdr>
        <w:top w:val="none" w:sz="0" w:space="0" w:color="auto"/>
        <w:left w:val="none" w:sz="0" w:space="0" w:color="auto"/>
        <w:bottom w:val="none" w:sz="0" w:space="0" w:color="auto"/>
        <w:right w:val="none" w:sz="0" w:space="0" w:color="auto"/>
      </w:divBdr>
    </w:div>
    <w:div w:id="1400708742">
      <w:bodyDiv w:val="1"/>
      <w:marLeft w:val="0"/>
      <w:marRight w:val="0"/>
      <w:marTop w:val="0"/>
      <w:marBottom w:val="0"/>
      <w:divBdr>
        <w:top w:val="none" w:sz="0" w:space="0" w:color="auto"/>
        <w:left w:val="none" w:sz="0" w:space="0" w:color="auto"/>
        <w:bottom w:val="none" w:sz="0" w:space="0" w:color="auto"/>
        <w:right w:val="none" w:sz="0" w:space="0" w:color="auto"/>
      </w:divBdr>
    </w:div>
    <w:div w:id="1401096169">
      <w:bodyDiv w:val="1"/>
      <w:marLeft w:val="0"/>
      <w:marRight w:val="0"/>
      <w:marTop w:val="0"/>
      <w:marBottom w:val="0"/>
      <w:divBdr>
        <w:top w:val="none" w:sz="0" w:space="0" w:color="auto"/>
        <w:left w:val="none" w:sz="0" w:space="0" w:color="auto"/>
        <w:bottom w:val="none" w:sz="0" w:space="0" w:color="auto"/>
        <w:right w:val="none" w:sz="0" w:space="0" w:color="auto"/>
      </w:divBdr>
    </w:div>
    <w:div w:id="1403017977">
      <w:bodyDiv w:val="1"/>
      <w:marLeft w:val="0"/>
      <w:marRight w:val="0"/>
      <w:marTop w:val="0"/>
      <w:marBottom w:val="0"/>
      <w:divBdr>
        <w:top w:val="none" w:sz="0" w:space="0" w:color="auto"/>
        <w:left w:val="none" w:sz="0" w:space="0" w:color="auto"/>
        <w:bottom w:val="none" w:sz="0" w:space="0" w:color="auto"/>
        <w:right w:val="none" w:sz="0" w:space="0" w:color="auto"/>
      </w:divBdr>
    </w:div>
    <w:div w:id="1407611971">
      <w:bodyDiv w:val="1"/>
      <w:marLeft w:val="0"/>
      <w:marRight w:val="0"/>
      <w:marTop w:val="0"/>
      <w:marBottom w:val="0"/>
      <w:divBdr>
        <w:top w:val="none" w:sz="0" w:space="0" w:color="auto"/>
        <w:left w:val="none" w:sz="0" w:space="0" w:color="auto"/>
        <w:bottom w:val="none" w:sz="0" w:space="0" w:color="auto"/>
        <w:right w:val="none" w:sz="0" w:space="0" w:color="auto"/>
      </w:divBdr>
    </w:div>
    <w:div w:id="1411462351">
      <w:bodyDiv w:val="1"/>
      <w:marLeft w:val="0"/>
      <w:marRight w:val="0"/>
      <w:marTop w:val="0"/>
      <w:marBottom w:val="0"/>
      <w:divBdr>
        <w:top w:val="none" w:sz="0" w:space="0" w:color="auto"/>
        <w:left w:val="none" w:sz="0" w:space="0" w:color="auto"/>
        <w:bottom w:val="none" w:sz="0" w:space="0" w:color="auto"/>
        <w:right w:val="none" w:sz="0" w:space="0" w:color="auto"/>
      </w:divBdr>
    </w:div>
    <w:div w:id="1422945992">
      <w:bodyDiv w:val="1"/>
      <w:marLeft w:val="0"/>
      <w:marRight w:val="0"/>
      <w:marTop w:val="0"/>
      <w:marBottom w:val="0"/>
      <w:divBdr>
        <w:top w:val="none" w:sz="0" w:space="0" w:color="auto"/>
        <w:left w:val="none" w:sz="0" w:space="0" w:color="auto"/>
        <w:bottom w:val="none" w:sz="0" w:space="0" w:color="auto"/>
        <w:right w:val="none" w:sz="0" w:space="0" w:color="auto"/>
      </w:divBdr>
    </w:div>
    <w:div w:id="1434283958">
      <w:bodyDiv w:val="1"/>
      <w:marLeft w:val="0"/>
      <w:marRight w:val="0"/>
      <w:marTop w:val="0"/>
      <w:marBottom w:val="0"/>
      <w:divBdr>
        <w:top w:val="none" w:sz="0" w:space="0" w:color="auto"/>
        <w:left w:val="none" w:sz="0" w:space="0" w:color="auto"/>
        <w:bottom w:val="none" w:sz="0" w:space="0" w:color="auto"/>
        <w:right w:val="none" w:sz="0" w:space="0" w:color="auto"/>
      </w:divBdr>
    </w:div>
    <w:div w:id="1436092479">
      <w:bodyDiv w:val="1"/>
      <w:marLeft w:val="0"/>
      <w:marRight w:val="0"/>
      <w:marTop w:val="0"/>
      <w:marBottom w:val="0"/>
      <w:divBdr>
        <w:top w:val="none" w:sz="0" w:space="0" w:color="auto"/>
        <w:left w:val="none" w:sz="0" w:space="0" w:color="auto"/>
        <w:bottom w:val="none" w:sz="0" w:space="0" w:color="auto"/>
        <w:right w:val="none" w:sz="0" w:space="0" w:color="auto"/>
      </w:divBdr>
    </w:div>
    <w:div w:id="1446004496">
      <w:bodyDiv w:val="1"/>
      <w:marLeft w:val="0"/>
      <w:marRight w:val="0"/>
      <w:marTop w:val="0"/>
      <w:marBottom w:val="0"/>
      <w:divBdr>
        <w:top w:val="none" w:sz="0" w:space="0" w:color="auto"/>
        <w:left w:val="none" w:sz="0" w:space="0" w:color="auto"/>
        <w:bottom w:val="none" w:sz="0" w:space="0" w:color="auto"/>
        <w:right w:val="none" w:sz="0" w:space="0" w:color="auto"/>
      </w:divBdr>
    </w:div>
    <w:div w:id="1452432496">
      <w:bodyDiv w:val="1"/>
      <w:marLeft w:val="0"/>
      <w:marRight w:val="0"/>
      <w:marTop w:val="0"/>
      <w:marBottom w:val="0"/>
      <w:divBdr>
        <w:top w:val="none" w:sz="0" w:space="0" w:color="auto"/>
        <w:left w:val="none" w:sz="0" w:space="0" w:color="auto"/>
        <w:bottom w:val="none" w:sz="0" w:space="0" w:color="auto"/>
        <w:right w:val="none" w:sz="0" w:space="0" w:color="auto"/>
      </w:divBdr>
    </w:div>
    <w:div w:id="1495871583">
      <w:bodyDiv w:val="1"/>
      <w:marLeft w:val="0"/>
      <w:marRight w:val="0"/>
      <w:marTop w:val="0"/>
      <w:marBottom w:val="0"/>
      <w:divBdr>
        <w:top w:val="none" w:sz="0" w:space="0" w:color="auto"/>
        <w:left w:val="none" w:sz="0" w:space="0" w:color="auto"/>
        <w:bottom w:val="none" w:sz="0" w:space="0" w:color="auto"/>
        <w:right w:val="none" w:sz="0" w:space="0" w:color="auto"/>
      </w:divBdr>
    </w:div>
    <w:div w:id="1502431497">
      <w:bodyDiv w:val="1"/>
      <w:marLeft w:val="0"/>
      <w:marRight w:val="0"/>
      <w:marTop w:val="0"/>
      <w:marBottom w:val="0"/>
      <w:divBdr>
        <w:top w:val="none" w:sz="0" w:space="0" w:color="auto"/>
        <w:left w:val="none" w:sz="0" w:space="0" w:color="auto"/>
        <w:bottom w:val="none" w:sz="0" w:space="0" w:color="auto"/>
        <w:right w:val="none" w:sz="0" w:space="0" w:color="auto"/>
      </w:divBdr>
    </w:div>
    <w:div w:id="1527527232">
      <w:bodyDiv w:val="1"/>
      <w:marLeft w:val="0"/>
      <w:marRight w:val="0"/>
      <w:marTop w:val="0"/>
      <w:marBottom w:val="0"/>
      <w:divBdr>
        <w:top w:val="none" w:sz="0" w:space="0" w:color="auto"/>
        <w:left w:val="none" w:sz="0" w:space="0" w:color="auto"/>
        <w:bottom w:val="none" w:sz="0" w:space="0" w:color="auto"/>
        <w:right w:val="none" w:sz="0" w:space="0" w:color="auto"/>
      </w:divBdr>
    </w:div>
    <w:div w:id="1539657234">
      <w:bodyDiv w:val="1"/>
      <w:marLeft w:val="0"/>
      <w:marRight w:val="0"/>
      <w:marTop w:val="0"/>
      <w:marBottom w:val="0"/>
      <w:divBdr>
        <w:top w:val="none" w:sz="0" w:space="0" w:color="auto"/>
        <w:left w:val="none" w:sz="0" w:space="0" w:color="auto"/>
        <w:bottom w:val="none" w:sz="0" w:space="0" w:color="auto"/>
        <w:right w:val="none" w:sz="0" w:space="0" w:color="auto"/>
      </w:divBdr>
    </w:div>
    <w:div w:id="1543446171">
      <w:bodyDiv w:val="1"/>
      <w:marLeft w:val="0"/>
      <w:marRight w:val="0"/>
      <w:marTop w:val="0"/>
      <w:marBottom w:val="0"/>
      <w:divBdr>
        <w:top w:val="none" w:sz="0" w:space="0" w:color="auto"/>
        <w:left w:val="none" w:sz="0" w:space="0" w:color="auto"/>
        <w:bottom w:val="none" w:sz="0" w:space="0" w:color="auto"/>
        <w:right w:val="none" w:sz="0" w:space="0" w:color="auto"/>
      </w:divBdr>
    </w:div>
    <w:div w:id="1549299004">
      <w:bodyDiv w:val="1"/>
      <w:marLeft w:val="0"/>
      <w:marRight w:val="0"/>
      <w:marTop w:val="0"/>
      <w:marBottom w:val="0"/>
      <w:divBdr>
        <w:top w:val="none" w:sz="0" w:space="0" w:color="auto"/>
        <w:left w:val="none" w:sz="0" w:space="0" w:color="auto"/>
        <w:bottom w:val="none" w:sz="0" w:space="0" w:color="auto"/>
        <w:right w:val="none" w:sz="0" w:space="0" w:color="auto"/>
      </w:divBdr>
    </w:div>
    <w:div w:id="1553228922">
      <w:bodyDiv w:val="1"/>
      <w:marLeft w:val="0"/>
      <w:marRight w:val="0"/>
      <w:marTop w:val="0"/>
      <w:marBottom w:val="0"/>
      <w:divBdr>
        <w:top w:val="none" w:sz="0" w:space="0" w:color="auto"/>
        <w:left w:val="none" w:sz="0" w:space="0" w:color="auto"/>
        <w:bottom w:val="none" w:sz="0" w:space="0" w:color="auto"/>
        <w:right w:val="none" w:sz="0" w:space="0" w:color="auto"/>
      </w:divBdr>
    </w:div>
    <w:div w:id="1557399339">
      <w:bodyDiv w:val="1"/>
      <w:marLeft w:val="0"/>
      <w:marRight w:val="0"/>
      <w:marTop w:val="0"/>
      <w:marBottom w:val="0"/>
      <w:divBdr>
        <w:top w:val="none" w:sz="0" w:space="0" w:color="auto"/>
        <w:left w:val="none" w:sz="0" w:space="0" w:color="auto"/>
        <w:bottom w:val="none" w:sz="0" w:space="0" w:color="auto"/>
        <w:right w:val="none" w:sz="0" w:space="0" w:color="auto"/>
      </w:divBdr>
    </w:div>
    <w:div w:id="1567758189">
      <w:bodyDiv w:val="1"/>
      <w:marLeft w:val="0"/>
      <w:marRight w:val="0"/>
      <w:marTop w:val="0"/>
      <w:marBottom w:val="0"/>
      <w:divBdr>
        <w:top w:val="none" w:sz="0" w:space="0" w:color="auto"/>
        <w:left w:val="none" w:sz="0" w:space="0" w:color="auto"/>
        <w:bottom w:val="none" w:sz="0" w:space="0" w:color="auto"/>
        <w:right w:val="none" w:sz="0" w:space="0" w:color="auto"/>
      </w:divBdr>
    </w:div>
    <w:div w:id="1572427629">
      <w:bodyDiv w:val="1"/>
      <w:marLeft w:val="0"/>
      <w:marRight w:val="0"/>
      <w:marTop w:val="0"/>
      <w:marBottom w:val="0"/>
      <w:divBdr>
        <w:top w:val="none" w:sz="0" w:space="0" w:color="auto"/>
        <w:left w:val="none" w:sz="0" w:space="0" w:color="auto"/>
        <w:bottom w:val="none" w:sz="0" w:space="0" w:color="auto"/>
        <w:right w:val="none" w:sz="0" w:space="0" w:color="auto"/>
      </w:divBdr>
    </w:div>
    <w:div w:id="1575895555">
      <w:bodyDiv w:val="1"/>
      <w:marLeft w:val="0"/>
      <w:marRight w:val="0"/>
      <w:marTop w:val="0"/>
      <w:marBottom w:val="0"/>
      <w:divBdr>
        <w:top w:val="none" w:sz="0" w:space="0" w:color="auto"/>
        <w:left w:val="none" w:sz="0" w:space="0" w:color="auto"/>
        <w:bottom w:val="none" w:sz="0" w:space="0" w:color="auto"/>
        <w:right w:val="none" w:sz="0" w:space="0" w:color="auto"/>
      </w:divBdr>
    </w:div>
    <w:div w:id="1599175674">
      <w:bodyDiv w:val="1"/>
      <w:marLeft w:val="0"/>
      <w:marRight w:val="0"/>
      <w:marTop w:val="0"/>
      <w:marBottom w:val="0"/>
      <w:divBdr>
        <w:top w:val="none" w:sz="0" w:space="0" w:color="auto"/>
        <w:left w:val="none" w:sz="0" w:space="0" w:color="auto"/>
        <w:bottom w:val="none" w:sz="0" w:space="0" w:color="auto"/>
        <w:right w:val="none" w:sz="0" w:space="0" w:color="auto"/>
      </w:divBdr>
    </w:div>
    <w:div w:id="1599829485">
      <w:bodyDiv w:val="1"/>
      <w:marLeft w:val="0"/>
      <w:marRight w:val="0"/>
      <w:marTop w:val="0"/>
      <w:marBottom w:val="0"/>
      <w:divBdr>
        <w:top w:val="none" w:sz="0" w:space="0" w:color="auto"/>
        <w:left w:val="none" w:sz="0" w:space="0" w:color="auto"/>
        <w:bottom w:val="none" w:sz="0" w:space="0" w:color="auto"/>
        <w:right w:val="none" w:sz="0" w:space="0" w:color="auto"/>
      </w:divBdr>
    </w:div>
    <w:div w:id="1601064922">
      <w:bodyDiv w:val="1"/>
      <w:marLeft w:val="0"/>
      <w:marRight w:val="0"/>
      <w:marTop w:val="0"/>
      <w:marBottom w:val="0"/>
      <w:divBdr>
        <w:top w:val="none" w:sz="0" w:space="0" w:color="auto"/>
        <w:left w:val="none" w:sz="0" w:space="0" w:color="auto"/>
        <w:bottom w:val="none" w:sz="0" w:space="0" w:color="auto"/>
        <w:right w:val="none" w:sz="0" w:space="0" w:color="auto"/>
      </w:divBdr>
    </w:div>
    <w:div w:id="1602840041">
      <w:bodyDiv w:val="1"/>
      <w:marLeft w:val="0"/>
      <w:marRight w:val="0"/>
      <w:marTop w:val="0"/>
      <w:marBottom w:val="0"/>
      <w:divBdr>
        <w:top w:val="none" w:sz="0" w:space="0" w:color="auto"/>
        <w:left w:val="none" w:sz="0" w:space="0" w:color="auto"/>
        <w:bottom w:val="none" w:sz="0" w:space="0" w:color="auto"/>
        <w:right w:val="none" w:sz="0" w:space="0" w:color="auto"/>
      </w:divBdr>
    </w:div>
    <w:div w:id="1627927843">
      <w:bodyDiv w:val="1"/>
      <w:marLeft w:val="0"/>
      <w:marRight w:val="0"/>
      <w:marTop w:val="0"/>
      <w:marBottom w:val="0"/>
      <w:divBdr>
        <w:top w:val="none" w:sz="0" w:space="0" w:color="auto"/>
        <w:left w:val="none" w:sz="0" w:space="0" w:color="auto"/>
        <w:bottom w:val="none" w:sz="0" w:space="0" w:color="auto"/>
        <w:right w:val="none" w:sz="0" w:space="0" w:color="auto"/>
      </w:divBdr>
    </w:div>
    <w:div w:id="1631201741">
      <w:bodyDiv w:val="1"/>
      <w:marLeft w:val="0"/>
      <w:marRight w:val="0"/>
      <w:marTop w:val="0"/>
      <w:marBottom w:val="0"/>
      <w:divBdr>
        <w:top w:val="none" w:sz="0" w:space="0" w:color="auto"/>
        <w:left w:val="none" w:sz="0" w:space="0" w:color="auto"/>
        <w:bottom w:val="none" w:sz="0" w:space="0" w:color="auto"/>
        <w:right w:val="none" w:sz="0" w:space="0" w:color="auto"/>
      </w:divBdr>
    </w:div>
    <w:div w:id="1646543755">
      <w:bodyDiv w:val="1"/>
      <w:marLeft w:val="0"/>
      <w:marRight w:val="0"/>
      <w:marTop w:val="0"/>
      <w:marBottom w:val="0"/>
      <w:divBdr>
        <w:top w:val="none" w:sz="0" w:space="0" w:color="auto"/>
        <w:left w:val="none" w:sz="0" w:space="0" w:color="auto"/>
        <w:bottom w:val="none" w:sz="0" w:space="0" w:color="auto"/>
        <w:right w:val="none" w:sz="0" w:space="0" w:color="auto"/>
      </w:divBdr>
    </w:div>
    <w:div w:id="1670986197">
      <w:bodyDiv w:val="1"/>
      <w:marLeft w:val="0"/>
      <w:marRight w:val="0"/>
      <w:marTop w:val="0"/>
      <w:marBottom w:val="0"/>
      <w:divBdr>
        <w:top w:val="none" w:sz="0" w:space="0" w:color="auto"/>
        <w:left w:val="none" w:sz="0" w:space="0" w:color="auto"/>
        <w:bottom w:val="none" w:sz="0" w:space="0" w:color="auto"/>
        <w:right w:val="none" w:sz="0" w:space="0" w:color="auto"/>
      </w:divBdr>
    </w:div>
    <w:div w:id="1673683966">
      <w:bodyDiv w:val="1"/>
      <w:marLeft w:val="0"/>
      <w:marRight w:val="0"/>
      <w:marTop w:val="0"/>
      <w:marBottom w:val="0"/>
      <w:divBdr>
        <w:top w:val="none" w:sz="0" w:space="0" w:color="auto"/>
        <w:left w:val="none" w:sz="0" w:space="0" w:color="auto"/>
        <w:bottom w:val="none" w:sz="0" w:space="0" w:color="auto"/>
        <w:right w:val="none" w:sz="0" w:space="0" w:color="auto"/>
      </w:divBdr>
    </w:div>
    <w:div w:id="1692680324">
      <w:bodyDiv w:val="1"/>
      <w:marLeft w:val="0"/>
      <w:marRight w:val="0"/>
      <w:marTop w:val="0"/>
      <w:marBottom w:val="0"/>
      <w:divBdr>
        <w:top w:val="none" w:sz="0" w:space="0" w:color="auto"/>
        <w:left w:val="none" w:sz="0" w:space="0" w:color="auto"/>
        <w:bottom w:val="none" w:sz="0" w:space="0" w:color="auto"/>
        <w:right w:val="none" w:sz="0" w:space="0" w:color="auto"/>
      </w:divBdr>
    </w:div>
    <w:div w:id="1697265374">
      <w:bodyDiv w:val="1"/>
      <w:marLeft w:val="0"/>
      <w:marRight w:val="0"/>
      <w:marTop w:val="0"/>
      <w:marBottom w:val="0"/>
      <w:divBdr>
        <w:top w:val="none" w:sz="0" w:space="0" w:color="auto"/>
        <w:left w:val="none" w:sz="0" w:space="0" w:color="auto"/>
        <w:bottom w:val="none" w:sz="0" w:space="0" w:color="auto"/>
        <w:right w:val="none" w:sz="0" w:space="0" w:color="auto"/>
      </w:divBdr>
    </w:div>
    <w:div w:id="1702048249">
      <w:bodyDiv w:val="1"/>
      <w:marLeft w:val="0"/>
      <w:marRight w:val="0"/>
      <w:marTop w:val="0"/>
      <w:marBottom w:val="0"/>
      <w:divBdr>
        <w:top w:val="none" w:sz="0" w:space="0" w:color="auto"/>
        <w:left w:val="none" w:sz="0" w:space="0" w:color="auto"/>
        <w:bottom w:val="none" w:sz="0" w:space="0" w:color="auto"/>
        <w:right w:val="none" w:sz="0" w:space="0" w:color="auto"/>
      </w:divBdr>
    </w:div>
    <w:div w:id="1707875182">
      <w:bodyDiv w:val="1"/>
      <w:marLeft w:val="0"/>
      <w:marRight w:val="0"/>
      <w:marTop w:val="0"/>
      <w:marBottom w:val="0"/>
      <w:divBdr>
        <w:top w:val="none" w:sz="0" w:space="0" w:color="auto"/>
        <w:left w:val="none" w:sz="0" w:space="0" w:color="auto"/>
        <w:bottom w:val="none" w:sz="0" w:space="0" w:color="auto"/>
        <w:right w:val="none" w:sz="0" w:space="0" w:color="auto"/>
      </w:divBdr>
    </w:div>
    <w:div w:id="1736926059">
      <w:bodyDiv w:val="1"/>
      <w:marLeft w:val="0"/>
      <w:marRight w:val="0"/>
      <w:marTop w:val="0"/>
      <w:marBottom w:val="0"/>
      <w:divBdr>
        <w:top w:val="none" w:sz="0" w:space="0" w:color="auto"/>
        <w:left w:val="none" w:sz="0" w:space="0" w:color="auto"/>
        <w:bottom w:val="none" w:sz="0" w:space="0" w:color="auto"/>
        <w:right w:val="none" w:sz="0" w:space="0" w:color="auto"/>
      </w:divBdr>
    </w:div>
    <w:div w:id="1738355976">
      <w:bodyDiv w:val="1"/>
      <w:marLeft w:val="0"/>
      <w:marRight w:val="0"/>
      <w:marTop w:val="0"/>
      <w:marBottom w:val="0"/>
      <w:divBdr>
        <w:top w:val="none" w:sz="0" w:space="0" w:color="auto"/>
        <w:left w:val="none" w:sz="0" w:space="0" w:color="auto"/>
        <w:bottom w:val="none" w:sz="0" w:space="0" w:color="auto"/>
        <w:right w:val="none" w:sz="0" w:space="0" w:color="auto"/>
      </w:divBdr>
    </w:div>
    <w:div w:id="1756855200">
      <w:bodyDiv w:val="1"/>
      <w:marLeft w:val="0"/>
      <w:marRight w:val="0"/>
      <w:marTop w:val="0"/>
      <w:marBottom w:val="0"/>
      <w:divBdr>
        <w:top w:val="none" w:sz="0" w:space="0" w:color="auto"/>
        <w:left w:val="none" w:sz="0" w:space="0" w:color="auto"/>
        <w:bottom w:val="none" w:sz="0" w:space="0" w:color="auto"/>
        <w:right w:val="none" w:sz="0" w:space="0" w:color="auto"/>
      </w:divBdr>
    </w:div>
    <w:div w:id="1759251118">
      <w:bodyDiv w:val="1"/>
      <w:marLeft w:val="0"/>
      <w:marRight w:val="0"/>
      <w:marTop w:val="0"/>
      <w:marBottom w:val="0"/>
      <w:divBdr>
        <w:top w:val="none" w:sz="0" w:space="0" w:color="auto"/>
        <w:left w:val="none" w:sz="0" w:space="0" w:color="auto"/>
        <w:bottom w:val="none" w:sz="0" w:space="0" w:color="auto"/>
        <w:right w:val="none" w:sz="0" w:space="0" w:color="auto"/>
      </w:divBdr>
    </w:div>
    <w:div w:id="1785075268">
      <w:bodyDiv w:val="1"/>
      <w:marLeft w:val="0"/>
      <w:marRight w:val="0"/>
      <w:marTop w:val="0"/>
      <w:marBottom w:val="0"/>
      <w:divBdr>
        <w:top w:val="none" w:sz="0" w:space="0" w:color="auto"/>
        <w:left w:val="none" w:sz="0" w:space="0" w:color="auto"/>
        <w:bottom w:val="none" w:sz="0" w:space="0" w:color="auto"/>
        <w:right w:val="none" w:sz="0" w:space="0" w:color="auto"/>
      </w:divBdr>
    </w:div>
    <w:div w:id="1785490863">
      <w:bodyDiv w:val="1"/>
      <w:marLeft w:val="0"/>
      <w:marRight w:val="0"/>
      <w:marTop w:val="0"/>
      <w:marBottom w:val="0"/>
      <w:divBdr>
        <w:top w:val="none" w:sz="0" w:space="0" w:color="auto"/>
        <w:left w:val="none" w:sz="0" w:space="0" w:color="auto"/>
        <w:bottom w:val="none" w:sz="0" w:space="0" w:color="auto"/>
        <w:right w:val="none" w:sz="0" w:space="0" w:color="auto"/>
      </w:divBdr>
    </w:div>
    <w:div w:id="1787191172">
      <w:bodyDiv w:val="1"/>
      <w:marLeft w:val="0"/>
      <w:marRight w:val="0"/>
      <w:marTop w:val="0"/>
      <w:marBottom w:val="0"/>
      <w:divBdr>
        <w:top w:val="none" w:sz="0" w:space="0" w:color="auto"/>
        <w:left w:val="none" w:sz="0" w:space="0" w:color="auto"/>
        <w:bottom w:val="none" w:sz="0" w:space="0" w:color="auto"/>
        <w:right w:val="none" w:sz="0" w:space="0" w:color="auto"/>
      </w:divBdr>
    </w:div>
    <w:div w:id="1791121302">
      <w:bodyDiv w:val="1"/>
      <w:marLeft w:val="0"/>
      <w:marRight w:val="0"/>
      <w:marTop w:val="0"/>
      <w:marBottom w:val="0"/>
      <w:divBdr>
        <w:top w:val="none" w:sz="0" w:space="0" w:color="auto"/>
        <w:left w:val="none" w:sz="0" w:space="0" w:color="auto"/>
        <w:bottom w:val="none" w:sz="0" w:space="0" w:color="auto"/>
        <w:right w:val="none" w:sz="0" w:space="0" w:color="auto"/>
      </w:divBdr>
    </w:div>
    <w:div w:id="1791244413">
      <w:bodyDiv w:val="1"/>
      <w:marLeft w:val="0"/>
      <w:marRight w:val="0"/>
      <w:marTop w:val="0"/>
      <w:marBottom w:val="0"/>
      <w:divBdr>
        <w:top w:val="none" w:sz="0" w:space="0" w:color="auto"/>
        <w:left w:val="none" w:sz="0" w:space="0" w:color="auto"/>
        <w:bottom w:val="none" w:sz="0" w:space="0" w:color="auto"/>
        <w:right w:val="none" w:sz="0" w:space="0" w:color="auto"/>
      </w:divBdr>
    </w:div>
    <w:div w:id="1796094214">
      <w:bodyDiv w:val="1"/>
      <w:marLeft w:val="0"/>
      <w:marRight w:val="0"/>
      <w:marTop w:val="0"/>
      <w:marBottom w:val="0"/>
      <w:divBdr>
        <w:top w:val="none" w:sz="0" w:space="0" w:color="auto"/>
        <w:left w:val="none" w:sz="0" w:space="0" w:color="auto"/>
        <w:bottom w:val="none" w:sz="0" w:space="0" w:color="auto"/>
        <w:right w:val="none" w:sz="0" w:space="0" w:color="auto"/>
      </w:divBdr>
    </w:div>
    <w:div w:id="1805661215">
      <w:bodyDiv w:val="1"/>
      <w:marLeft w:val="0"/>
      <w:marRight w:val="0"/>
      <w:marTop w:val="0"/>
      <w:marBottom w:val="0"/>
      <w:divBdr>
        <w:top w:val="none" w:sz="0" w:space="0" w:color="auto"/>
        <w:left w:val="none" w:sz="0" w:space="0" w:color="auto"/>
        <w:bottom w:val="none" w:sz="0" w:space="0" w:color="auto"/>
        <w:right w:val="none" w:sz="0" w:space="0" w:color="auto"/>
      </w:divBdr>
    </w:div>
    <w:div w:id="1825778463">
      <w:bodyDiv w:val="1"/>
      <w:marLeft w:val="0"/>
      <w:marRight w:val="0"/>
      <w:marTop w:val="0"/>
      <w:marBottom w:val="0"/>
      <w:divBdr>
        <w:top w:val="none" w:sz="0" w:space="0" w:color="auto"/>
        <w:left w:val="none" w:sz="0" w:space="0" w:color="auto"/>
        <w:bottom w:val="none" w:sz="0" w:space="0" w:color="auto"/>
        <w:right w:val="none" w:sz="0" w:space="0" w:color="auto"/>
      </w:divBdr>
    </w:div>
    <w:div w:id="1842810649">
      <w:bodyDiv w:val="1"/>
      <w:marLeft w:val="0"/>
      <w:marRight w:val="0"/>
      <w:marTop w:val="0"/>
      <w:marBottom w:val="0"/>
      <w:divBdr>
        <w:top w:val="none" w:sz="0" w:space="0" w:color="auto"/>
        <w:left w:val="none" w:sz="0" w:space="0" w:color="auto"/>
        <w:bottom w:val="none" w:sz="0" w:space="0" w:color="auto"/>
        <w:right w:val="none" w:sz="0" w:space="0" w:color="auto"/>
      </w:divBdr>
    </w:div>
    <w:div w:id="1863088602">
      <w:bodyDiv w:val="1"/>
      <w:marLeft w:val="0"/>
      <w:marRight w:val="0"/>
      <w:marTop w:val="0"/>
      <w:marBottom w:val="0"/>
      <w:divBdr>
        <w:top w:val="none" w:sz="0" w:space="0" w:color="auto"/>
        <w:left w:val="none" w:sz="0" w:space="0" w:color="auto"/>
        <w:bottom w:val="none" w:sz="0" w:space="0" w:color="auto"/>
        <w:right w:val="none" w:sz="0" w:space="0" w:color="auto"/>
      </w:divBdr>
    </w:div>
    <w:div w:id="1863395080">
      <w:bodyDiv w:val="1"/>
      <w:marLeft w:val="0"/>
      <w:marRight w:val="0"/>
      <w:marTop w:val="0"/>
      <w:marBottom w:val="0"/>
      <w:divBdr>
        <w:top w:val="none" w:sz="0" w:space="0" w:color="auto"/>
        <w:left w:val="none" w:sz="0" w:space="0" w:color="auto"/>
        <w:bottom w:val="none" w:sz="0" w:space="0" w:color="auto"/>
        <w:right w:val="none" w:sz="0" w:space="0" w:color="auto"/>
      </w:divBdr>
    </w:div>
    <w:div w:id="1866862798">
      <w:bodyDiv w:val="1"/>
      <w:marLeft w:val="0"/>
      <w:marRight w:val="0"/>
      <w:marTop w:val="0"/>
      <w:marBottom w:val="0"/>
      <w:divBdr>
        <w:top w:val="none" w:sz="0" w:space="0" w:color="auto"/>
        <w:left w:val="none" w:sz="0" w:space="0" w:color="auto"/>
        <w:bottom w:val="none" w:sz="0" w:space="0" w:color="auto"/>
        <w:right w:val="none" w:sz="0" w:space="0" w:color="auto"/>
      </w:divBdr>
    </w:div>
    <w:div w:id="1868521558">
      <w:bodyDiv w:val="1"/>
      <w:marLeft w:val="0"/>
      <w:marRight w:val="0"/>
      <w:marTop w:val="0"/>
      <w:marBottom w:val="0"/>
      <w:divBdr>
        <w:top w:val="none" w:sz="0" w:space="0" w:color="auto"/>
        <w:left w:val="none" w:sz="0" w:space="0" w:color="auto"/>
        <w:bottom w:val="none" w:sz="0" w:space="0" w:color="auto"/>
        <w:right w:val="none" w:sz="0" w:space="0" w:color="auto"/>
      </w:divBdr>
    </w:div>
    <w:div w:id="1870989382">
      <w:bodyDiv w:val="1"/>
      <w:marLeft w:val="0"/>
      <w:marRight w:val="0"/>
      <w:marTop w:val="0"/>
      <w:marBottom w:val="0"/>
      <w:divBdr>
        <w:top w:val="none" w:sz="0" w:space="0" w:color="auto"/>
        <w:left w:val="none" w:sz="0" w:space="0" w:color="auto"/>
        <w:bottom w:val="none" w:sz="0" w:space="0" w:color="auto"/>
        <w:right w:val="none" w:sz="0" w:space="0" w:color="auto"/>
      </w:divBdr>
    </w:div>
    <w:div w:id="1874417052">
      <w:bodyDiv w:val="1"/>
      <w:marLeft w:val="0"/>
      <w:marRight w:val="0"/>
      <w:marTop w:val="0"/>
      <w:marBottom w:val="0"/>
      <w:divBdr>
        <w:top w:val="none" w:sz="0" w:space="0" w:color="auto"/>
        <w:left w:val="none" w:sz="0" w:space="0" w:color="auto"/>
        <w:bottom w:val="none" w:sz="0" w:space="0" w:color="auto"/>
        <w:right w:val="none" w:sz="0" w:space="0" w:color="auto"/>
      </w:divBdr>
    </w:div>
    <w:div w:id="1876917874">
      <w:bodyDiv w:val="1"/>
      <w:marLeft w:val="0"/>
      <w:marRight w:val="0"/>
      <w:marTop w:val="0"/>
      <w:marBottom w:val="0"/>
      <w:divBdr>
        <w:top w:val="none" w:sz="0" w:space="0" w:color="auto"/>
        <w:left w:val="none" w:sz="0" w:space="0" w:color="auto"/>
        <w:bottom w:val="none" w:sz="0" w:space="0" w:color="auto"/>
        <w:right w:val="none" w:sz="0" w:space="0" w:color="auto"/>
      </w:divBdr>
    </w:div>
    <w:div w:id="1882286510">
      <w:bodyDiv w:val="1"/>
      <w:marLeft w:val="0"/>
      <w:marRight w:val="0"/>
      <w:marTop w:val="0"/>
      <w:marBottom w:val="0"/>
      <w:divBdr>
        <w:top w:val="none" w:sz="0" w:space="0" w:color="auto"/>
        <w:left w:val="none" w:sz="0" w:space="0" w:color="auto"/>
        <w:bottom w:val="none" w:sz="0" w:space="0" w:color="auto"/>
        <w:right w:val="none" w:sz="0" w:space="0" w:color="auto"/>
      </w:divBdr>
    </w:div>
    <w:div w:id="1887988518">
      <w:bodyDiv w:val="1"/>
      <w:marLeft w:val="0"/>
      <w:marRight w:val="0"/>
      <w:marTop w:val="0"/>
      <w:marBottom w:val="0"/>
      <w:divBdr>
        <w:top w:val="none" w:sz="0" w:space="0" w:color="auto"/>
        <w:left w:val="none" w:sz="0" w:space="0" w:color="auto"/>
        <w:bottom w:val="none" w:sz="0" w:space="0" w:color="auto"/>
        <w:right w:val="none" w:sz="0" w:space="0" w:color="auto"/>
      </w:divBdr>
    </w:div>
    <w:div w:id="1889024596">
      <w:bodyDiv w:val="1"/>
      <w:marLeft w:val="0"/>
      <w:marRight w:val="0"/>
      <w:marTop w:val="0"/>
      <w:marBottom w:val="0"/>
      <w:divBdr>
        <w:top w:val="none" w:sz="0" w:space="0" w:color="auto"/>
        <w:left w:val="none" w:sz="0" w:space="0" w:color="auto"/>
        <w:bottom w:val="none" w:sz="0" w:space="0" w:color="auto"/>
        <w:right w:val="none" w:sz="0" w:space="0" w:color="auto"/>
      </w:divBdr>
    </w:div>
    <w:div w:id="1893343818">
      <w:bodyDiv w:val="1"/>
      <w:marLeft w:val="0"/>
      <w:marRight w:val="0"/>
      <w:marTop w:val="0"/>
      <w:marBottom w:val="0"/>
      <w:divBdr>
        <w:top w:val="none" w:sz="0" w:space="0" w:color="auto"/>
        <w:left w:val="none" w:sz="0" w:space="0" w:color="auto"/>
        <w:bottom w:val="none" w:sz="0" w:space="0" w:color="auto"/>
        <w:right w:val="none" w:sz="0" w:space="0" w:color="auto"/>
      </w:divBdr>
    </w:div>
    <w:div w:id="1916625468">
      <w:bodyDiv w:val="1"/>
      <w:marLeft w:val="0"/>
      <w:marRight w:val="0"/>
      <w:marTop w:val="0"/>
      <w:marBottom w:val="0"/>
      <w:divBdr>
        <w:top w:val="none" w:sz="0" w:space="0" w:color="auto"/>
        <w:left w:val="none" w:sz="0" w:space="0" w:color="auto"/>
        <w:bottom w:val="none" w:sz="0" w:space="0" w:color="auto"/>
        <w:right w:val="none" w:sz="0" w:space="0" w:color="auto"/>
      </w:divBdr>
    </w:div>
    <w:div w:id="1918586720">
      <w:bodyDiv w:val="1"/>
      <w:marLeft w:val="0"/>
      <w:marRight w:val="0"/>
      <w:marTop w:val="0"/>
      <w:marBottom w:val="0"/>
      <w:divBdr>
        <w:top w:val="none" w:sz="0" w:space="0" w:color="auto"/>
        <w:left w:val="none" w:sz="0" w:space="0" w:color="auto"/>
        <w:bottom w:val="none" w:sz="0" w:space="0" w:color="auto"/>
        <w:right w:val="none" w:sz="0" w:space="0" w:color="auto"/>
      </w:divBdr>
    </w:div>
    <w:div w:id="1945645744">
      <w:bodyDiv w:val="1"/>
      <w:marLeft w:val="0"/>
      <w:marRight w:val="0"/>
      <w:marTop w:val="0"/>
      <w:marBottom w:val="0"/>
      <w:divBdr>
        <w:top w:val="none" w:sz="0" w:space="0" w:color="auto"/>
        <w:left w:val="none" w:sz="0" w:space="0" w:color="auto"/>
        <w:bottom w:val="none" w:sz="0" w:space="0" w:color="auto"/>
        <w:right w:val="none" w:sz="0" w:space="0" w:color="auto"/>
      </w:divBdr>
    </w:div>
    <w:div w:id="1948345817">
      <w:bodyDiv w:val="1"/>
      <w:marLeft w:val="0"/>
      <w:marRight w:val="0"/>
      <w:marTop w:val="0"/>
      <w:marBottom w:val="0"/>
      <w:divBdr>
        <w:top w:val="none" w:sz="0" w:space="0" w:color="auto"/>
        <w:left w:val="none" w:sz="0" w:space="0" w:color="auto"/>
        <w:bottom w:val="none" w:sz="0" w:space="0" w:color="auto"/>
        <w:right w:val="none" w:sz="0" w:space="0" w:color="auto"/>
      </w:divBdr>
    </w:div>
    <w:div w:id="1951739802">
      <w:bodyDiv w:val="1"/>
      <w:marLeft w:val="0"/>
      <w:marRight w:val="0"/>
      <w:marTop w:val="0"/>
      <w:marBottom w:val="0"/>
      <w:divBdr>
        <w:top w:val="none" w:sz="0" w:space="0" w:color="auto"/>
        <w:left w:val="none" w:sz="0" w:space="0" w:color="auto"/>
        <w:bottom w:val="none" w:sz="0" w:space="0" w:color="auto"/>
        <w:right w:val="none" w:sz="0" w:space="0" w:color="auto"/>
      </w:divBdr>
    </w:div>
    <w:div w:id="1960333566">
      <w:bodyDiv w:val="1"/>
      <w:marLeft w:val="0"/>
      <w:marRight w:val="0"/>
      <w:marTop w:val="0"/>
      <w:marBottom w:val="0"/>
      <w:divBdr>
        <w:top w:val="none" w:sz="0" w:space="0" w:color="auto"/>
        <w:left w:val="none" w:sz="0" w:space="0" w:color="auto"/>
        <w:bottom w:val="none" w:sz="0" w:space="0" w:color="auto"/>
        <w:right w:val="none" w:sz="0" w:space="0" w:color="auto"/>
      </w:divBdr>
    </w:div>
    <w:div w:id="1963732747">
      <w:bodyDiv w:val="1"/>
      <w:marLeft w:val="0"/>
      <w:marRight w:val="0"/>
      <w:marTop w:val="0"/>
      <w:marBottom w:val="0"/>
      <w:divBdr>
        <w:top w:val="none" w:sz="0" w:space="0" w:color="auto"/>
        <w:left w:val="none" w:sz="0" w:space="0" w:color="auto"/>
        <w:bottom w:val="none" w:sz="0" w:space="0" w:color="auto"/>
        <w:right w:val="none" w:sz="0" w:space="0" w:color="auto"/>
      </w:divBdr>
    </w:div>
    <w:div w:id="1982923684">
      <w:bodyDiv w:val="1"/>
      <w:marLeft w:val="0"/>
      <w:marRight w:val="0"/>
      <w:marTop w:val="0"/>
      <w:marBottom w:val="0"/>
      <w:divBdr>
        <w:top w:val="none" w:sz="0" w:space="0" w:color="auto"/>
        <w:left w:val="none" w:sz="0" w:space="0" w:color="auto"/>
        <w:bottom w:val="none" w:sz="0" w:space="0" w:color="auto"/>
        <w:right w:val="none" w:sz="0" w:space="0" w:color="auto"/>
      </w:divBdr>
    </w:div>
    <w:div w:id="1992522685">
      <w:bodyDiv w:val="1"/>
      <w:marLeft w:val="0"/>
      <w:marRight w:val="0"/>
      <w:marTop w:val="0"/>
      <w:marBottom w:val="0"/>
      <w:divBdr>
        <w:top w:val="none" w:sz="0" w:space="0" w:color="auto"/>
        <w:left w:val="none" w:sz="0" w:space="0" w:color="auto"/>
        <w:bottom w:val="none" w:sz="0" w:space="0" w:color="auto"/>
        <w:right w:val="none" w:sz="0" w:space="0" w:color="auto"/>
      </w:divBdr>
    </w:div>
    <w:div w:id="1992784454">
      <w:bodyDiv w:val="1"/>
      <w:marLeft w:val="0"/>
      <w:marRight w:val="0"/>
      <w:marTop w:val="0"/>
      <w:marBottom w:val="0"/>
      <w:divBdr>
        <w:top w:val="none" w:sz="0" w:space="0" w:color="auto"/>
        <w:left w:val="none" w:sz="0" w:space="0" w:color="auto"/>
        <w:bottom w:val="none" w:sz="0" w:space="0" w:color="auto"/>
        <w:right w:val="none" w:sz="0" w:space="0" w:color="auto"/>
      </w:divBdr>
    </w:div>
    <w:div w:id="1993214129">
      <w:bodyDiv w:val="1"/>
      <w:marLeft w:val="0"/>
      <w:marRight w:val="0"/>
      <w:marTop w:val="0"/>
      <w:marBottom w:val="0"/>
      <w:divBdr>
        <w:top w:val="none" w:sz="0" w:space="0" w:color="auto"/>
        <w:left w:val="none" w:sz="0" w:space="0" w:color="auto"/>
        <w:bottom w:val="none" w:sz="0" w:space="0" w:color="auto"/>
        <w:right w:val="none" w:sz="0" w:space="0" w:color="auto"/>
      </w:divBdr>
    </w:div>
    <w:div w:id="1997606573">
      <w:bodyDiv w:val="1"/>
      <w:marLeft w:val="0"/>
      <w:marRight w:val="0"/>
      <w:marTop w:val="0"/>
      <w:marBottom w:val="0"/>
      <w:divBdr>
        <w:top w:val="none" w:sz="0" w:space="0" w:color="auto"/>
        <w:left w:val="none" w:sz="0" w:space="0" w:color="auto"/>
        <w:bottom w:val="none" w:sz="0" w:space="0" w:color="auto"/>
        <w:right w:val="none" w:sz="0" w:space="0" w:color="auto"/>
      </w:divBdr>
    </w:div>
    <w:div w:id="2015257251">
      <w:bodyDiv w:val="1"/>
      <w:marLeft w:val="0"/>
      <w:marRight w:val="0"/>
      <w:marTop w:val="0"/>
      <w:marBottom w:val="0"/>
      <w:divBdr>
        <w:top w:val="none" w:sz="0" w:space="0" w:color="auto"/>
        <w:left w:val="none" w:sz="0" w:space="0" w:color="auto"/>
        <w:bottom w:val="none" w:sz="0" w:space="0" w:color="auto"/>
        <w:right w:val="none" w:sz="0" w:space="0" w:color="auto"/>
      </w:divBdr>
    </w:div>
    <w:div w:id="2029679406">
      <w:bodyDiv w:val="1"/>
      <w:marLeft w:val="0"/>
      <w:marRight w:val="0"/>
      <w:marTop w:val="0"/>
      <w:marBottom w:val="0"/>
      <w:divBdr>
        <w:top w:val="none" w:sz="0" w:space="0" w:color="auto"/>
        <w:left w:val="none" w:sz="0" w:space="0" w:color="auto"/>
        <w:bottom w:val="none" w:sz="0" w:space="0" w:color="auto"/>
        <w:right w:val="none" w:sz="0" w:space="0" w:color="auto"/>
      </w:divBdr>
    </w:div>
    <w:div w:id="2065837101">
      <w:bodyDiv w:val="1"/>
      <w:marLeft w:val="0"/>
      <w:marRight w:val="0"/>
      <w:marTop w:val="0"/>
      <w:marBottom w:val="0"/>
      <w:divBdr>
        <w:top w:val="none" w:sz="0" w:space="0" w:color="auto"/>
        <w:left w:val="none" w:sz="0" w:space="0" w:color="auto"/>
        <w:bottom w:val="none" w:sz="0" w:space="0" w:color="auto"/>
        <w:right w:val="none" w:sz="0" w:space="0" w:color="auto"/>
      </w:divBdr>
    </w:div>
    <w:div w:id="2079743538">
      <w:bodyDiv w:val="1"/>
      <w:marLeft w:val="0"/>
      <w:marRight w:val="0"/>
      <w:marTop w:val="0"/>
      <w:marBottom w:val="0"/>
      <w:divBdr>
        <w:top w:val="none" w:sz="0" w:space="0" w:color="auto"/>
        <w:left w:val="none" w:sz="0" w:space="0" w:color="auto"/>
        <w:bottom w:val="none" w:sz="0" w:space="0" w:color="auto"/>
        <w:right w:val="none" w:sz="0" w:space="0" w:color="auto"/>
      </w:divBdr>
    </w:div>
    <w:div w:id="2088377152">
      <w:bodyDiv w:val="1"/>
      <w:marLeft w:val="0"/>
      <w:marRight w:val="0"/>
      <w:marTop w:val="0"/>
      <w:marBottom w:val="0"/>
      <w:divBdr>
        <w:top w:val="none" w:sz="0" w:space="0" w:color="auto"/>
        <w:left w:val="none" w:sz="0" w:space="0" w:color="auto"/>
        <w:bottom w:val="none" w:sz="0" w:space="0" w:color="auto"/>
        <w:right w:val="none" w:sz="0" w:space="0" w:color="auto"/>
      </w:divBdr>
    </w:div>
    <w:div w:id="2090541022">
      <w:bodyDiv w:val="1"/>
      <w:marLeft w:val="0"/>
      <w:marRight w:val="0"/>
      <w:marTop w:val="0"/>
      <w:marBottom w:val="0"/>
      <w:divBdr>
        <w:top w:val="none" w:sz="0" w:space="0" w:color="auto"/>
        <w:left w:val="none" w:sz="0" w:space="0" w:color="auto"/>
        <w:bottom w:val="none" w:sz="0" w:space="0" w:color="auto"/>
        <w:right w:val="none" w:sz="0" w:space="0" w:color="auto"/>
      </w:divBdr>
    </w:div>
    <w:div w:id="2091810414">
      <w:bodyDiv w:val="1"/>
      <w:marLeft w:val="0"/>
      <w:marRight w:val="0"/>
      <w:marTop w:val="0"/>
      <w:marBottom w:val="0"/>
      <w:divBdr>
        <w:top w:val="none" w:sz="0" w:space="0" w:color="auto"/>
        <w:left w:val="none" w:sz="0" w:space="0" w:color="auto"/>
        <w:bottom w:val="none" w:sz="0" w:space="0" w:color="auto"/>
        <w:right w:val="none" w:sz="0" w:space="0" w:color="auto"/>
      </w:divBdr>
    </w:div>
    <w:div w:id="2108767450">
      <w:bodyDiv w:val="1"/>
      <w:marLeft w:val="0"/>
      <w:marRight w:val="0"/>
      <w:marTop w:val="0"/>
      <w:marBottom w:val="0"/>
      <w:divBdr>
        <w:top w:val="none" w:sz="0" w:space="0" w:color="auto"/>
        <w:left w:val="none" w:sz="0" w:space="0" w:color="auto"/>
        <w:bottom w:val="none" w:sz="0" w:space="0" w:color="auto"/>
        <w:right w:val="none" w:sz="0" w:space="0" w:color="auto"/>
      </w:divBdr>
    </w:div>
    <w:div w:id="2110006077">
      <w:bodyDiv w:val="1"/>
      <w:marLeft w:val="0"/>
      <w:marRight w:val="0"/>
      <w:marTop w:val="0"/>
      <w:marBottom w:val="0"/>
      <w:divBdr>
        <w:top w:val="none" w:sz="0" w:space="0" w:color="auto"/>
        <w:left w:val="none" w:sz="0" w:space="0" w:color="auto"/>
        <w:bottom w:val="none" w:sz="0" w:space="0" w:color="auto"/>
        <w:right w:val="none" w:sz="0" w:space="0" w:color="auto"/>
      </w:divBdr>
    </w:div>
    <w:div w:id="2114083828">
      <w:bodyDiv w:val="1"/>
      <w:marLeft w:val="0"/>
      <w:marRight w:val="0"/>
      <w:marTop w:val="0"/>
      <w:marBottom w:val="0"/>
      <w:divBdr>
        <w:top w:val="none" w:sz="0" w:space="0" w:color="auto"/>
        <w:left w:val="none" w:sz="0" w:space="0" w:color="auto"/>
        <w:bottom w:val="none" w:sz="0" w:space="0" w:color="auto"/>
        <w:right w:val="none" w:sz="0" w:space="0" w:color="auto"/>
      </w:divBdr>
    </w:div>
    <w:div w:id="2118021281">
      <w:bodyDiv w:val="1"/>
      <w:marLeft w:val="0"/>
      <w:marRight w:val="0"/>
      <w:marTop w:val="0"/>
      <w:marBottom w:val="0"/>
      <w:divBdr>
        <w:top w:val="none" w:sz="0" w:space="0" w:color="auto"/>
        <w:left w:val="none" w:sz="0" w:space="0" w:color="auto"/>
        <w:bottom w:val="none" w:sz="0" w:space="0" w:color="auto"/>
        <w:right w:val="none" w:sz="0" w:space="0" w:color="auto"/>
      </w:divBdr>
    </w:div>
    <w:div w:id="2118326499">
      <w:bodyDiv w:val="1"/>
      <w:marLeft w:val="0"/>
      <w:marRight w:val="0"/>
      <w:marTop w:val="0"/>
      <w:marBottom w:val="0"/>
      <w:divBdr>
        <w:top w:val="none" w:sz="0" w:space="0" w:color="auto"/>
        <w:left w:val="none" w:sz="0" w:space="0" w:color="auto"/>
        <w:bottom w:val="none" w:sz="0" w:space="0" w:color="auto"/>
        <w:right w:val="none" w:sz="0" w:space="0" w:color="auto"/>
      </w:divBdr>
    </w:div>
    <w:div w:id="21199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2F1149-8A52-462E-9140-35ECF1E4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5726</Words>
  <Characters>32643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vt:lpstr>
    </vt:vector>
  </TitlesOfParts>
  <Company>Staffordshire University</Company>
  <LinksUpToDate>false</LinksUpToDate>
  <CharactersWithSpaces>38293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ah38</dc:creator>
  <cp:keywords/>
  <dc:description/>
  <cp:lastModifiedBy>Aoife HEALY</cp:lastModifiedBy>
  <cp:revision>4</cp:revision>
  <dcterms:created xsi:type="dcterms:W3CDTF">2018-05-15T16:53:00Z</dcterms:created>
  <dcterms:modified xsi:type="dcterms:W3CDTF">2018-05-15T16:56:00Z</dcterms:modified>
</cp:coreProperties>
</file>