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396CA" w14:textId="449582F2" w:rsidR="0073138D" w:rsidRPr="009070D8" w:rsidRDefault="00587A72" w:rsidP="003F141F">
      <w:pPr>
        <w:rPr>
          <w:b/>
          <w:sz w:val="28"/>
          <w:szCs w:val="28"/>
        </w:rPr>
      </w:pPr>
      <w:bookmarkStart w:id="0" w:name="_GoBack"/>
      <w:bookmarkEnd w:id="0"/>
      <w:r w:rsidRPr="009070D8">
        <w:rPr>
          <w:b/>
          <w:sz w:val="28"/>
          <w:szCs w:val="28"/>
        </w:rPr>
        <w:t xml:space="preserve">The </w:t>
      </w:r>
      <w:r w:rsidR="00E04B11" w:rsidRPr="009070D8">
        <w:rPr>
          <w:b/>
          <w:sz w:val="28"/>
          <w:szCs w:val="28"/>
        </w:rPr>
        <w:t>Effect</w:t>
      </w:r>
      <w:r w:rsidR="008B6A3B" w:rsidRPr="009070D8">
        <w:rPr>
          <w:b/>
          <w:sz w:val="28"/>
          <w:szCs w:val="28"/>
        </w:rPr>
        <w:t>s</w:t>
      </w:r>
      <w:r w:rsidR="00742F36" w:rsidRPr="009070D8">
        <w:rPr>
          <w:b/>
          <w:sz w:val="28"/>
          <w:szCs w:val="28"/>
        </w:rPr>
        <w:t xml:space="preserve"> of Remittances on Education </w:t>
      </w:r>
      <w:r w:rsidR="009B3813" w:rsidRPr="009070D8">
        <w:rPr>
          <w:b/>
          <w:sz w:val="28"/>
          <w:szCs w:val="28"/>
        </w:rPr>
        <w:t xml:space="preserve">in a Post-Conflict Society: Evidence from </w:t>
      </w:r>
      <w:r w:rsidR="0073138D" w:rsidRPr="009070D8">
        <w:rPr>
          <w:b/>
          <w:sz w:val="28"/>
          <w:szCs w:val="28"/>
        </w:rPr>
        <w:t>Bosnia-Herzegovina</w:t>
      </w:r>
    </w:p>
    <w:p w14:paraId="44CCC1A3" w14:textId="77777777" w:rsidR="0073138D" w:rsidRPr="009070D8" w:rsidRDefault="0073138D" w:rsidP="0073138D">
      <w:pPr>
        <w:tabs>
          <w:tab w:val="left" w:pos="709"/>
        </w:tabs>
        <w:rPr>
          <w:b/>
          <w:sz w:val="22"/>
          <w:szCs w:val="22"/>
        </w:rPr>
      </w:pPr>
    </w:p>
    <w:p w14:paraId="7E2D6699" w14:textId="77777777" w:rsidR="0073138D" w:rsidRPr="009070D8" w:rsidRDefault="0073138D" w:rsidP="0073138D">
      <w:pPr>
        <w:tabs>
          <w:tab w:val="left" w:pos="709"/>
        </w:tabs>
        <w:rPr>
          <w:b/>
          <w:sz w:val="22"/>
          <w:szCs w:val="22"/>
        </w:rPr>
      </w:pPr>
    </w:p>
    <w:p w14:paraId="2FFA8087" w14:textId="3C66E7BC" w:rsidR="0073138D" w:rsidRPr="009070D8" w:rsidRDefault="008B6A3B" w:rsidP="003F141F">
      <w:pPr>
        <w:tabs>
          <w:tab w:val="left" w:pos="709"/>
        </w:tabs>
        <w:rPr>
          <w:szCs w:val="22"/>
        </w:rPr>
      </w:pPr>
      <w:r w:rsidRPr="009070D8">
        <w:rPr>
          <w:szCs w:val="22"/>
        </w:rPr>
        <w:t>Nermin Oruc</w:t>
      </w:r>
      <w:r w:rsidR="00DF4FA7" w:rsidRPr="009070D8">
        <w:rPr>
          <w:szCs w:val="22"/>
          <w:vertAlign w:val="superscript"/>
        </w:rPr>
        <w:t>a</w:t>
      </w:r>
      <w:r w:rsidRPr="009070D8">
        <w:rPr>
          <w:szCs w:val="22"/>
        </w:rPr>
        <w:t>,</w:t>
      </w:r>
      <w:r w:rsidR="00AF3394" w:rsidRPr="009070D8">
        <w:rPr>
          <w:szCs w:val="22"/>
        </w:rPr>
        <w:t xml:space="preserve"> </w:t>
      </w:r>
      <w:r w:rsidR="00F46D85" w:rsidRPr="009070D8">
        <w:rPr>
          <w:szCs w:val="22"/>
        </w:rPr>
        <w:t>Ian Jackson</w:t>
      </w:r>
      <w:r w:rsidR="00DF4FA7" w:rsidRPr="009070D8">
        <w:rPr>
          <w:szCs w:val="22"/>
          <w:vertAlign w:val="superscript"/>
        </w:rPr>
        <w:t>b</w:t>
      </w:r>
      <w:r w:rsidR="00F86A74" w:rsidRPr="009070D8">
        <w:rPr>
          <w:szCs w:val="22"/>
        </w:rPr>
        <w:t xml:space="preserve"> </w:t>
      </w:r>
      <w:r w:rsidR="00F46D85" w:rsidRPr="009070D8">
        <w:rPr>
          <w:szCs w:val="22"/>
        </w:rPr>
        <w:t>and Geoffrey Pugh</w:t>
      </w:r>
      <w:r w:rsidR="00E03E32">
        <w:rPr>
          <w:szCs w:val="22"/>
          <w:vertAlign w:val="superscript"/>
        </w:rPr>
        <w:t>c</w:t>
      </w:r>
    </w:p>
    <w:p w14:paraId="60F377A2" w14:textId="306B5109" w:rsidR="008B6A3B" w:rsidRPr="009070D8" w:rsidRDefault="00DF4FA7" w:rsidP="003F141F">
      <w:pPr>
        <w:tabs>
          <w:tab w:val="left" w:pos="709"/>
        </w:tabs>
        <w:rPr>
          <w:szCs w:val="22"/>
        </w:rPr>
      </w:pPr>
      <w:r w:rsidRPr="009070D8">
        <w:rPr>
          <w:szCs w:val="22"/>
          <w:vertAlign w:val="superscript"/>
        </w:rPr>
        <w:t>a</w:t>
      </w:r>
      <w:r w:rsidR="008B6A3B" w:rsidRPr="009070D8">
        <w:rPr>
          <w:szCs w:val="22"/>
        </w:rPr>
        <w:t xml:space="preserve"> </w:t>
      </w:r>
      <w:r w:rsidRPr="009070D8">
        <w:rPr>
          <w:szCs w:val="22"/>
        </w:rPr>
        <w:t xml:space="preserve">Centre for Development </w:t>
      </w:r>
      <w:r w:rsidR="00003759" w:rsidRPr="009070D8">
        <w:rPr>
          <w:szCs w:val="22"/>
        </w:rPr>
        <w:t xml:space="preserve">Evaluation </w:t>
      </w:r>
      <w:r w:rsidRPr="009070D8">
        <w:rPr>
          <w:szCs w:val="22"/>
        </w:rPr>
        <w:t>and Social Science Research (CDESS),</w:t>
      </w:r>
      <w:r w:rsidR="008B6A3B" w:rsidRPr="009070D8">
        <w:rPr>
          <w:szCs w:val="22"/>
        </w:rPr>
        <w:t xml:space="preserve"> Sarajevo, Bosnia-Herzegovina</w:t>
      </w:r>
      <w:r w:rsidRPr="009070D8">
        <w:rPr>
          <w:szCs w:val="22"/>
        </w:rPr>
        <w:t>;</w:t>
      </w:r>
    </w:p>
    <w:p w14:paraId="3728A11A" w14:textId="5A6EEFD6" w:rsidR="00E03E32" w:rsidRDefault="00DF4FA7" w:rsidP="003F141F">
      <w:pPr>
        <w:tabs>
          <w:tab w:val="left" w:pos="709"/>
        </w:tabs>
        <w:rPr>
          <w:szCs w:val="22"/>
          <w:vertAlign w:val="superscript"/>
        </w:rPr>
      </w:pPr>
      <w:r w:rsidRPr="009070D8">
        <w:rPr>
          <w:szCs w:val="22"/>
          <w:vertAlign w:val="superscript"/>
        </w:rPr>
        <w:t xml:space="preserve">b </w:t>
      </w:r>
      <w:r w:rsidR="00E03E32">
        <w:rPr>
          <w:szCs w:val="22"/>
        </w:rPr>
        <w:t>Wolverhampton U</w:t>
      </w:r>
      <w:r w:rsidR="00E03E32" w:rsidRPr="009070D8">
        <w:rPr>
          <w:szCs w:val="22"/>
        </w:rPr>
        <w:t>niversity</w:t>
      </w:r>
      <w:r w:rsidR="00E03E32">
        <w:rPr>
          <w:szCs w:val="22"/>
        </w:rPr>
        <w:t xml:space="preserve"> Business School, Wolverhampton, UK;</w:t>
      </w:r>
    </w:p>
    <w:p w14:paraId="5978B518" w14:textId="5C55F4BB" w:rsidR="00587A72" w:rsidRPr="009070D8" w:rsidRDefault="00E03E32" w:rsidP="003F141F">
      <w:pPr>
        <w:tabs>
          <w:tab w:val="left" w:pos="709"/>
        </w:tabs>
        <w:rPr>
          <w:szCs w:val="22"/>
        </w:rPr>
      </w:pPr>
      <w:r>
        <w:rPr>
          <w:szCs w:val="22"/>
          <w:vertAlign w:val="superscript"/>
        </w:rPr>
        <w:t xml:space="preserve">c </w:t>
      </w:r>
      <w:r w:rsidR="00587A72" w:rsidRPr="009070D8">
        <w:rPr>
          <w:szCs w:val="22"/>
        </w:rPr>
        <w:t>Staffordshire University</w:t>
      </w:r>
      <w:r w:rsidR="00E04B11" w:rsidRPr="009070D8">
        <w:rPr>
          <w:szCs w:val="22"/>
        </w:rPr>
        <w:t xml:space="preserve"> Business School</w:t>
      </w:r>
      <w:r w:rsidR="00587A72" w:rsidRPr="009070D8">
        <w:rPr>
          <w:szCs w:val="22"/>
        </w:rPr>
        <w:t xml:space="preserve">, </w:t>
      </w:r>
      <w:r w:rsidR="00DF4FA7" w:rsidRPr="009070D8">
        <w:rPr>
          <w:szCs w:val="22"/>
        </w:rPr>
        <w:t>Stoke-on-Trent,</w:t>
      </w:r>
      <w:r w:rsidR="00003759" w:rsidRPr="009070D8">
        <w:rPr>
          <w:szCs w:val="22"/>
        </w:rPr>
        <w:t xml:space="preserve"> </w:t>
      </w:r>
      <w:r w:rsidR="00587A72" w:rsidRPr="009070D8">
        <w:rPr>
          <w:szCs w:val="22"/>
        </w:rPr>
        <w:t>UK</w:t>
      </w:r>
    </w:p>
    <w:p w14:paraId="39B6E7D6" w14:textId="5123A3EC" w:rsidR="003F141F" w:rsidRPr="009070D8" w:rsidRDefault="003F141F" w:rsidP="003F141F">
      <w:pPr>
        <w:tabs>
          <w:tab w:val="left" w:pos="709"/>
        </w:tabs>
        <w:rPr>
          <w:sz w:val="22"/>
          <w:szCs w:val="22"/>
        </w:rPr>
      </w:pPr>
    </w:p>
    <w:p w14:paraId="27E453CC" w14:textId="77777777" w:rsidR="003F141F" w:rsidRPr="009070D8" w:rsidRDefault="003F141F" w:rsidP="0073138D">
      <w:pPr>
        <w:tabs>
          <w:tab w:val="left" w:pos="709"/>
        </w:tabs>
        <w:jc w:val="center"/>
        <w:rPr>
          <w:sz w:val="22"/>
          <w:szCs w:val="22"/>
        </w:rPr>
      </w:pPr>
    </w:p>
    <w:p w14:paraId="3A8DDB29" w14:textId="77777777" w:rsidR="003F141F" w:rsidRPr="009070D8" w:rsidRDefault="003F141F" w:rsidP="003F141F">
      <w:pPr>
        <w:tabs>
          <w:tab w:val="left" w:pos="709"/>
        </w:tabs>
        <w:rPr>
          <w:sz w:val="22"/>
          <w:szCs w:val="22"/>
        </w:rPr>
      </w:pPr>
    </w:p>
    <w:p w14:paraId="07787CED" w14:textId="77777777" w:rsidR="00003759" w:rsidRPr="009070D8" w:rsidRDefault="00003759" w:rsidP="00003759">
      <w:pPr>
        <w:spacing w:line="360" w:lineRule="auto"/>
        <w:jc w:val="both"/>
        <w:rPr>
          <w:b/>
        </w:rPr>
      </w:pPr>
      <w:r w:rsidRPr="009070D8">
        <w:rPr>
          <w:b/>
        </w:rPr>
        <w:t>ABSTRACT</w:t>
      </w:r>
    </w:p>
    <w:p w14:paraId="7D6F86A8" w14:textId="13DC0250" w:rsidR="003F141F" w:rsidRPr="009070D8" w:rsidRDefault="00003759" w:rsidP="00003759">
      <w:pPr>
        <w:tabs>
          <w:tab w:val="left" w:pos="709"/>
        </w:tabs>
        <w:spacing w:line="360" w:lineRule="auto"/>
        <w:jc w:val="both"/>
      </w:pPr>
      <w:r w:rsidRPr="009070D8">
        <w:t xml:space="preserve">This paper analyses the effects of remittances on the educational enrolment of children in Bosnia-Herzegovina, where a process of forced migration made the </w:t>
      </w:r>
      <w:r w:rsidR="00057F98">
        <w:t>relocation</w:t>
      </w:r>
      <w:r w:rsidR="00057F98" w:rsidRPr="009070D8" w:rsidDel="00057F98">
        <w:t xml:space="preserve"> </w:t>
      </w:r>
      <w:r w:rsidRPr="009070D8">
        <w:t xml:space="preserve">decision exogenous. Accordingly, this study has no need of methods to address the endogeneity of remittances. </w:t>
      </w:r>
      <w:r w:rsidR="005627B8">
        <w:t xml:space="preserve">Hence, the </w:t>
      </w:r>
      <w:r w:rsidR="00057F98">
        <w:t xml:space="preserve">approach taken means </w:t>
      </w:r>
      <w:r w:rsidR="00404A8B">
        <w:t>that our measure of educational enrolment</w:t>
      </w:r>
      <w:r w:rsidRPr="009070D8">
        <w:t xml:space="preserve"> is regressed on a set of individual and households level variables. In addition, we introduce a new approach to estimation, whereby the effect </w:t>
      </w:r>
      <w:r w:rsidR="00404A8B">
        <w:t xml:space="preserve">of remittances </w:t>
      </w:r>
      <w:r w:rsidRPr="009070D8">
        <w:t>is calculated for each income quintile. We find that the relationship between remittances and educational enrolment is strong among household</w:t>
      </w:r>
      <w:r w:rsidR="00404A8B">
        <w:t>s</w:t>
      </w:r>
      <w:r w:rsidRPr="009070D8">
        <w:t xml:space="preserve"> </w:t>
      </w:r>
      <w:r w:rsidR="005B4AAA" w:rsidRPr="009070D8">
        <w:t>from</w:t>
      </w:r>
      <w:r w:rsidRPr="009070D8">
        <w:t xml:space="preserve"> the third quintile, which </w:t>
      </w:r>
      <w:r w:rsidR="005B4AAA" w:rsidRPr="009070D8">
        <w:t>includes household</w:t>
      </w:r>
      <w:r w:rsidR="00404A8B">
        <w:t>s</w:t>
      </w:r>
      <w:r w:rsidR="005B4AAA" w:rsidRPr="009070D8">
        <w:t xml:space="preserve"> just outside the risk of</w:t>
      </w:r>
      <w:r w:rsidRPr="009070D8">
        <w:t xml:space="preserve"> poverty, while </w:t>
      </w:r>
      <w:r w:rsidR="005B4AAA" w:rsidRPr="009070D8">
        <w:t xml:space="preserve">for </w:t>
      </w:r>
      <w:r w:rsidR="00404A8B">
        <w:t>those</w:t>
      </w:r>
      <w:r w:rsidR="005B4AAA" w:rsidRPr="009070D8">
        <w:t xml:space="preserve"> in</w:t>
      </w:r>
      <w:r w:rsidRPr="009070D8">
        <w:t xml:space="preserve"> poorer quintiles the effect is not significant.</w:t>
      </w:r>
    </w:p>
    <w:p w14:paraId="6A37D52D" w14:textId="77777777" w:rsidR="00724C3A" w:rsidRPr="009070D8" w:rsidRDefault="00724C3A" w:rsidP="0073138D">
      <w:pPr>
        <w:tabs>
          <w:tab w:val="left" w:pos="709"/>
        </w:tabs>
        <w:jc w:val="center"/>
        <w:rPr>
          <w:sz w:val="22"/>
          <w:szCs w:val="22"/>
        </w:rPr>
      </w:pPr>
    </w:p>
    <w:p w14:paraId="4D611392" w14:textId="77777777" w:rsidR="003F141F" w:rsidRPr="009070D8" w:rsidRDefault="003F141F" w:rsidP="003F141F">
      <w:pPr>
        <w:rPr>
          <w:szCs w:val="22"/>
        </w:rPr>
      </w:pPr>
    </w:p>
    <w:p w14:paraId="20389751" w14:textId="77777777" w:rsidR="003F141F" w:rsidRPr="009070D8" w:rsidRDefault="003F141F" w:rsidP="003F141F">
      <w:pPr>
        <w:rPr>
          <w:szCs w:val="22"/>
        </w:rPr>
      </w:pPr>
    </w:p>
    <w:p w14:paraId="3611B8A5" w14:textId="77777777" w:rsidR="003F141F" w:rsidRPr="009070D8" w:rsidRDefault="003F141F" w:rsidP="003F141F">
      <w:pPr>
        <w:rPr>
          <w:szCs w:val="22"/>
        </w:rPr>
      </w:pPr>
    </w:p>
    <w:p w14:paraId="60E570F3" w14:textId="77777777" w:rsidR="003F141F" w:rsidRPr="009070D8" w:rsidRDefault="003F141F" w:rsidP="003F141F">
      <w:pPr>
        <w:rPr>
          <w:szCs w:val="22"/>
        </w:rPr>
      </w:pPr>
    </w:p>
    <w:p w14:paraId="5D2B0067" w14:textId="77777777" w:rsidR="003F141F" w:rsidRPr="009070D8" w:rsidRDefault="003F141F" w:rsidP="003F141F">
      <w:pPr>
        <w:rPr>
          <w:szCs w:val="22"/>
        </w:rPr>
      </w:pPr>
    </w:p>
    <w:p w14:paraId="5BB555E1" w14:textId="77777777" w:rsidR="0023638D" w:rsidRPr="009070D8" w:rsidRDefault="0023638D" w:rsidP="0073138D">
      <w:pPr>
        <w:spacing w:line="360" w:lineRule="auto"/>
        <w:jc w:val="both"/>
        <w:rPr>
          <w:i/>
          <w:sz w:val="22"/>
          <w:szCs w:val="22"/>
        </w:rPr>
      </w:pPr>
    </w:p>
    <w:p w14:paraId="78662B1C" w14:textId="77777777" w:rsidR="00705FBB" w:rsidRPr="009070D8" w:rsidRDefault="00705FBB" w:rsidP="0073138D">
      <w:pPr>
        <w:spacing w:line="360" w:lineRule="auto"/>
        <w:jc w:val="both"/>
        <w:rPr>
          <w:i/>
          <w:sz w:val="22"/>
          <w:szCs w:val="22"/>
        </w:rPr>
      </w:pPr>
    </w:p>
    <w:p w14:paraId="0DE0D1B5" w14:textId="77777777" w:rsidR="00D72255" w:rsidRPr="009070D8" w:rsidRDefault="00D72255" w:rsidP="00D72255">
      <w:pPr>
        <w:rPr>
          <w:i/>
          <w:sz w:val="22"/>
          <w:szCs w:val="22"/>
        </w:rPr>
      </w:pPr>
      <w:bookmarkStart w:id="1" w:name="_Toc203661785"/>
    </w:p>
    <w:p w14:paraId="04D9B6A5" w14:textId="77777777" w:rsidR="00D72255" w:rsidRPr="009070D8" w:rsidRDefault="00D72255" w:rsidP="00D72255">
      <w:pPr>
        <w:rPr>
          <w:i/>
          <w:sz w:val="22"/>
          <w:szCs w:val="22"/>
        </w:rPr>
      </w:pPr>
    </w:p>
    <w:p w14:paraId="2F4079A9" w14:textId="77777777" w:rsidR="00D72255" w:rsidRDefault="00D72255" w:rsidP="00D72255">
      <w:pPr>
        <w:rPr>
          <w:i/>
          <w:sz w:val="22"/>
          <w:szCs w:val="22"/>
        </w:rPr>
      </w:pPr>
    </w:p>
    <w:p w14:paraId="043CAF76" w14:textId="77777777" w:rsidR="00057F98" w:rsidRDefault="00057F98" w:rsidP="00D72255">
      <w:pPr>
        <w:rPr>
          <w:i/>
          <w:sz w:val="22"/>
          <w:szCs w:val="22"/>
        </w:rPr>
      </w:pPr>
    </w:p>
    <w:p w14:paraId="2723F771" w14:textId="77777777" w:rsidR="00057F98" w:rsidRDefault="00057F98" w:rsidP="00D72255">
      <w:pPr>
        <w:rPr>
          <w:i/>
          <w:sz w:val="22"/>
          <w:szCs w:val="22"/>
        </w:rPr>
      </w:pPr>
    </w:p>
    <w:p w14:paraId="29D87F05" w14:textId="77777777" w:rsidR="00057F98" w:rsidRDefault="00057F98" w:rsidP="00D72255">
      <w:pPr>
        <w:rPr>
          <w:i/>
          <w:sz w:val="22"/>
          <w:szCs w:val="22"/>
        </w:rPr>
      </w:pPr>
    </w:p>
    <w:p w14:paraId="718DBBE7" w14:textId="77777777" w:rsidR="00057F98" w:rsidRDefault="00057F98" w:rsidP="00D72255">
      <w:pPr>
        <w:rPr>
          <w:i/>
          <w:sz w:val="22"/>
          <w:szCs w:val="22"/>
        </w:rPr>
      </w:pPr>
    </w:p>
    <w:p w14:paraId="656E8BFF" w14:textId="77777777" w:rsidR="00057F98" w:rsidRDefault="00057F98" w:rsidP="00D72255">
      <w:pPr>
        <w:rPr>
          <w:i/>
          <w:sz w:val="22"/>
          <w:szCs w:val="22"/>
        </w:rPr>
      </w:pPr>
    </w:p>
    <w:p w14:paraId="5CFD91DF" w14:textId="77777777" w:rsidR="00057F98" w:rsidRDefault="00057F98" w:rsidP="00D72255">
      <w:pPr>
        <w:rPr>
          <w:i/>
          <w:sz w:val="22"/>
          <w:szCs w:val="22"/>
        </w:rPr>
      </w:pPr>
    </w:p>
    <w:p w14:paraId="06D208DC" w14:textId="77777777" w:rsidR="00057F98" w:rsidRDefault="00057F98" w:rsidP="00D72255">
      <w:pPr>
        <w:rPr>
          <w:i/>
          <w:sz w:val="22"/>
          <w:szCs w:val="22"/>
        </w:rPr>
      </w:pPr>
    </w:p>
    <w:p w14:paraId="42AA822A" w14:textId="77777777" w:rsidR="00057F98" w:rsidRDefault="00057F98" w:rsidP="00D72255">
      <w:pPr>
        <w:rPr>
          <w:i/>
          <w:sz w:val="22"/>
          <w:szCs w:val="22"/>
        </w:rPr>
      </w:pPr>
    </w:p>
    <w:p w14:paraId="0972398E" w14:textId="352BBDF5" w:rsidR="0073138D" w:rsidRPr="009070D8" w:rsidRDefault="0073138D" w:rsidP="00D72255">
      <w:pPr>
        <w:pStyle w:val="Heading1"/>
        <w:rPr>
          <w:i/>
          <w:color w:val="auto"/>
          <w:sz w:val="22"/>
        </w:rPr>
      </w:pPr>
      <w:r w:rsidRPr="009070D8">
        <w:rPr>
          <w:color w:val="auto"/>
        </w:rPr>
        <w:lastRenderedPageBreak/>
        <w:t>Introduction</w:t>
      </w:r>
      <w:bookmarkEnd w:id="1"/>
    </w:p>
    <w:p w14:paraId="5FAA823F" w14:textId="5A4F6C58" w:rsidR="008D6DE0" w:rsidRPr="009070D8" w:rsidRDefault="006D793A" w:rsidP="00991699">
      <w:pPr>
        <w:spacing w:line="360" w:lineRule="auto"/>
        <w:jc w:val="both"/>
      </w:pPr>
      <w:r w:rsidRPr="009070D8">
        <w:t xml:space="preserve">This study investigates the effects on human capital formation of remittances arising from </w:t>
      </w:r>
      <w:r w:rsidRPr="009070D8">
        <w:rPr>
          <w:i/>
        </w:rPr>
        <w:t>forced</w:t>
      </w:r>
      <w:r w:rsidRPr="009070D8">
        <w:t xml:space="preserve"> migration. </w:t>
      </w:r>
      <w:r w:rsidR="003F6E44" w:rsidRPr="009070D8">
        <w:t xml:space="preserve">The </w:t>
      </w:r>
      <w:r w:rsidR="00057F98">
        <w:t>initial</w:t>
      </w:r>
      <w:r w:rsidR="00204CAA" w:rsidRPr="009070D8">
        <w:t xml:space="preserve"> </w:t>
      </w:r>
      <w:r w:rsidR="00C43A4C" w:rsidRPr="009070D8">
        <w:t xml:space="preserve">original </w:t>
      </w:r>
      <w:r w:rsidR="00204CAA" w:rsidRPr="009070D8">
        <w:t xml:space="preserve">contribution is </w:t>
      </w:r>
      <w:r w:rsidR="00E41CA8" w:rsidRPr="009070D8">
        <w:t xml:space="preserve">to </w:t>
      </w:r>
      <w:r w:rsidR="00204CAA" w:rsidRPr="009070D8">
        <w:t>forced migration as a field of enquiry</w:t>
      </w:r>
      <w:r w:rsidR="003F6E44" w:rsidRPr="009070D8">
        <w:t>, which is</w:t>
      </w:r>
      <w:r w:rsidR="00204CAA" w:rsidRPr="009070D8">
        <w:t xml:space="preserve"> </w:t>
      </w:r>
      <w:r w:rsidR="00E41CA8" w:rsidRPr="009070D8">
        <w:t xml:space="preserve">largely neglected </w:t>
      </w:r>
      <w:r w:rsidR="00204CAA" w:rsidRPr="009070D8">
        <w:t xml:space="preserve">within the economics of migration. </w:t>
      </w:r>
      <w:r w:rsidR="00E41CA8" w:rsidRPr="009070D8">
        <w:t>Secondly, it extends</w:t>
      </w:r>
      <w:r w:rsidR="00204CAA" w:rsidRPr="009070D8">
        <w:t xml:space="preserve"> the </w:t>
      </w:r>
      <w:r w:rsidR="000411F6" w:rsidRPr="009070D8">
        <w:t xml:space="preserve">literature </w:t>
      </w:r>
      <w:r w:rsidR="00542853" w:rsidRPr="009070D8">
        <w:t xml:space="preserve">analysing </w:t>
      </w:r>
      <w:r w:rsidR="00204CAA" w:rsidRPr="009070D8">
        <w:t>migration</w:t>
      </w:r>
      <w:r w:rsidR="00542853" w:rsidRPr="009070D8">
        <w:t xml:space="preserve"> effects on human capital formation in the home country</w:t>
      </w:r>
      <w:r w:rsidR="00204CAA" w:rsidRPr="009070D8">
        <w:t xml:space="preserve">. Previous studies have had to grapple with the potential </w:t>
      </w:r>
      <w:r w:rsidR="00204CAA" w:rsidRPr="009070D8">
        <w:rPr>
          <w:i/>
        </w:rPr>
        <w:t>endogeneity</w:t>
      </w:r>
      <w:r w:rsidR="00E42CF3" w:rsidRPr="009070D8">
        <w:t xml:space="preserve"> </w:t>
      </w:r>
      <w:r w:rsidR="00204CAA" w:rsidRPr="009070D8">
        <w:t>of household</w:t>
      </w:r>
      <w:r w:rsidR="009A7C5F" w:rsidRPr="009070D8">
        <w:t>s’</w:t>
      </w:r>
      <w:r w:rsidR="00204CAA" w:rsidRPr="009070D8">
        <w:t xml:space="preserve"> migration decisions </w:t>
      </w:r>
      <w:r w:rsidR="009A7C5F" w:rsidRPr="009070D8">
        <w:t>to decisions regarding the education of their children.</w:t>
      </w:r>
      <w:r w:rsidR="00C43A4C" w:rsidRPr="009070D8">
        <w:rPr>
          <w:rStyle w:val="EndnoteReference"/>
        </w:rPr>
        <w:endnoteReference w:id="1"/>
      </w:r>
      <w:r w:rsidR="009A7C5F" w:rsidRPr="009070D8">
        <w:t xml:space="preserve"> In contrast, in this study, the migration decision is a brutal and wholly </w:t>
      </w:r>
      <w:r w:rsidR="009A7C5F" w:rsidRPr="009070D8">
        <w:rPr>
          <w:i/>
        </w:rPr>
        <w:t>exogenous</w:t>
      </w:r>
      <w:r w:rsidR="009A7C5F" w:rsidRPr="009070D8">
        <w:t xml:space="preserve"> </w:t>
      </w:r>
      <w:r w:rsidR="00CB7360" w:rsidRPr="009070D8">
        <w:t xml:space="preserve">imposition </w:t>
      </w:r>
      <w:r w:rsidR="009A7C5F" w:rsidRPr="009070D8">
        <w:t>on households. Accordingly, this study approach</w:t>
      </w:r>
      <w:r w:rsidR="00332A2E" w:rsidRPr="009070D8">
        <w:t>es</w:t>
      </w:r>
      <w:r w:rsidR="009A7C5F" w:rsidRPr="009070D8">
        <w:t xml:space="preserve"> the human capital consequences of migration free of the difficulties confronting </w:t>
      </w:r>
      <w:r w:rsidR="00C43A4C" w:rsidRPr="009070D8">
        <w:t xml:space="preserve">the estimation of </w:t>
      </w:r>
      <w:r w:rsidR="009A7C5F" w:rsidRPr="009070D8">
        <w:t xml:space="preserve">instrumental </w:t>
      </w:r>
      <w:r w:rsidR="0053399E" w:rsidRPr="009070D8">
        <w:t>variables</w:t>
      </w:r>
      <w:r w:rsidR="009A7C5F" w:rsidRPr="009070D8">
        <w:t>.</w:t>
      </w:r>
      <w:r w:rsidR="008D6DE0" w:rsidRPr="009070D8">
        <w:rPr>
          <w:rStyle w:val="EndnoteReference"/>
        </w:rPr>
        <w:endnoteReference w:id="2"/>
      </w:r>
      <w:r w:rsidR="008D6DE0" w:rsidRPr="009070D8">
        <w:t xml:space="preserve"> In this sense, it offers an identification strategy akin to a natural experiment. </w:t>
      </w:r>
    </w:p>
    <w:p w14:paraId="4508FA06" w14:textId="57F7A240" w:rsidR="008D6DE0" w:rsidRPr="009070D8" w:rsidRDefault="008D6DE0" w:rsidP="00003759">
      <w:pPr>
        <w:spacing w:line="360" w:lineRule="auto"/>
        <w:ind w:firstLine="706"/>
        <w:jc w:val="both"/>
      </w:pPr>
      <w:r w:rsidRPr="009070D8">
        <w:t>The context of this study is forced migration arising from ethnic cleansing in Bosnia and Herzegovina (BiH) in the mid-1990s. Emigration from the Balkans</w:t>
      </w:r>
      <w:r w:rsidR="00FC06FB" w:rsidRPr="009070D8">
        <w:t xml:space="preserve"> has a long history</w:t>
      </w:r>
      <w:r w:rsidR="00FC06FB" w:rsidRPr="009070D8">
        <w:rPr>
          <w:rStyle w:val="EndnoteReference"/>
        </w:rPr>
        <w:endnoteReference w:id="3"/>
      </w:r>
      <w:r w:rsidRPr="009070D8">
        <w:t xml:space="preserve"> </w:t>
      </w:r>
      <w:r w:rsidR="00057F98">
        <w:t>and t</w:t>
      </w:r>
      <w:r w:rsidRPr="009070D8">
        <w:t xml:space="preserve">he region has traditionally been </w:t>
      </w:r>
      <w:r w:rsidR="00C43A4C" w:rsidRPr="009070D8">
        <w:t xml:space="preserve">a </w:t>
      </w:r>
      <w:r w:rsidRPr="009070D8">
        <w:t>source of migrants to Western Europe and the United States since the late nineteenth century. The temporary migration of labour intensified in the early 1960s, du</w:t>
      </w:r>
      <w:r w:rsidR="00C43A4C" w:rsidRPr="009070D8">
        <w:t>ring the implementation of the ‘Gastarbeiter’ (guest-worker)</w:t>
      </w:r>
      <w:r w:rsidRPr="009070D8">
        <w:t xml:space="preserve"> programme created by the governments of West Germany and Yugoslavia, offering temporary jobs in Germany to Yugoslav workers. Most recently, the dissolution of the former Yugoslavia and subsequent war in Bosnia-Herzegovina forced around 50 per cent of the total BiH population into migration. As a</w:t>
      </w:r>
      <w:r w:rsidR="00057F98">
        <w:t xml:space="preserve"> direct</w:t>
      </w:r>
      <w:r w:rsidRPr="009070D8">
        <w:t xml:space="preserve"> consequence, BiH is ranked as one of the leading countries in the world in terms of the size of its diaspora compared to the home country population</w:t>
      </w:r>
      <w:r w:rsidR="008C66AA">
        <w:t xml:space="preserve"> (between 40 and 50</w:t>
      </w:r>
      <w:r w:rsidR="005627B8">
        <w:t xml:space="preserve"> per cent</w:t>
      </w:r>
      <w:r w:rsidR="008C66AA">
        <w:t xml:space="preserve">, depending on </w:t>
      </w:r>
      <w:r w:rsidR="005627B8">
        <w:t>the</w:t>
      </w:r>
      <w:r w:rsidR="008C66AA">
        <w:t xml:space="preserve"> source)</w:t>
      </w:r>
      <w:r w:rsidRPr="009070D8">
        <w:t xml:space="preserve">, as well </w:t>
      </w:r>
      <w:r w:rsidR="00C43A4C" w:rsidRPr="009070D8">
        <w:t>as in terms of remittance</w:t>
      </w:r>
      <w:r w:rsidRPr="009070D8">
        <w:t xml:space="preserve"> inflows as a share of GDP</w:t>
      </w:r>
      <w:r w:rsidR="008C66AA">
        <w:t xml:space="preserve"> (11</w:t>
      </w:r>
      <w:r w:rsidR="005627B8">
        <w:t xml:space="preserve"> per cent</w:t>
      </w:r>
      <w:r w:rsidR="008C66AA">
        <w:t>)</w:t>
      </w:r>
      <w:r w:rsidRPr="009070D8">
        <w:t xml:space="preserve">. </w:t>
      </w:r>
      <w:r w:rsidR="00C43A4C" w:rsidRPr="009070D8">
        <w:t>I</w:t>
      </w:r>
      <w:r w:rsidRPr="009070D8">
        <w:t>n the mid-1990s, forced migrants</w:t>
      </w:r>
      <w:r w:rsidR="00057F98">
        <w:t>, defined as the need to relocate due to violence and/or the threat of violence</w:t>
      </w:r>
      <w:r w:rsidR="005627B8">
        <w:t>,</w:t>
      </w:r>
      <w:r w:rsidRPr="009070D8">
        <w:t xml:space="preserve"> came to account for around 75 per cent of the Bosnian diaspora and an eve</w:t>
      </w:r>
      <w:r w:rsidR="00FC06FB" w:rsidRPr="009070D8">
        <w:t>n greater share of remittances</w:t>
      </w:r>
      <w:r w:rsidR="00057F98">
        <w:t>. This has subsequently</w:t>
      </w:r>
      <w:r w:rsidRPr="009070D8">
        <w:t xml:space="preserve"> made up a large proportion of total income for m</w:t>
      </w:r>
      <w:r w:rsidR="00FC06FB" w:rsidRPr="009070D8">
        <w:t>any households in th</w:t>
      </w:r>
      <w:r w:rsidR="005627B8">
        <w:t>e</w:t>
      </w:r>
      <w:r w:rsidR="00FC06FB" w:rsidRPr="009070D8">
        <w:t xml:space="preserve"> country</w:t>
      </w:r>
      <w:r w:rsidR="00057F98">
        <w:t>.</w:t>
      </w:r>
      <w:r w:rsidRPr="009070D8">
        <w:t xml:space="preserve"> However, relatively little is known about the use and effect of remittances at the household level. This paper provides </w:t>
      </w:r>
      <w:r w:rsidR="00C43A4C" w:rsidRPr="009070D8">
        <w:t xml:space="preserve">specific </w:t>
      </w:r>
      <w:r w:rsidRPr="009070D8">
        <w:t xml:space="preserve">empirical evidence of the effect of remittances on </w:t>
      </w:r>
      <w:r w:rsidR="00C43A4C" w:rsidRPr="009070D8">
        <w:t xml:space="preserve">the </w:t>
      </w:r>
      <w:r w:rsidR="00526C14" w:rsidRPr="009070D8">
        <w:t>school enrolment of children</w:t>
      </w:r>
      <w:r w:rsidRPr="009070D8">
        <w:t>.</w:t>
      </w:r>
    </w:p>
    <w:p w14:paraId="7F9A5F5E" w14:textId="097ED8C7" w:rsidR="008D6DE0" w:rsidRPr="009070D8" w:rsidRDefault="008D6DE0" w:rsidP="009A3D8E">
      <w:pPr>
        <w:tabs>
          <w:tab w:val="left" w:pos="709"/>
        </w:tabs>
        <w:spacing w:line="360" w:lineRule="auto"/>
        <w:jc w:val="both"/>
      </w:pPr>
      <w:r w:rsidRPr="009070D8">
        <w:tab/>
        <w:t xml:space="preserve">As remittances are becoming the most important source of foreign capital for developing countries, </w:t>
      </w:r>
      <w:r w:rsidR="00C43A4C" w:rsidRPr="009070D8">
        <w:t>outstripping the scale of overseas development aid and foreign direct investment</w:t>
      </w:r>
      <w:r w:rsidR="00E26A9E">
        <w:t xml:space="preserve"> according to the official data of the BiH Central Bank</w:t>
      </w:r>
      <w:r w:rsidR="00C43A4C" w:rsidRPr="009070D8">
        <w:t xml:space="preserve">, </w:t>
      </w:r>
      <w:r w:rsidRPr="009070D8">
        <w:t>the</w:t>
      </w:r>
      <w:r w:rsidR="00057F98">
        <w:t xml:space="preserve">n the </w:t>
      </w:r>
      <w:r w:rsidRPr="009070D8">
        <w:t>issue of their effects at both the microeconomic and the macroeconomic level ha</w:t>
      </w:r>
      <w:r w:rsidR="005627B8">
        <w:t>s</w:t>
      </w:r>
      <w:r w:rsidRPr="009070D8">
        <w:t xml:space="preserve"> received </w:t>
      </w:r>
      <w:r w:rsidR="00C43A4C" w:rsidRPr="009070D8">
        <w:t xml:space="preserve">copious </w:t>
      </w:r>
      <w:r w:rsidRPr="009070D8">
        <w:t>attention from researchers in the area of migration studies. The literature on remittances has recently changed from its traditional focus on the</w:t>
      </w:r>
      <w:r w:rsidR="00C43A4C" w:rsidRPr="009070D8">
        <w:t xml:space="preserve"> motivation for remitting to</w:t>
      </w:r>
      <w:r w:rsidRPr="009070D8">
        <w:t xml:space="preserve"> analysis of the use of remittances. There are numerous studies that analyse the effect of remittances on different aspects of a remittance-receiving </w:t>
      </w:r>
      <w:r w:rsidR="00FC06FB" w:rsidRPr="009070D8">
        <w:t xml:space="preserve">economy, such as Funkhouser’s </w:t>
      </w:r>
      <w:r w:rsidRPr="009070D8">
        <w:t>study</w:t>
      </w:r>
      <w:r w:rsidR="00FC06FB" w:rsidRPr="009070D8">
        <w:rPr>
          <w:rStyle w:val="EndnoteReference"/>
        </w:rPr>
        <w:endnoteReference w:id="4"/>
      </w:r>
      <w:r w:rsidRPr="009070D8">
        <w:t xml:space="preserve"> </w:t>
      </w:r>
      <w:r w:rsidRPr="009070D8">
        <w:lastRenderedPageBreak/>
        <w:t xml:space="preserve">of the effect of remittances on the labour supply of remittance-receiving households in Nicaragua, </w:t>
      </w:r>
      <w:r w:rsidR="00E67385" w:rsidRPr="009070D8">
        <w:t xml:space="preserve">or </w:t>
      </w:r>
      <w:r w:rsidRPr="009070D8">
        <w:t>Chami et al.</w:t>
      </w:r>
      <w:r w:rsidR="00FC06FB" w:rsidRPr="009070D8">
        <w:t xml:space="preserve"> </w:t>
      </w:r>
      <w:r w:rsidRPr="009070D8">
        <w:t>on the effect of remittances on growth and product</w:t>
      </w:r>
      <w:r w:rsidR="00FC06FB" w:rsidRPr="009070D8">
        <w:t>ivity</w:t>
      </w:r>
      <w:r w:rsidR="00E67385" w:rsidRPr="009070D8">
        <w:t>.</w:t>
      </w:r>
      <w:r w:rsidR="00C43A4C" w:rsidRPr="009070D8">
        <w:rPr>
          <w:rStyle w:val="EndnoteReference"/>
        </w:rPr>
        <w:endnoteReference w:id="5"/>
      </w:r>
    </w:p>
    <w:p w14:paraId="60498605" w14:textId="0F89436B" w:rsidR="008D6DE0" w:rsidRPr="009070D8" w:rsidRDefault="008D6DE0" w:rsidP="00780F64">
      <w:pPr>
        <w:spacing w:line="360" w:lineRule="auto"/>
        <w:ind w:firstLine="360"/>
        <w:jc w:val="both"/>
      </w:pPr>
      <w:r w:rsidRPr="009070D8">
        <w:tab/>
        <w:t>Besides the research</w:t>
      </w:r>
      <w:r w:rsidR="00057F98">
        <w:t xml:space="preserve"> mentioned above</w:t>
      </w:r>
      <w:r w:rsidRPr="009070D8">
        <w:t>, an increasing number of studies analyse the effect of remittances on investments in human capital formati</w:t>
      </w:r>
      <w:r w:rsidR="002E0B5F" w:rsidRPr="009070D8">
        <w:t>on. The first empirical studies</w:t>
      </w:r>
      <w:r w:rsidRPr="009070D8">
        <w:t xml:space="preserve"> on the relationship between remittances and educational attainment simply related remit</w:t>
      </w:r>
      <w:r w:rsidR="00C43A4C" w:rsidRPr="009070D8">
        <w:t>tance</w:t>
      </w:r>
      <w:r w:rsidRPr="009070D8">
        <w:t xml:space="preserve"> receipts to the educational attainment of children and assigned any effect found to the remittances.</w:t>
      </w:r>
      <w:r w:rsidR="00C43A4C" w:rsidRPr="009070D8">
        <w:rPr>
          <w:rStyle w:val="EndnoteReference"/>
        </w:rPr>
        <w:endnoteReference w:id="6"/>
      </w:r>
      <w:r w:rsidRPr="009070D8">
        <w:t xml:space="preserve"> These studies argue</w:t>
      </w:r>
      <w:r w:rsidR="005627B8">
        <w:t>d</w:t>
      </w:r>
      <w:r w:rsidRPr="009070D8">
        <w:t xml:space="preserve"> that remittances positively influence households’ educational investment decisions through the relaxation of the liquidity constraint</w:t>
      </w:r>
      <w:r w:rsidRPr="009070D8">
        <w:rPr>
          <w:rStyle w:val="EndnoteReference"/>
        </w:rPr>
        <w:endnoteReference w:id="7"/>
      </w:r>
      <w:r w:rsidRPr="009070D8">
        <w:t xml:space="preserve"> and reducing children’s labour participation</w:t>
      </w:r>
      <w:r w:rsidR="00C43A4C" w:rsidRPr="009070D8">
        <w:t>.</w:t>
      </w:r>
      <w:r w:rsidR="002E0B5F" w:rsidRPr="009070D8">
        <w:rPr>
          <w:rStyle w:val="EndnoteReference"/>
        </w:rPr>
        <w:endnoteReference w:id="8"/>
      </w:r>
      <w:r w:rsidRPr="009070D8">
        <w:t xml:space="preserve"> In this context, remittances</w:t>
      </w:r>
      <w:r w:rsidR="00C43A4C" w:rsidRPr="009070D8">
        <w:t>,</w:t>
      </w:r>
      <w:r w:rsidRPr="009070D8">
        <w:t xml:space="preserve"> as an additional source of household income</w:t>
      </w:r>
      <w:r w:rsidR="00C43A4C" w:rsidRPr="009070D8">
        <w:t>,</w:t>
      </w:r>
      <w:r w:rsidRPr="009070D8">
        <w:t xml:space="preserve"> help to </w:t>
      </w:r>
      <w:r w:rsidR="005627B8">
        <w:t>provide additional disposable income</w:t>
      </w:r>
      <w:r w:rsidRPr="009070D8">
        <w:t xml:space="preserve">. </w:t>
      </w:r>
      <w:r w:rsidR="00057F98">
        <w:t>As a result, t</w:t>
      </w:r>
      <w:r w:rsidRPr="009070D8">
        <w:t>his</w:t>
      </w:r>
      <w:r w:rsidR="000D0578">
        <w:t xml:space="preserve"> </w:t>
      </w:r>
      <w:r w:rsidRPr="009070D8">
        <w:t xml:space="preserve">induces investment in </w:t>
      </w:r>
      <w:r w:rsidR="00E03E32" w:rsidRPr="009070D8">
        <w:t>children’s</w:t>
      </w:r>
      <w:r w:rsidRPr="009070D8">
        <w:t xml:space="preserve"> education leading to a positive relationship between remittances and </w:t>
      </w:r>
      <w:r w:rsidR="00E03E32" w:rsidRPr="009070D8">
        <w:t>children’s</w:t>
      </w:r>
      <w:r w:rsidRPr="009070D8">
        <w:t xml:space="preserve"> educational attainment and a negative relationship between remittances and child labour suppl</w:t>
      </w:r>
      <w:r w:rsidR="00C43A4C" w:rsidRPr="009070D8">
        <w:t>y. This result is known as the ‘income effect’</w:t>
      </w:r>
      <w:r w:rsidRPr="009070D8">
        <w:t xml:space="preserve">. </w:t>
      </w:r>
      <w:r w:rsidR="00057F98">
        <w:t>Nevertheless</w:t>
      </w:r>
      <w:r w:rsidRPr="009070D8">
        <w:t>, if household budget constraints are not binding, remittances should not have any significant e</w:t>
      </w:r>
      <w:r w:rsidR="002E0B5F" w:rsidRPr="009070D8">
        <w:t xml:space="preserve">ffect on education expenditures. </w:t>
      </w:r>
      <w:r w:rsidRPr="009070D8">
        <w:t xml:space="preserve">Consequently, if remittances are received by both households that face a budget constraint and </w:t>
      </w:r>
      <w:r w:rsidR="000D0578">
        <w:t>households</w:t>
      </w:r>
      <w:r w:rsidRPr="009070D8">
        <w:t xml:space="preserve"> not having such a constraint, as </w:t>
      </w:r>
      <w:r w:rsidR="005627B8">
        <w:t xml:space="preserve">potentially </w:t>
      </w:r>
      <w:r w:rsidRPr="009070D8">
        <w:t xml:space="preserve">in the case of BiH, then </w:t>
      </w:r>
      <w:r w:rsidR="000D0578">
        <w:t>an</w:t>
      </w:r>
      <w:r w:rsidR="000D0578" w:rsidRPr="009070D8">
        <w:t xml:space="preserve"> </w:t>
      </w:r>
      <w:r w:rsidRPr="009070D8">
        <w:t xml:space="preserve">empirical specification that </w:t>
      </w:r>
      <w:r w:rsidR="00C43A4C" w:rsidRPr="009070D8">
        <w:t>does adequately distinguish</w:t>
      </w:r>
      <w:r w:rsidRPr="009070D8">
        <w:t xml:space="preserve"> betwe</w:t>
      </w:r>
      <w:r w:rsidR="00C43A4C" w:rsidRPr="009070D8">
        <w:t>en these two types of household</w:t>
      </w:r>
      <w:r w:rsidRPr="009070D8">
        <w:t xml:space="preserve"> will likely yield an insignificant effect of remittances on education. </w:t>
      </w:r>
      <w:r w:rsidR="000D0578">
        <w:t>In addition, m</w:t>
      </w:r>
      <w:r w:rsidRPr="009070D8">
        <w:t>ore recent studies attempt to control for parental absence effects, besides the effect of relaxation of liquidity constraints.</w:t>
      </w:r>
      <w:r w:rsidR="00E67385" w:rsidRPr="009070D8">
        <w:rPr>
          <w:rStyle w:val="EndnoteReference"/>
        </w:rPr>
        <w:endnoteReference w:id="9"/>
      </w:r>
      <w:r w:rsidRPr="009070D8">
        <w:t xml:space="preserve"> This </w:t>
      </w:r>
      <w:r w:rsidR="00057F98">
        <w:t xml:space="preserve">specific </w:t>
      </w:r>
      <w:r w:rsidRPr="009070D8">
        <w:t>effect of remittances, which arises from the effect of a p</w:t>
      </w:r>
      <w:r w:rsidR="00C43A4C" w:rsidRPr="009070D8">
        <w:t>arent’s absence, is termed the ‘disruption effect’</w:t>
      </w:r>
      <w:r w:rsidRPr="009070D8">
        <w:t>.</w:t>
      </w:r>
      <w:r w:rsidR="002E0B5F" w:rsidRPr="009070D8">
        <w:rPr>
          <w:rStyle w:val="EndnoteReference"/>
        </w:rPr>
        <w:endnoteReference w:id="10"/>
      </w:r>
    </w:p>
    <w:p w14:paraId="7FA744CE" w14:textId="5E45BA50" w:rsidR="008D6DE0" w:rsidRPr="009070D8" w:rsidRDefault="008D6DE0" w:rsidP="009A3D8E">
      <w:pPr>
        <w:tabs>
          <w:tab w:val="left" w:pos="709"/>
        </w:tabs>
        <w:spacing w:line="360" w:lineRule="auto"/>
        <w:jc w:val="both"/>
      </w:pPr>
      <w:r w:rsidRPr="009070D8">
        <w:tab/>
        <w:t>The evidence on the effect of remittances on the educational attainment of children is mixed</w:t>
      </w:r>
      <w:r w:rsidR="00DA1C0C">
        <w:t>,</w:t>
      </w:r>
      <w:r w:rsidRPr="009070D8">
        <w:t xml:space="preserve"> and depends on the approa</w:t>
      </w:r>
      <w:r w:rsidR="002E0B5F" w:rsidRPr="009070D8">
        <w:t>ch</w:t>
      </w:r>
      <w:r w:rsidR="00DA1C0C">
        <w:t xml:space="preserve"> taken by researchers to the analysis</w:t>
      </w:r>
      <w:r w:rsidR="002E0B5F" w:rsidRPr="009070D8">
        <w:t>. Several studies</w:t>
      </w:r>
      <w:r w:rsidRPr="009070D8">
        <w:t xml:space="preserve"> found a positive relationship between remittance receipt</w:t>
      </w:r>
      <w:r w:rsidR="00C43A4C" w:rsidRPr="009070D8">
        <w:t>s</w:t>
      </w:r>
      <w:r w:rsidRPr="009070D8">
        <w:t xml:space="preserve"> and educational enro</w:t>
      </w:r>
      <w:r w:rsidR="00565D92" w:rsidRPr="009070D8">
        <w:t>lment.</w:t>
      </w:r>
      <w:r w:rsidR="00C43A4C" w:rsidRPr="009070D8">
        <w:rPr>
          <w:rStyle w:val="EndnoteReference"/>
        </w:rPr>
        <w:endnoteReference w:id="11"/>
      </w:r>
      <w:r w:rsidR="00565D92" w:rsidRPr="009070D8">
        <w:t xml:space="preserve"> </w:t>
      </w:r>
      <w:r w:rsidRPr="009070D8">
        <w:t>Alternatively, some studies found no significant effect of remittances on education, while accounting for the effect of migration of parents. Moreover, several studies</w:t>
      </w:r>
      <w:r w:rsidR="00E67385" w:rsidRPr="009070D8">
        <w:t xml:space="preserve"> </w:t>
      </w:r>
      <w:r w:rsidRPr="009070D8">
        <w:t>controlled for the gender of a child and found that the effect is more significant for female children,</w:t>
      </w:r>
      <w:r w:rsidR="00C43A4C" w:rsidRPr="009070D8">
        <w:rPr>
          <w:rStyle w:val="EndnoteReference"/>
        </w:rPr>
        <w:endnoteReference w:id="12"/>
      </w:r>
      <w:r w:rsidRPr="009070D8">
        <w:t xml:space="preserve"> while other studies found no significant differ</w:t>
      </w:r>
      <w:r w:rsidR="002E0B5F" w:rsidRPr="009070D8">
        <w:t>ence between</w:t>
      </w:r>
      <w:r w:rsidR="005627B8">
        <w:t xml:space="preserve"> the</w:t>
      </w:r>
      <w:r w:rsidR="002E0B5F" w:rsidRPr="009070D8">
        <w:t xml:space="preserve"> genders of pupils</w:t>
      </w:r>
      <w:r w:rsidRPr="009070D8">
        <w:t>.</w:t>
      </w:r>
      <w:r w:rsidR="00C43A4C" w:rsidRPr="009070D8">
        <w:rPr>
          <w:rStyle w:val="EndnoteReference"/>
        </w:rPr>
        <w:endnoteReference w:id="13"/>
      </w:r>
      <w:r w:rsidRPr="009070D8">
        <w:t xml:space="preserve"> This </w:t>
      </w:r>
      <w:r w:rsidR="005627B8">
        <w:t>focus</w:t>
      </w:r>
      <w:r w:rsidR="000F765E">
        <w:t xml:space="preserve">ed </w:t>
      </w:r>
      <w:r w:rsidRPr="009070D8">
        <w:t xml:space="preserve">review of the literature suggests that the results are sensitive to </w:t>
      </w:r>
      <w:r w:rsidR="00626584">
        <w:t xml:space="preserve">the </w:t>
      </w:r>
      <w:r w:rsidRPr="009070D8">
        <w:t xml:space="preserve">model specification (i.e. whether the model controls for </w:t>
      </w:r>
      <w:r w:rsidR="00626584">
        <w:t xml:space="preserve">the </w:t>
      </w:r>
      <w:r w:rsidRPr="009070D8">
        <w:t xml:space="preserve">type of </w:t>
      </w:r>
      <w:r w:rsidR="00626584">
        <w:t>the</w:t>
      </w:r>
      <w:r w:rsidR="00626584" w:rsidRPr="009070D8">
        <w:t xml:space="preserve"> </w:t>
      </w:r>
      <w:r w:rsidRPr="009070D8">
        <w:t xml:space="preserve">household </w:t>
      </w:r>
      <w:r w:rsidR="00626584">
        <w:t>according to its</w:t>
      </w:r>
      <w:r w:rsidRPr="009070D8">
        <w:t xml:space="preserve"> budget constraint), </w:t>
      </w:r>
      <w:r w:rsidR="00626584">
        <w:t xml:space="preserve">the </w:t>
      </w:r>
      <w:r w:rsidRPr="009070D8">
        <w:t>data used (i.e. whether migration is an endogenous decision or not)</w:t>
      </w:r>
      <w:r w:rsidR="00C43A4C" w:rsidRPr="009070D8">
        <w:t>,</w:t>
      </w:r>
      <w:r w:rsidRPr="009070D8">
        <w:t xml:space="preserve"> and the country analysed. This paper provides the first empirical evidence for BiH, addressing the issues of model specification (using income quintiles to distinguish between budget</w:t>
      </w:r>
      <w:r w:rsidR="005627B8">
        <w:t>-</w:t>
      </w:r>
      <w:r w:rsidRPr="009070D8">
        <w:t xml:space="preserve">constrained households and </w:t>
      </w:r>
      <w:r w:rsidR="00626584">
        <w:t>those</w:t>
      </w:r>
      <w:r w:rsidRPr="009070D8">
        <w:t xml:space="preserve"> that are not constrained) and </w:t>
      </w:r>
      <w:r w:rsidR="00C43A4C" w:rsidRPr="009070D8">
        <w:t xml:space="preserve">of </w:t>
      </w:r>
      <w:r w:rsidRPr="009070D8">
        <w:t>the data used (by using data about forced migrants, where the migration decision is exogenously determined).</w:t>
      </w:r>
    </w:p>
    <w:p w14:paraId="4F078E9E" w14:textId="081672AE" w:rsidR="008D6DE0" w:rsidRPr="009070D8" w:rsidRDefault="008D6DE0" w:rsidP="009A3D8E">
      <w:pPr>
        <w:tabs>
          <w:tab w:val="left" w:pos="709"/>
        </w:tabs>
        <w:spacing w:line="360" w:lineRule="auto"/>
        <w:jc w:val="both"/>
      </w:pPr>
      <w:r w:rsidRPr="009070D8">
        <w:lastRenderedPageBreak/>
        <w:tab/>
        <w:t>Th</w:t>
      </w:r>
      <w:r w:rsidR="000F765E">
        <w:t>erefore</w:t>
      </w:r>
      <w:r w:rsidR="00192760">
        <w:t>,</w:t>
      </w:r>
      <w:r w:rsidR="000F765E">
        <w:t xml:space="preserve"> th</w:t>
      </w:r>
      <w:r w:rsidRPr="009070D8">
        <w:t xml:space="preserve">is paper makes three important contributions to the empirical study of the relationship between migration and human capital formation in sending countries. First, it investigates the effects of remittances on human capital formation in a country affected by </w:t>
      </w:r>
      <w:r w:rsidRPr="009070D8">
        <w:rPr>
          <w:i/>
        </w:rPr>
        <w:t>forced</w:t>
      </w:r>
      <w:r w:rsidRPr="009070D8">
        <w:t xml:space="preserve"> migration, which allows us to assume </w:t>
      </w:r>
      <w:r w:rsidRPr="009070D8">
        <w:rPr>
          <w:i/>
        </w:rPr>
        <w:t>exogeneity</w:t>
      </w:r>
      <w:r w:rsidRPr="009070D8">
        <w:t xml:space="preserve"> of the migration decision. Second, it introduces a </w:t>
      </w:r>
      <w:r w:rsidRPr="009070D8">
        <w:rPr>
          <w:i/>
        </w:rPr>
        <w:t>new model specification</w:t>
      </w:r>
      <w:r w:rsidRPr="009070D8">
        <w:t xml:space="preserve">, whereby interactions between the receipt of remittances and income quintiles are used to identify the </w:t>
      </w:r>
      <w:r w:rsidR="00192760">
        <w:t xml:space="preserve">effect of </w:t>
      </w:r>
      <w:r w:rsidRPr="009070D8">
        <w:t>liquidity constraint</w:t>
      </w:r>
      <w:r w:rsidR="00192760">
        <w:t>s</w:t>
      </w:r>
      <w:r w:rsidRPr="009070D8">
        <w:t xml:space="preserve">, as theoretically described. Finally, it uses equivalence scales for measuring </w:t>
      </w:r>
      <w:r w:rsidRPr="009070D8">
        <w:rPr>
          <w:i/>
        </w:rPr>
        <w:t>per child</w:t>
      </w:r>
      <w:r w:rsidRPr="009070D8">
        <w:t xml:space="preserve"> household consumption of education more precisely.</w:t>
      </w:r>
    </w:p>
    <w:p w14:paraId="0B732D8E" w14:textId="76A47B41" w:rsidR="008D6DE0" w:rsidRPr="009070D8" w:rsidRDefault="008D6DE0" w:rsidP="005F7510">
      <w:pPr>
        <w:spacing w:line="360" w:lineRule="auto"/>
        <w:ind w:firstLine="720"/>
        <w:jc w:val="both"/>
      </w:pPr>
      <w:r w:rsidRPr="009070D8">
        <w:t xml:space="preserve">The paper is structured as follows. The next section describes briefly </w:t>
      </w:r>
      <w:r w:rsidR="00C43A4C" w:rsidRPr="009070D8">
        <w:t xml:space="preserve">the scenarios of </w:t>
      </w:r>
      <w:r w:rsidRPr="009070D8">
        <w:t xml:space="preserve">education and remittances in Bosnia-Herzegovina in order to provide necessary background for the study. The </w:t>
      </w:r>
      <w:r w:rsidR="00C43A4C" w:rsidRPr="009070D8">
        <w:t>subsequent</w:t>
      </w:r>
      <w:r w:rsidRPr="009070D8">
        <w:t xml:space="preserve"> section </w:t>
      </w:r>
      <w:r w:rsidR="00C43A4C" w:rsidRPr="009070D8">
        <w:t>presents</w:t>
      </w:r>
      <w:r w:rsidRPr="009070D8">
        <w:t xml:space="preserve"> a short theoretical discussion of the relationship be</w:t>
      </w:r>
      <w:r w:rsidR="00C43A4C" w:rsidRPr="009070D8">
        <w:t>tween remittances and education.</w:t>
      </w:r>
      <w:r w:rsidRPr="009070D8">
        <w:t xml:space="preserve"> </w:t>
      </w:r>
      <w:r w:rsidR="00C43A4C" w:rsidRPr="009070D8">
        <w:t>Then, we describe</w:t>
      </w:r>
      <w:r w:rsidRPr="009070D8">
        <w:t xml:space="preserve"> our empirical model and estimation strategy</w:t>
      </w:r>
      <w:r w:rsidR="00C43A4C" w:rsidRPr="009070D8">
        <w:t>, followed by</w:t>
      </w:r>
      <w:r w:rsidRPr="009070D8">
        <w:t xml:space="preserve"> the results of the empirical analysis.  The final section presents the conclusions.</w:t>
      </w:r>
    </w:p>
    <w:p w14:paraId="719565E6" w14:textId="091C946D" w:rsidR="008D6DE0" w:rsidRPr="009070D8" w:rsidRDefault="008D6DE0" w:rsidP="00991699">
      <w:pPr>
        <w:pStyle w:val="Heading1"/>
        <w:keepLines/>
        <w:spacing w:before="480" w:after="0"/>
        <w:jc w:val="both"/>
        <w:rPr>
          <w:color w:val="auto"/>
        </w:rPr>
      </w:pPr>
      <w:r w:rsidRPr="009070D8">
        <w:rPr>
          <w:color w:val="auto"/>
        </w:rPr>
        <w:t xml:space="preserve">Background: remittances and education in Bosnia-Herzegovina </w:t>
      </w:r>
    </w:p>
    <w:p w14:paraId="6FF71FEF" w14:textId="5DFED6E1" w:rsidR="008D6DE0" w:rsidRPr="009070D8" w:rsidRDefault="008D6DE0" w:rsidP="00991699">
      <w:pPr>
        <w:spacing w:line="360" w:lineRule="auto"/>
        <w:jc w:val="both"/>
      </w:pPr>
      <w:r w:rsidRPr="009070D8">
        <w:t>Bosnia-Herzegovina is ranked 23</w:t>
      </w:r>
      <w:r w:rsidRPr="009070D8">
        <w:rPr>
          <w:vertAlign w:val="superscript"/>
        </w:rPr>
        <w:t>rd</w:t>
      </w:r>
      <w:r w:rsidRPr="009070D8">
        <w:t xml:space="preserve"> in the world in terms of receiving remittances as a share of GDP. The remittances amount to more than 2 billion Euros annually, which is around 11</w:t>
      </w:r>
      <w:r w:rsidR="005627B8">
        <w:t xml:space="preserve"> per cent</w:t>
      </w:r>
      <w:r w:rsidRPr="009070D8">
        <w:t xml:space="preserve"> of Bosnian GDP.</w:t>
      </w:r>
      <w:r w:rsidR="00C43A4C" w:rsidRPr="009070D8">
        <w:rPr>
          <w:rStyle w:val="EndnoteReference"/>
        </w:rPr>
        <w:endnoteReference w:id="14"/>
      </w:r>
      <w:r w:rsidRPr="009070D8">
        <w:t xml:space="preserve"> Moreover, remittances represent the most significant inflow to BiH, as they were six times larger than </w:t>
      </w:r>
      <w:r w:rsidR="00DA345A" w:rsidRPr="009070D8">
        <w:t>foreign direct investment</w:t>
      </w:r>
      <w:r w:rsidRPr="009070D8">
        <w:t xml:space="preserve"> and three times larger than development assistance to this co</w:t>
      </w:r>
      <w:r w:rsidR="00DA345A" w:rsidRPr="009070D8">
        <w:t>untry in 2017. These remittance</w:t>
      </w:r>
      <w:r w:rsidRPr="009070D8">
        <w:t xml:space="preserve"> inflows are a significant source of income for a large proportion of the BiH population. The data from the </w:t>
      </w:r>
      <w:r w:rsidR="008C754D" w:rsidRPr="009070D8">
        <w:t>2004</w:t>
      </w:r>
      <w:r w:rsidR="00372186" w:rsidRPr="009070D8">
        <w:t xml:space="preserve"> </w:t>
      </w:r>
      <w:r w:rsidRPr="009070D8">
        <w:t xml:space="preserve">round of the </w:t>
      </w:r>
      <w:r w:rsidR="00E42CF3" w:rsidRPr="009070D8">
        <w:t xml:space="preserve">Living in </w:t>
      </w:r>
      <w:r w:rsidRPr="009070D8">
        <w:t xml:space="preserve">BiH survey </w:t>
      </w:r>
      <w:r w:rsidR="00E42CF3" w:rsidRPr="009070D8">
        <w:t>(LBiH</w:t>
      </w:r>
      <w:r w:rsidRPr="009070D8">
        <w:t>) were used to analyse the effect of remittances on poverty and inequality, showing that approximately one third of households in Bosnia-Herzegovina receive remittances.</w:t>
      </w:r>
      <w:r w:rsidR="00DA345A" w:rsidRPr="009070D8">
        <w:rPr>
          <w:rStyle w:val="EndnoteReference"/>
        </w:rPr>
        <w:endnoteReference w:id="15"/>
      </w:r>
      <w:r w:rsidRPr="009070D8">
        <w:t xml:space="preserve"> The average value of remittances rece</w:t>
      </w:r>
      <w:r w:rsidR="001D55E4" w:rsidRPr="009070D8">
        <w:t>ived is about 100 KM per month.</w:t>
      </w:r>
      <w:r w:rsidR="00DA345A" w:rsidRPr="009070D8">
        <w:rPr>
          <w:rStyle w:val="EndnoteReference"/>
        </w:rPr>
        <w:endnoteReference w:id="16"/>
      </w:r>
    </w:p>
    <w:p w14:paraId="79B05B7A" w14:textId="77777777" w:rsidR="00003759" w:rsidRPr="009070D8" w:rsidRDefault="00003759" w:rsidP="00003759">
      <w:pPr>
        <w:spacing w:line="360" w:lineRule="auto"/>
        <w:ind w:firstLine="720"/>
        <w:jc w:val="both"/>
      </w:pPr>
    </w:p>
    <w:p w14:paraId="30413849" w14:textId="77777777" w:rsidR="00003759" w:rsidRPr="009070D8" w:rsidRDefault="00003759" w:rsidP="00003759">
      <w:pPr>
        <w:spacing w:line="360" w:lineRule="auto"/>
        <w:jc w:val="center"/>
      </w:pPr>
      <w:r w:rsidRPr="009070D8">
        <w:t>Table 1: Share of households receiving remittances by category (N=7,702)</w:t>
      </w:r>
    </w:p>
    <w:tbl>
      <w:tblPr>
        <w:tblW w:w="9781" w:type="dxa"/>
        <w:jc w:val="center"/>
        <w:tblBorders>
          <w:top w:val="single" w:sz="4" w:space="0" w:color="auto"/>
          <w:bottom w:val="single" w:sz="4" w:space="0" w:color="auto"/>
        </w:tblBorders>
        <w:tblLook w:val="04A0" w:firstRow="1" w:lastRow="0" w:firstColumn="1" w:lastColumn="0" w:noHBand="0" w:noVBand="1"/>
      </w:tblPr>
      <w:tblGrid>
        <w:gridCol w:w="3119"/>
        <w:gridCol w:w="3185"/>
        <w:gridCol w:w="3477"/>
      </w:tblGrid>
      <w:tr w:rsidR="00003759" w:rsidRPr="009070D8" w14:paraId="59023A13" w14:textId="77777777" w:rsidTr="002A379F">
        <w:trPr>
          <w:trHeight w:val="778"/>
          <w:jc w:val="center"/>
        </w:trPr>
        <w:tc>
          <w:tcPr>
            <w:tcW w:w="3119" w:type="dxa"/>
            <w:tcBorders>
              <w:top w:val="single" w:sz="4" w:space="0" w:color="auto"/>
              <w:bottom w:val="thinThickSmallGap" w:sz="24" w:space="0" w:color="auto"/>
            </w:tcBorders>
            <w:noWrap/>
          </w:tcPr>
          <w:p w14:paraId="51192009" w14:textId="77777777" w:rsidR="00003759" w:rsidRPr="009070D8" w:rsidRDefault="00003759" w:rsidP="00A37DC3">
            <w:pPr>
              <w:jc w:val="center"/>
            </w:pPr>
            <w:r w:rsidRPr="009070D8">
              <w:t>Criteria</w:t>
            </w:r>
          </w:p>
        </w:tc>
        <w:tc>
          <w:tcPr>
            <w:tcW w:w="3185" w:type="dxa"/>
            <w:tcBorders>
              <w:top w:val="single" w:sz="4" w:space="0" w:color="auto"/>
              <w:bottom w:val="thinThickSmallGap" w:sz="24" w:space="0" w:color="auto"/>
            </w:tcBorders>
            <w:noWrap/>
          </w:tcPr>
          <w:p w14:paraId="4BEED91A" w14:textId="77777777" w:rsidR="00003759" w:rsidRPr="009070D8" w:rsidRDefault="00003759" w:rsidP="00A37DC3">
            <w:pPr>
              <w:jc w:val="center"/>
            </w:pPr>
            <w:r w:rsidRPr="009070D8">
              <w:t>Recipients (% of the sample)</w:t>
            </w:r>
          </w:p>
        </w:tc>
        <w:tc>
          <w:tcPr>
            <w:tcW w:w="3477" w:type="dxa"/>
            <w:tcBorders>
              <w:top w:val="single" w:sz="4" w:space="0" w:color="auto"/>
              <w:bottom w:val="thinThickSmallGap" w:sz="24" w:space="0" w:color="auto"/>
            </w:tcBorders>
            <w:noWrap/>
          </w:tcPr>
          <w:p w14:paraId="250BA080" w14:textId="77777777" w:rsidR="00003759" w:rsidRPr="009070D8" w:rsidRDefault="00003759" w:rsidP="00A37DC3">
            <w:pPr>
              <w:jc w:val="center"/>
            </w:pPr>
            <w:r w:rsidRPr="009070D8">
              <w:t>Average amount received</w:t>
            </w:r>
          </w:p>
          <w:p w14:paraId="3EB24B5E" w14:textId="44E98148" w:rsidR="00003759" w:rsidRPr="009070D8" w:rsidRDefault="00003759" w:rsidP="00003759">
            <w:pPr>
              <w:jc w:val="center"/>
            </w:pPr>
            <w:r w:rsidRPr="009070D8">
              <w:t>per month (KM)</w:t>
            </w:r>
          </w:p>
        </w:tc>
      </w:tr>
      <w:tr w:rsidR="00003759" w:rsidRPr="009070D8" w14:paraId="1720F8DD" w14:textId="77777777" w:rsidTr="002A379F">
        <w:trPr>
          <w:trHeight w:val="300"/>
          <w:jc w:val="center"/>
        </w:trPr>
        <w:tc>
          <w:tcPr>
            <w:tcW w:w="3119" w:type="dxa"/>
            <w:tcBorders>
              <w:top w:val="thinThickSmallGap" w:sz="24" w:space="0" w:color="auto"/>
            </w:tcBorders>
            <w:noWrap/>
          </w:tcPr>
          <w:p w14:paraId="457ADE71" w14:textId="77777777" w:rsidR="00003759" w:rsidRPr="009070D8" w:rsidRDefault="00003759" w:rsidP="00A37DC3">
            <w:r w:rsidRPr="009070D8">
              <w:t>All</w:t>
            </w:r>
          </w:p>
        </w:tc>
        <w:tc>
          <w:tcPr>
            <w:tcW w:w="3185" w:type="dxa"/>
            <w:tcBorders>
              <w:top w:val="thinThickSmallGap" w:sz="24" w:space="0" w:color="auto"/>
            </w:tcBorders>
            <w:noWrap/>
          </w:tcPr>
          <w:p w14:paraId="15B47257" w14:textId="77777777" w:rsidR="00003759" w:rsidRPr="009070D8" w:rsidRDefault="00003759" w:rsidP="00A37DC3">
            <w:pPr>
              <w:jc w:val="center"/>
            </w:pPr>
            <w:r w:rsidRPr="009070D8">
              <w:t>33.5</w:t>
            </w:r>
          </w:p>
        </w:tc>
        <w:tc>
          <w:tcPr>
            <w:tcW w:w="3477" w:type="dxa"/>
            <w:tcBorders>
              <w:top w:val="thinThickSmallGap" w:sz="24" w:space="0" w:color="auto"/>
            </w:tcBorders>
            <w:noWrap/>
          </w:tcPr>
          <w:p w14:paraId="46932C8D" w14:textId="77777777" w:rsidR="00003759" w:rsidRPr="009070D8" w:rsidRDefault="00003759" w:rsidP="002A379F">
            <w:pPr>
              <w:ind w:right="1168"/>
              <w:jc w:val="right"/>
            </w:pPr>
            <w:r w:rsidRPr="009070D8">
              <w:t>100.54</w:t>
            </w:r>
          </w:p>
        </w:tc>
      </w:tr>
      <w:tr w:rsidR="00003759" w:rsidRPr="009070D8" w14:paraId="4EB9A39E" w14:textId="77777777" w:rsidTr="002A379F">
        <w:trPr>
          <w:trHeight w:val="300"/>
          <w:jc w:val="center"/>
        </w:trPr>
        <w:tc>
          <w:tcPr>
            <w:tcW w:w="3119" w:type="dxa"/>
            <w:noWrap/>
          </w:tcPr>
          <w:p w14:paraId="66F7EF61" w14:textId="77777777" w:rsidR="00003759" w:rsidRPr="009070D8" w:rsidRDefault="00003759" w:rsidP="00A37DC3">
            <w:r w:rsidRPr="009070D8">
              <w:t>Poor</w:t>
            </w:r>
          </w:p>
        </w:tc>
        <w:tc>
          <w:tcPr>
            <w:tcW w:w="3185" w:type="dxa"/>
            <w:noWrap/>
          </w:tcPr>
          <w:p w14:paraId="50A745D0" w14:textId="77777777" w:rsidR="00003759" w:rsidRPr="009070D8" w:rsidRDefault="00003759" w:rsidP="00A37DC3">
            <w:pPr>
              <w:jc w:val="center"/>
            </w:pPr>
            <w:r w:rsidRPr="009070D8">
              <w:t>28.3</w:t>
            </w:r>
          </w:p>
        </w:tc>
        <w:tc>
          <w:tcPr>
            <w:tcW w:w="3477" w:type="dxa"/>
            <w:noWrap/>
          </w:tcPr>
          <w:p w14:paraId="3C2E13C8" w14:textId="77777777" w:rsidR="00003759" w:rsidRPr="009070D8" w:rsidRDefault="00003759" w:rsidP="002A379F">
            <w:pPr>
              <w:ind w:right="1168"/>
              <w:jc w:val="right"/>
            </w:pPr>
            <w:r w:rsidRPr="009070D8">
              <w:t>52.98</w:t>
            </w:r>
          </w:p>
        </w:tc>
      </w:tr>
      <w:tr w:rsidR="00003759" w:rsidRPr="009070D8" w14:paraId="678130A2" w14:textId="77777777" w:rsidTr="002A379F">
        <w:trPr>
          <w:trHeight w:val="300"/>
          <w:jc w:val="center"/>
        </w:trPr>
        <w:tc>
          <w:tcPr>
            <w:tcW w:w="3119" w:type="dxa"/>
            <w:noWrap/>
          </w:tcPr>
          <w:p w14:paraId="42C6B492" w14:textId="77777777" w:rsidR="00003759" w:rsidRPr="009070D8" w:rsidRDefault="00003759" w:rsidP="00A37DC3">
            <w:r w:rsidRPr="009070D8">
              <w:t>Non-poor</w:t>
            </w:r>
          </w:p>
        </w:tc>
        <w:tc>
          <w:tcPr>
            <w:tcW w:w="3185" w:type="dxa"/>
            <w:noWrap/>
          </w:tcPr>
          <w:p w14:paraId="5C0A2C83" w14:textId="77777777" w:rsidR="00003759" w:rsidRPr="009070D8" w:rsidRDefault="00003759" w:rsidP="00A37DC3">
            <w:pPr>
              <w:jc w:val="center"/>
            </w:pPr>
            <w:r w:rsidRPr="009070D8">
              <w:t>34.3</w:t>
            </w:r>
          </w:p>
        </w:tc>
        <w:tc>
          <w:tcPr>
            <w:tcW w:w="3477" w:type="dxa"/>
            <w:noWrap/>
          </w:tcPr>
          <w:p w14:paraId="0D5A97E0" w14:textId="77777777" w:rsidR="00003759" w:rsidRPr="009070D8" w:rsidRDefault="00003759" w:rsidP="002A379F">
            <w:pPr>
              <w:ind w:right="1168"/>
              <w:jc w:val="right"/>
            </w:pPr>
            <w:r w:rsidRPr="009070D8">
              <w:t>105.98</w:t>
            </w:r>
          </w:p>
        </w:tc>
      </w:tr>
      <w:tr w:rsidR="00003759" w:rsidRPr="009070D8" w14:paraId="398C7855" w14:textId="77777777" w:rsidTr="002A379F">
        <w:trPr>
          <w:trHeight w:val="300"/>
          <w:jc w:val="center"/>
        </w:trPr>
        <w:tc>
          <w:tcPr>
            <w:tcW w:w="3119" w:type="dxa"/>
            <w:noWrap/>
          </w:tcPr>
          <w:p w14:paraId="6233A2E5" w14:textId="77777777" w:rsidR="00003759" w:rsidRPr="009070D8" w:rsidRDefault="00003759" w:rsidP="00A37DC3">
            <w:r w:rsidRPr="009070D8">
              <w:t>Head of Household</w:t>
            </w:r>
          </w:p>
        </w:tc>
        <w:tc>
          <w:tcPr>
            <w:tcW w:w="3185" w:type="dxa"/>
            <w:noWrap/>
          </w:tcPr>
          <w:p w14:paraId="71FD288B" w14:textId="77777777" w:rsidR="00003759" w:rsidRPr="009070D8" w:rsidRDefault="00003759" w:rsidP="00A37DC3">
            <w:pPr>
              <w:jc w:val="center"/>
            </w:pPr>
          </w:p>
        </w:tc>
        <w:tc>
          <w:tcPr>
            <w:tcW w:w="3477" w:type="dxa"/>
            <w:noWrap/>
          </w:tcPr>
          <w:p w14:paraId="18095848" w14:textId="77777777" w:rsidR="00003759" w:rsidRPr="009070D8" w:rsidRDefault="00003759" w:rsidP="002A379F">
            <w:pPr>
              <w:ind w:right="1168"/>
              <w:jc w:val="right"/>
            </w:pPr>
          </w:p>
        </w:tc>
      </w:tr>
      <w:tr w:rsidR="00003759" w:rsidRPr="009070D8" w14:paraId="4332CF3D" w14:textId="77777777" w:rsidTr="002A379F">
        <w:trPr>
          <w:trHeight w:val="300"/>
          <w:jc w:val="center"/>
        </w:trPr>
        <w:tc>
          <w:tcPr>
            <w:tcW w:w="3119" w:type="dxa"/>
            <w:noWrap/>
          </w:tcPr>
          <w:p w14:paraId="5CF114DE" w14:textId="77777777" w:rsidR="00003759" w:rsidRPr="009070D8" w:rsidRDefault="00003759" w:rsidP="006C13ED">
            <w:pPr>
              <w:pStyle w:val="ListParagraph"/>
              <w:numPr>
                <w:ilvl w:val="0"/>
                <w:numId w:val="1"/>
              </w:numPr>
            </w:pPr>
            <w:r w:rsidRPr="009070D8">
              <w:t>Primary education</w:t>
            </w:r>
          </w:p>
        </w:tc>
        <w:tc>
          <w:tcPr>
            <w:tcW w:w="3185" w:type="dxa"/>
            <w:noWrap/>
          </w:tcPr>
          <w:p w14:paraId="27BA6723" w14:textId="77777777" w:rsidR="00003759" w:rsidRPr="009070D8" w:rsidRDefault="00003759" w:rsidP="00A37DC3">
            <w:pPr>
              <w:jc w:val="center"/>
            </w:pPr>
            <w:r w:rsidRPr="009070D8">
              <w:t>32.3</w:t>
            </w:r>
          </w:p>
        </w:tc>
        <w:tc>
          <w:tcPr>
            <w:tcW w:w="3477" w:type="dxa"/>
            <w:noWrap/>
          </w:tcPr>
          <w:p w14:paraId="35135F11" w14:textId="77777777" w:rsidR="00003759" w:rsidRPr="009070D8" w:rsidRDefault="00003759" w:rsidP="002A379F">
            <w:pPr>
              <w:ind w:right="1168"/>
              <w:jc w:val="right"/>
            </w:pPr>
            <w:r w:rsidRPr="009070D8">
              <w:t>83.27</w:t>
            </w:r>
          </w:p>
        </w:tc>
      </w:tr>
      <w:tr w:rsidR="00003759" w:rsidRPr="009070D8" w14:paraId="1303C008" w14:textId="77777777" w:rsidTr="002A379F">
        <w:trPr>
          <w:trHeight w:val="300"/>
          <w:jc w:val="center"/>
        </w:trPr>
        <w:tc>
          <w:tcPr>
            <w:tcW w:w="3119" w:type="dxa"/>
            <w:noWrap/>
          </w:tcPr>
          <w:p w14:paraId="0F453C9E" w14:textId="77777777" w:rsidR="00003759" w:rsidRPr="009070D8" w:rsidRDefault="00003759" w:rsidP="006C13ED">
            <w:pPr>
              <w:pStyle w:val="ListParagraph"/>
              <w:numPr>
                <w:ilvl w:val="0"/>
                <w:numId w:val="1"/>
              </w:numPr>
            </w:pPr>
            <w:r w:rsidRPr="009070D8">
              <w:t>Secondary education</w:t>
            </w:r>
          </w:p>
        </w:tc>
        <w:tc>
          <w:tcPr>
            <w:tcW w:w="3185" w:type="dxa"/>
            <w:noWrap/>
          </w:tcPr>
          <w:p w14:paraId="6E332AA0" w14:textId="77777777" w:rsidR="00003759" w:rsidRPr="009070D8" w:rsidRDefault="00003759" w:rsidP="00A37DC3">
            <w:pPr>
              <w:jc w:val="center"/>
            </w:pPr>
            <w:r w:rsidRPr="009070D8">
              <w:t>30.5</w:t>
            </w:r>
          </w:p>
        </w:tc>
        <w:tc>
          <w:tcPr>
            <w:tcW w:w="3477" w:type="dxa"/>
            <w:noWrap/>
          </w:tcPr>
          <w:p w14:paraId="3BF722ED" w14:textId="77777777" w:rsidR="00003759" w:rsidRPr="009070D8" w:rsidRDefault="00003759" w:rsidP="002A379F">
            <w:pPr>
              <w:ind w:right="1168"/>
              <w:jc w:val="right"/>
            </w:pPr>
            <w:r w:rsidRPr="009070D8">
              <w:t>105.93</w:t>
            </w:r>
          </w:p>
        </w:tc>
      </w:tr>
      <w:tr w:rsidR="00003759" w:rsidRPr="009070D8" w14:paraId="6739E57C" w14:textId="77777777" w:rsidTr="002A379F">
        <w:trPr>
          <w:trHeight w:val="300"/>
          <w:jc w:val="center"/>
        </w:trPr>
        <w:tc>
          <w:tcPr>
            <w:tcW w:w="3119" w:type="dxa"/>
            <w:noWrap/>
          </w:tcPr>
          <w:p w14:paraId="11EAB5E5" w14:textId="77777777" w:rsidR="00003759" w:rsidRPr="009070D8" w:rsidRDefault="00003759" w:rsidP="006C13ED">
            <w:pPr>
              <w:pStyle w:val="ListParagraph"/>
              <w:numPr>
                <w:ilvl w:val="0"/>
                <w:numId w:val="1"/>
              </w:numPr>
            </w:pPr>
            <w:r w:rsidRPr="009070D8">
              <w:t>Tertiary education</w:t>
            </w:r>
          </w:p>
        </w:tc>
        <w:tc>
          <w:tcPr>
            <w:tcW w:w="3185" w:type="dxa"/>
            <w:noWrap/>
          </w:tcPr>
          <w:p w14:paraId="7450D480" w14:textId="77777777" w:rsidR="00003759" w:rsidRPr="009070D8" w:rsidRDefault="00003759" w:rsidP="00A37DC3">
            <w:pPr>
              <w:jc w:val="center"/>
            </w:pPr>
            <w:r w:rsidRPr="009070D8">
              <w:t>26.0</w:t>
            </w:r>
          </w:p>
        </w:tc>
        <w:tc>
          <w:tcPr>
            <w:tcW w:w="3477" w:type="dxa"/>
            <w:noWrap/>
          </w:tcPr>
          <w:p w14:paraId="5BF5292F" w14:textId="77777777" w:rsidR="00003759" w:rsidRPr="009070D8" w:rsidRDefault="00003759" w:rsidP="002A379F">
            <w:pPr>
              <w:ind w:right="1168"/>
              <w:jc w:val="right"/>
            </w:pPr>
            <w:r w:rsidRPr="009070D8">
              <w:t>104.92</w:t>
            </w:r>
          </w:p>
        </w:tc>
      </w:tr>
      <w:tr w:rsidR="00003759" w:rsidRPr="009070D8" w14:paraId="5034E487" w14:textId="77777777" w:rsidTr="002A379F">
        <w:trPr>
          <w:trHeight w:val="300"/>
          <w:jc w:val="center"/>
        </w:trPr>
        <w:tc>
          <w:tcPr>
            <w:tcW w:w="3119" w:type="dxa"/>
            <w:noWrap/>
          </w:tcPr>
          <w:p w14:paraId="3325B817" w14:textId="77777777" w:rsidR="00003759" w:rsidRPr="009070D8" w:rsidRDefault="00003759" w:rsidP="00A37DC3">
            <w:r w:rsidRPr="009070D8">
              <w:t>Rural</w:t>
            </w:r>
          </w:p>
        </w:tc>
        <w:tc>
          <w:tcPr>
            <w:tcW w:w="3185" w:type="dxa"/>
            <w:noWrap/>
          </w:tcPr>
          <w:p w14:paraId="49140F5D" w14:textId="77777777" w:rsidR="00003759" w:rsidRPr="009070D8" w:rsidRDefault="00003759" w:rsidP="00A37DC3">
            <w:pPr>
              <w:jc w:val="center"/>
            </w:pPr>
            <w:r w:rsidRPr="009070D8">
              <w:t>36.4</w:t>
            </w:r>
          </w:p>
        </w:tc>
        <w:tc>
          <w:tcPr>
            <w:tcW w:w="3477" w:type="dxa"/>
            <w:noWrap/>
          </w:tcPr>
          <w:p w14:paraId="219E47CA" w14:textId="77777777" w:rsidR="00003759" w:rsidRPr="009070D8" w:rsidRDefault="00003759" w:rsidP="002A379F">
            <w:pPr>
              <w:ind w:right="1168"/>
              <w:jc w:val="right"/>
            </w:pPr>
            <w:r w:rsidRPr="009070D8">
              <w:t>112.24</w:t>
            </w:r>
          </w:p>
        </w:tc>
      </w:tr>
      <w:tr w:rsidR="00003759" w:rsidRPr="009070D8" w14:paraId="29A48631" w14:textId="77777777" w:rsidTr="002A379F">
        <w:trPr>
          <w:trHeight w:val="300"/>
          <w:jc w:val="center"/>
        </w:trPr>
        <w:tc>
          <w:tcPr>
            <w:tcW w:w="3119" w:type="dxa"/>
            <w:noWrap/>
          </w:tcPr>
          <w:p w14:paraId="182FE836" w14:textId="77777777" w:rsidR="00003759" w:rsidRPr="009070D8" w:rsidRDefault="00003759" w:rsidP="00A37DC3">
            <w:r w:rsidRPr="009070D8">
              <w:lastRenderedPageBreak/>
              <w:t>Other urban</w:t>
            </w:r>
          </w:p>
        </w:tc>
        <w:tc>
          <w:tcPr>
            <w:tcW w:w="3185" w:type="dxa"/>
            <w:noWrap/>
          </w:tcPr>
          <w:p w14:paraId="00EC18F1" w14:textId="33608A61" w:rsidR="00003759" w:rsidRPr="009070D8" w:rsidRDefault="00003759" w:rsidP="00003759">
            <w:pPr>
              <w:jc w:val="center"/>
            </w:pPr>
            <w:r w:rsidRPr="009070D8">
              <w:t>32.4</w:t>
            </w:r>
          </w:p>
        </w:tc>
        <w:tc>
          <w:tcPr>
            <w:tcW w:w="3477" w:type="dxa"/>
            <w:noWrap/>
          </w:tcPr>
          <w:p w14:paraId="7C85874D" w14:textId="77777777" w:rsidR="00003759" w:rsidRPr="009070D8" w:rsidRDefault="00003759" w:rsidP="002A379F">
            <w:pPr>
              <w:ind w:right="1168"/>
              <w:jc w:val="right"/>
            </w:pPr>
            <w:r w:rsidRPr="009070D8">
              <w:t>86.85</w:t>
            </w:r>
          </w:p>
        </w:tc>
      </w:tr>
      <w:tr w:rsidR="00003759" w:rsidRPr="009070D8" w14:paraId="1D638111" w14:textId="77777777" w:rsidTr="002A379F">
        <w:trPr>
          <w:trHeight w:val="300"/>
          <w:jc w:val="center"/>
        </w:trPr>
        <w:tc>
          <w:tcPr>
            <w:tcW w:w="3119" w:type="dxa"/>
            <w:noWrap/>
          </w:tcPr>
          <w:p w14:paraId="27BCD680" w14:textId="77777777" w:rsidR="00003759" w:rsidRPr="009070D8" w:rsidRDefault="00003759" w:rsidP="00A37DC3">
            <w:r w:rsidRPr="009070D8">
              <w:t>Capital (Sarajevo)</w:t>
            </w:r>
          </w:p>
        </w:tc>
        <w:tc>
          <w:tcPr>
            <w:tcW w:w="3185" w:type="dxa"/>
            <w:noWrap/>
          </w:tcPr>
          <w:p w14:paraId="127DB808" w14:textId="77777777" w:rsidR="00003759" w:rsidRPr="009070D8" w:rsidRDefault="00003759" w:rsidP="00A37DC3">
            <w:pPr>
              <w:jc w:val="center"/>
            </w:pPr>
            <w:r w:rsidRPr="009070D8">
              <w:t>31.9</w:t>
            </w:r>
          </w:p>
        </w:tc>
        <w:tc>
          <w:tcPr>
            <w:tcW w:w="3477" w:type="dxa"/>
            <w:noWrap/>
          </w:tcPr>
          <w:p w14:paraId="7C09C1FA" w14:textId="77777777" w:rsidR="00003759" w:rsidRPr="009070D8" w:rsidRDefault="00003759" w:rsidP="002A379F">
            <w:pPr>
              <w:ind w:right="1168"/>
              <w:jc w:val="right"/>
            </w:pPr>
            <w:r w:rsidRPr="009070D8">
              <w:t>105.22</w:t>
            </w:r>
          </w:p>
        </w:tc>
      </w:tr>
      <w:tr w:rsidR="00003759" w:rsidRPr="009070D8" w14:paraId="3C9259A6" w14:textId="77777777" w:rsidTr="002A379F">
        <w:trPr>
          <w:trHeight w:val="300"/>
          <w:jc w:val="center"/>
        </w:trPr>
        <w:tc>
          <w:tcPr>
            <w:tcW w:w="3119" w:type="dxa"/>
            <w:noWrap/>
          </w:tcPr>
          <w:p w14:paraId="0D5B3CB9" w14:textId="77777777" w:rsidR="00003759" w:rsidRPr="009070D8" w:rsidRDefault="00003759" w:rsidP="00A37DC3">
            <w:r w:rsidRPr="009070D8">
              <w:t>Female-headed households</w:t>
            </w:r>
          </w:p>
        </w:tc>
        <w:tc>
          <w:tcPr>
            <w:tcW w:w="3185" w:type="dxa"/>
            <w:noWrap/>
          </w:tcPr>
          <w:p w14:paraId="00354CFE" w14:textId="77777777" w:rsidR="00003759" w:rsidRPr="009070D8" w:rsidRDefault="00003759" w:rsidP="00A37DC3">
            <w:pPr>
              <w:jc w:val="center"/>
            </w:pPr>
            <w:r w:rsidRPr="009070D8">
              <w:t>44.7</w:t>
            </w:r>
          </w:p>
        </w:tc>
        <w:tc>
          <w:tcPr>
            <w:tcW w:w="3477" w:type="dxa"/>
            <w:noWrap/>
          </w:tcPr>
          <w:p w14:paraId="17D76034" w14:textId="77777777" w:rsidR="00003759" w:rsidRPr="009070D8" w:rsidRDefault="00003759" w:rsidP="002A379F">
            <w:pPr>
              <w:ind w:right="1168"/>
              <w:jc w:val="right"/>
            </w:pPr>
            <w:r w:rsidRPr="009070D8">
              <w:t>98.39</w:t>
            </w:r>
          </w:p>
        </w:tc>
      </w:tr>
      <w:tr w:rsidR="00003759" w:rsidRPr="009070D8" w14:paraId="14F0D88D" w14:textId="77777777" w:rsidTr="002A379F">
        <w:trPr>
          <w:trHeight w:val="300"/>
          <w:jc w:val="center"/>
        </w:trPr>
        <w:tc>
          <w:tcPr>
            <w:tcW w:w="3119" w:type="dxa"/>
            <w:noWrap/>
          </w:tcPr>
          <w:p w14:paraId="55860456" w14:textId="77777777" w:rsidR="00003759" w:rsidRPr="009070D8" w:rsidRDefault="00003759" w:rsidP="00A37DC3">
            <w:r w:rsidRPr="009070D8">
              <w:t>Male-headed households</w:t>
            </w:r>
          </w:p>
        </w:tc>
        <w:tc>
          <w:tcPr>
            <w:tcW w:w="3185" w:type="dxa"/>
            <w:noWrap/>
          </w:tcPr>
          <w:p w14:paraId="11612ACA" w14:textId="77777777" w:rsidR="00003759" w:rsidRPr="009070D8" w:rsidRDefault="00003759" w:rsidP="00A37DC3">
            <w:pPr>
              <w:jc w:val="center"/>
            </w:pPr>
            <w:r w:rsidRPr="009070D8">
              <w:t>29.6</w:t>
            </w:r>
          </w:p>
        </w:tc>
        <w:tc>
          <w:tcPr>
            <w:tcW w:w="3477" w:type="dxa"/>
            <w:noWrap/>
          </w:tcPr>
          <w:p w14:paraId="57B34F2A" w14:textId="77777777" w:rsidR="00003759" w:rsidRPr="009070D8" w:rsidRDefault="00003759" w:rsidP="002A379F">
            <w:pPr>
              <w:ind w:right="1168"/>
              <w:jc w:val="right"/>
            </w:pPr>
            <w:r w:rsidRPr="009070D8">
              <w:t>101.69</w:t>
            </w:r>
          </w:p>
        </w:tc>
      </w:tr>
    </w:tbl>
    <w:p w14:paraId="76B047FA" w14:textId="02D5FB62" w:rsidR="00003759" w:rsidRPr="009070D8" w:rsidRDefault="00003759" w:rsidP="002A379F">
      <w:pPr>
        <w:spacing w:line="276" w:lineRule="auto"/>
        <w:ind w:right="707"/>
        <w:jc w:val="both"/>
        <w:rPr>
          <w:i/>
          <w:sz w:val="22"/>
        </w:rPr>
      </w:pPr>
      <w:r w:rsidRPr="009070D8">
        <w:rPr>
          <w:i/>
          <w:sz w:val="22"/>
        </w:rPr>
        <w:t>Note: Poor households are defined as those whose annual household income was below the relative poverty line (60% of median income). Non-poor households are those with an income above the relative poverty line.</w:t>
      </w:r>
    </w:p>
    <w:p w14:paraId="63C628D8" w14:textId="77777777" w:rsidR="00003759" w:rsidRPr="009070D8" w:rsidRDefault="00003759" w:rsidP="002A379F">
      <w:pPr>
        <w:spacing w:line="360" w:lineRule="auto"/>
        <w:jc w:val="both"/>
        <w:rPr>
          <w:sz w:val="22"/>
        </w:rPr>
      </w:pPr>
      <w:r w:rsidRPr="009070D8">
        <w:rPr>
          <w:sz w:val="22"/>
        </w:rPr>
        <w:t>Source: Authors’ calculations based on the LBiH 2004 survey</w:t>
      </w:r>
    </w:p>
    <w:p w14:paraId="2F4EB632" w14:textId="77777777" w:rsidR="00003759" w:rsidRPr="009070D8" w:rsidRDefault="00003759" w:rsidP="00003759">
      <w:pPr>
        <w:spacing w:line="360" w:lineRule="auto"/>
        <w:ind w:firstLine="706"/>
        <w:jc w:val="both"/>
      </w:pPr>
    </w:p>
    <w:p w14:paraId="4610B923" w14:textId="03E64D05" w:rsidR="005F7510" w:rsidRPr="009070D8" w:rsidRDefault="008D6DE0" w:rsidP="00003759">
      <w:pPr>
        <w:spacing w:line="360" w:lineRule="auto"/>
        <w:ind w:firstLine="706"/>
        <w:jc w:val="both"/>
      </w:pPr>
      <w:r w:rsidRPr="009070D8">
        <w:t>The figures presented in Table 1</w:t>
      </w:r>
      <w:r w:rsidR="00DA345A" w:rsidRPr="009070D8">
        <w:t xml:space="preserve">, </w:t>
      </w:r>
      <w:r w:rsidRPr="009070D8">
        <w:t xml:space="preserve">in the absence of more comprehensive studies on the relationship between remittances and poverty in Bosnia-Herzegovina, were produced by using the </w:t>
      </w:r>
      <w:r w:rsidR="00E42CF3" w:rsidRPr="009070D8">
        <w:t>LBiH</w:t>
      </w:r>
      <w:r w:rsidRPr="009070D8">
        <w:t xml:space="preserve"> dataset in order to provide background information for the study of the relationship between remittances and educational attainment completed in this paper.</w:t>
      </w:r>
      <w:r w:rsidR="00DA345A" w:rsidRPr="009070D8">
        <w:t xml:space="preserve"> According</w:t>
      </w:r>
      <w:r w:rsidR="000F765E">
        <w:t>ly</w:t>
      </w:r>
      <w:r w:rsidR="00DA345A" w:rsidRPr="009070D8">
        <w:t xml:space="preserve">, the remittances sent to Bosnia-Herzegovina are not pro-poor. A larger proportion of non-poor households receive remittances. Moreover, the average amount received is twice as large as the amount received by poor households. Regardless, a larger proportion of households with a low-educated head receive </w:t>
      </w:r>
      <w:r w:rsidR="00811C04" w:rsidRPr="009070D8">
        <w:t>remittances, albeit</w:t>
      </w:r>
      <w:r w:rsidR="00003759" w:rsidRPr="009070D8">
        <w:t xml:space="preserve"> </w:t>
      </w:r>
      <w:r w:rsidR="00811C04" w:rsidRPr="009070D8">
        <w:t xml:space="preserve">a slightly lower average amount compared to those with a more highly educated head. </w:t>
      </w:r>
      <w:r w:rsidRPr="009070D8">
        <w:t>Also, a signif</w:t>
      </w:r>
      <w:r w:rsidR="00811C04" w:rsidRPr="009070D8">
        <w:t>icantly larger number of female-</w:t>
      </w:r>
      <w:r w:rsidRPr="009070D8">
        <w:t>headed households r</w:t>
      </w:r>
      <w:r w:rsidR="00811C04" w:rsidRPr="009070D8">
        <w:t>eceive remittances than do male-</w:t>
      </w:r>
      <w:r w:rsidRPr="009070D8">
        <w:t>headed households.</w:t>
      </w:r>
      <w:r w:rsidR="00811C04" w:rsidRPr="009070D8">
        <w:rPr>
          <w:rStyle w:val="EndnoteReference"/>
        </w:rPr>
        <w:endnoteReference w:id="17"/>
      </w:r>
      <w:r w:rsidRPr="009070D8">
        <w:t xml:space="preserve"> Households in rural areas receive more remittances, both in terms of the proportion of households that receive them and in terms of the average amount, than do households in urban areas. </w:t>
      </w:r>
      <w:r w:rsidR="00883BD0" w:rsidRPr="009070D8">
        <w:t>Th</w:t>
      </w:r>
      <w:r w:rsidR="00883BD0">
        <w:t>ese</w:t>
      </w:r>
      <w:r w:rsidR="00883BD0" w:rsidRPr="009070D8">
        <w:t xml:space="preserve"> </w:t>
      </w:r>
      <w:r w:rsidR="005627B8">
        <w:t>outcomes tend</w:t>
      </w:r>
      <w:r w:rsidR="000F765E">
        <w:t xml:space="preserve"> to </w:t>
      </w:r>
      <w:r w:rsidRPr="009070D8">
        <w:t>suggest that remittances, although not contributing to poverty reduction overall, may be expected to have a positive effect on reducing differences in poverty incidence between rural and urban areas.</w:t>
      </w:r>
    </w:p>
    <w:p w14:paraId="0A9B5E7E" w14:textId="77777777" w:rsidR="005F7510" w:rsidRPr="009070D8" w:rsidRDefault="005F7510" w:rsidP="00153046">
      <w:pPr>
        <w:spacing w:line="360" w:lineRule="auto"/>
        <w:ind w:firstLine="720"/>
        <w:jc w:val="both"/>
      </w:pPr>
    </w:p>
    <w:p w14:paraId="6B97A91D" w14:textId="49463AF4" w:rsidR="008D6DE0" w:rsidRPr="009070D8" w:rsidRDefault="008D6DE0" w:rsidP="00003759">
      <w:pPr>
        <w:spacing w:line="360" w:lineRule="auto"/>
        <w:jc w:val="center"/>
      </w:pPr>
      <w:r w:rsidRPr="009070D8">
        <w:t xml:space="preserve">Table 2: Recipients of remittances by </w:t>
      </w:r>
      <w:r w:rsidR="00811C04" w:rsidRPr="009070D8">
        <w:t xml:space="preserve">income </w:t>
      </w:r>
      <w:r w:rsidRPr="009070D8">
        <w:t>decile</w:t>
      </w:r>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979"/>
        <w:gridCol w:w="668"/>
        <w:gridCol w:w="669"/>
        <w:gridCol w:w="669"/>
        <w:gridCol w:w="669"/>
        <w:gridCol w:w="669"/>
        <w:gridCol w:w="667"/>
        <w:gridCol w:w="669"/>
        <w:gridCol w:w="669"/>
        <w:gridCol w:w="669"/>
        <w:gridCol w:w="669"/>
        <w:gridCol w:w="972"/>
      </w:tblGrid>
      <w:tr w:rsidR="008D6DE0" w:rsidRPr="009070D8" w14:paraId="5123561E" w14:textId="77777777" w:rsidTr="003F141F">
        <w:trPr>
          <w:trHeight w:val="300"/>
          <w:jc w:val="center"/>
        </w:trPr>
        <w:tc>
          <w:tcPr>
            <w:tcW w:w="1027" w:type="pct"/>
            <w:vMerge w:val="restart"/>
            <w:tcBorders>
              <w:top w:val="single" w:sz="4" w:space="0" w:color="auto"/>
              <w:bottom w:val="nil"/>
            </w:tcBorders>
            <w:noWrap/>
          </w:tcPr>
          <w:p w14:paraId="343FA3E3" w14:textId="77777777" w:rsidR="008D6DE0" w:rsidRPr="009070D8" w:rsidRDefault="008D6DE0" w:rsidP="003F6E44">
            <w:pPr>
              <w:jc w:val="center"/>
              <w:rPr>
                <w:sz w:val="18"/>
              </w:rPr>
            </w:pPr>
            <w:r w:rsidRPr="009070D8">
              <w:rPr>
                <w:sz w:val="18"/>
              </w:rPr>
              <w:t>Criteria</w:t>
            </w:r>
          </w:p>
        </w:tc>
        <w:tc>
          <w:tcPr>
            <w:tcW w:w="3468" w:type="pct"/>
            <w:gridSpan w:val="10"/>
            <w:tcBorders>
              <w:top w:val="single" w:sz="4" w:space="0" w:color="auto"/>
              <w:bottom w:val="nil"/>
            </w:tcBorders>
            <w:noWrap/>
          </w:tcPr>
          <w:p w14:paraId="087F1A1A" w14:textId="77777777" w:rsidR="008D6DE0" w:rsidRPr="009070D8" w:rsidRDefault="008D6DE0" w:rsidP="003F6E44">
            <w:pPr>
              <w:jc w:val="center"/>
              <w:rPr>
                <w:sz w:val="18"/>
              </w:rPr>
            </w:pPr>
            <w:r w:rsidRPr="009070D8">
              <w:rPr>
                <w:sz w:val="18"/>
              </w:rPr>
              <w:t>Decile</w:t>
            </w:r>
          </w:p>
        </w:tc>
        <w:tc>
          <w:tcPr>
            <w:tcW w:w="505" w:type="pct"/>
            <w:vMerge w:val="restart"/>
            <w:tcBorders>
              <w:top w:val="single" w:sz="4" w:space="0" w:color="auto"/>
              <w:bottom w:val="nil"/>
            </w:tcBorders>
            <w:noWrap/>
          </w:tcPr>
          <w:p w14:paraId="0F191ABC" w14:textId="77777777" w:rsidR="008D6DE0" w:rsidRPr="009070D8" w:rsidRDefault="008D6DE0" w:rsidP="00003759">
            <w:pPr>
              <w:jc w:val="right"/>
              <w:rPr>
                <w:sz w:val="18"/>
              </w:rPr>
            </w:pPr>
            <w:r w:rsidRPr="009070D8">
              <w:rPr>
                <w:sz w:val="18"/>
              </w:rPr>
              <w:t>Average</w:t>
            </w:r>
          </w:p>
        </w:tc>
      </w:tr>
      <w:tr w:rsidR="008D6DE0" w:rsidRPr="009070D8" w14:paraId="4891624F" w14:textId="77777777" w:rsidTr="003F141F">
        <w:trPr>
          <w:trHeight w:val="300"/>
          <w:jc w:val="center"/>
        </w:trPr>
        <w:tc>
          <w:tcPr>
            <w:tcW w:w="1027" w:type="pct"/>
            <w:vMerge/>
            <w:tcBorders>
              <w:top w:val="nil"/>
              <w:bottom w:val="thinThickSmallGap" w:sz="24" w:space="0" w:color="auto"/>
            </w:tcBorders>
          </w:tcPr>
          <w:p w14:paraId="53ABA31A" w14:textId="77777777" w:rsidR="008D6DE0" w:rsidRPr="009070D8" w:rsidRDefault="008D6DE0" w:rsidP="003F6E44">
            <w:pPr>
              <w:jc w:val="center"/>
              <w:rPr>
                <w:sz w:val="18"/>
              </w:rPr>
            </w:pPr>
          </w:p>
        </w:tc>
        <w:tc>
          <w:tcPr>
            <w:tcW w:w="347" w:type="pct"/>
            <w:tcBorders>
              <w:top w:val="nil"/>
              <w:bottom w:val="thinThickSmallGap" w:sz="24" w:space="0" w:color="auto"/>
            </w:tcBorders>
            <w:noWrap/>
          </w:tcPr>
          <w:p w14:paraId="7A9CECFD" w14:textId="77777777" w:rsidR="008D6DE0" w:rsidRPr="009070D8" w:rsidRDefault="008D6DE0" w:rsidP="003F6E44">
            <w:pPr>
              <w:jc w:val="center"/>
              <w:rPr>
                <w:sz w:val="18"/>
              </w:rPr>
            </w:pPr>
            <w:r w:rsidRPr="009070D8">
              <w:rPr>
                <w:sz w:val="18"/>
              </w:rPr>
              <w:t>1</w:t>
            </w:r>
          </w:p>
        </w:tc>
        <w:tc>
          <w:tcPr>
            <w:tcW w:w="347" w:type="pct"/>
            <w:tcBorders>
              <w:top w:val="nil"/>
              <w:bottom w:val="thinThickSmallGap" w:sz="24" w:space="0" w:color="auto"/>
            </w:tcBorders>
            <w:noWrap/>
          </w:tcPr>
          <w:p w14:paraId="713CB03A" w14:textId="77777777" w:rsidR="008D6DE0" w:rsidRPr="009070D8" w:rsidRDefault="008D6DE0" w:rsidP="003F6E44">
            <w:pPr>
              <w:jc w:val="center"/>
              <w:rPr>
                <w:sz w:val="18"/>
              </w:rPr>
            </w:pPr>
            <w:r w:rsidRPr="009070D8">
              <w:rPr>
                <w:sz w:val="18"/>
              </w:rPr>
              <w:t>2</w:t>
            </w:r>
          </w:p>
        </w:tc>
        <w:tc>
          <w:tcPr>
            <w:tcW w:w="347" w:type="pct"/>
            <w:tcBorders>
              <w:top w:val="nil"/>
              <w:bottom w:val="thinThickSmallGap" w:sz="24" w:space="0" w:color="auto"/>
            </w:tcBorders>
            <w:noWrap/>
          </w:tcPr>
          <w:p w14:paraId="404186E6" w14:textId="77777777" w:rsidR="008D6DE0" w:rsidRPr="009070D8" w:rsidRDefault="008D6DE0" w:rsidP="003F6E44">
            <w:pPr>
              <w:jc w:val="center"/>
              <w:rPr>
                <w:sz w:val="18"/>
              </w:rPr>
            </w:pPr>
            <w:r w:rsidRPr="009070D8">
              <w:rPr>
                <w:sz w:val="18"/>
              </w:rPr>
              <w:t>3</w:t>
            </w:r>
          </w:p>
        </w:tc>
        <w:tc>
          <w:tcPr>
            <w:tcW w:w="347" w:type="pct"/>
            <w:tcBorders>
              <w:top w:val="nil"/>
              <w:bottom w:val="thinThickSmallGap" w:sz="24" w:space="0" w:color="auto"/>
            </w:tcBorders>
            <w:noWrap/>
          </w:tcPr>
          <w:p w14:paraId="2CE0F9B3" w14:textId="77777777" w:rsidR="008D6DE0" w:rsidRPr="009070D8" w:rsidRDefault="008D6DE0" w:rsidP="003F6E44">
            <w:pPr>
              <w:jc w:val="center"/>
              <w:rPr>
                <w:sz w:val="18"/>
              </w:rPr>
            </w:pPr>
            <w:r w:rsidRPr="009070D8">
              <w:rPr>
                <w:sz w:val="18"/>
              </w:rPr>
              <w:t>4</w:t>
            </w:r>
          </w:p>
        </w:tc>
        <w:tc>
          <w:tcPr>
            <w:tcW w:w="347" w:type="pct"/>
            <w:tcBorders>
              <w:top w:val="nil"/>
              <w:bottom w:val="thinThickSmallGap" w:sz="24" w:space="0" w:color="auto"/>
            </w:tcBorders>
            <w:noWrap/>
          </w:tcPr>
          <w:p w14:paraId="4DD82131" w14:textId="77777777" w:rsidR="008D6DE0" w:rsidRPr="009070D8" w:rsidRDefault="008D6DE0" w:rsidP="003F6E44">
            <w:pPr>
              <w:jc w:val="center"/>
              <w:rPr>
                <w:sz w:val="18"/>
              </w:rPr>
            </w:pPr>
            <w:r w:rsidRPr="009070D8">
              <w:rPr>
                <w:sz w:val="18"/>
              </w:rPr>
              <w:t>5</w:t>
            </w:r>
          </w:p>
        </w:tc>
        <w:tc>
          <w:tcPr>
            <w:tcW w:w="346" w:type="pct"/>
            <w:tcBorders>
              <w:top w:val="nil"/>
              <w:bottom w:val="thinThickSmallGap" w:sz="24" w:space="0" w:color="auto"/>
            </w:tcBorders>
            <w:noWrap/>
          </w:tcPr>
          <w:p w14:paraId="777E347B" w14:textId="77777777" w:rsidR="008D6DE0" w:rsidRPr="009070D8" w:rsidRDefault="008D6DE0" w:rsidP="003F6E44">
            <w:pPr>
              <w:jc w:val="center"/>
              <w:rPr>
                <w:sz w:val="18"/>
              </w:rPr>
            </w:pPr>
            <w:r w:rsidRPr="009070D8">
              <w:rPr>
                <w:sz w:val="18"/>
              </w:rPr>
              <w:t>6</w:t>
            </w:r>
          </w:p>
        </w:tc>
        <w:tc>
          <w:tcPr>
            <w:tcW w:w="347" w:type="pct"/>
            <w:tcBorders>
              <w:top w:val="nil"/>
              <w:bottom w:val="thinThickSmallGap" w:sz="24" w:space="0" w:color="auto"/>
            </w:tcBorders>
            <w:noWrap/>
          </w:tcPr>
          <w:p w14:paraId="3FB0512A" w14:textId="77777777" w:rsidR="008D6DE0" w:rsidRPr="009070D8" w:rsidRDefault="008D6DE0" w:rsidP="003F6E44">
            <w:pPr>
              <w:jc w:val="center"/>
              <w:rPr>
                <w:sz w:val="18"/>
              </w:rPr>
            </w:pPr>
            <w:r w:rsidRPr="009070D8">
              <w:rPr>
                <w:sz w:val="18"/>
              </w:rPr>
              <w:t>7</w:t>
            </w:r>
          </w:p>
        </w:tc>
        <w:tc>
          <w:tcPr>
            <w:tcW w:w="347" w:type="pct"/>
            <w:tcBorders>
              <w:top w:val="nil"/>
              <w:bottom w:val="thinThickSmallGap" w:sz="24" w:space="0" w:color="auto"/>
            </w:tcBorders>
            <w:noWrap/>
          </w:tcPr>
          <w:p w14:paraId="6A26831C" w14:textId="77777777" w:rsidR="008D6DE0" w:rsidRPr="009070D8" w:rsidRDefault="008D6DE0" w:rsidP="003F6E44">
            <w:pPr>
              <w:jc w:val="center"/>
              <w:rPr>
                <w:sz w:val="18"/>
              </w:rPr>
            </w:pPr>
            <w:r w:rsidRPr="009070D8">
              <w:rPr>
                <w:sz w:val="18"/>
              </w:rPr>
              <w:t>8</w:t>
            </w:r>
          </w:p>
        </w:tc>
        <w:tc>
          <w:tcPr>
            <w:tcW w:w="347" w:type="pct"/>
            <w:tcBorders>
              <w:top w:val="nil"/>
              <w:bottom w:val="thinThickSmallGap" w:sz="24" w:space="0" w:color="auto"/>
            </w:tcBorders>
            <w:noWrap/>
          </w:tcPr>
          <w:p w14:paraId="6280B49E" w14:textId="77777777" w:rsidR="008D6DE0" w:rsidRPr="009070D8" w:rsidRDefault="008D6DE0" w:rsidP="003F6E44">
            <w:pPr>
              <w:jc w:val="center"/>
              <w:rPr>
                <w:sz w:val="18"/>
              </w:rPr>
            </w:pPr>
            <w:r w:rsidRPr="009070D8">
              <w:rPr>
                <w:sz w:val="18"/>
              </w:rPr>
              <w:t>9</w:t>
            </w:r>
          </w:p>
        </w:tc>
        <w:tc>
          <w:tcPr>
            <w:tcW w:w="347" w:type="pct"/>
            <w:tcBorders>
              <w:top w:val="nil"/>
              <w:bottom w:val="thinThickSmallGap" w:sz="24" w:space="0" w:color="auto"/>
            </w:tcBorders>
            <w:noWrap/>
          </w:tcPr>
          <w:p w14:paraId="7E9DFD5E" w14:textId="77777777" w:rsidR="008D6DE0" w:rsidRPr="009070D8" w:rsidRDefault="008D6DE0" w:rsidP="003F6E44">
            <w:pPr>
              <w:jc w:val="center"/>
              <w:rPr>
                <w:sz w:val="18"/>
              </w:rPr>
            </w:pPr>
            <w:r w:rsidRPr="009070D8">
              <w:rPr>
                <w:sz w:val="18"/>
              </w:rPr>
              <w:t>10</w:t>
            </w:r>
          </w:p>
        </w:tc>
        <w:tc>
          <w:tcPr>
            <w:tcW w:w="505" w:type="pct"/>
            <w:vMerge/>
            <w:tcBorders>
              <w:top w:val="nil"/>
              <w:bottom w:val="thinThickSmallGap" w:sz="24" w:space="0" w:color="auto"/>
            </w:tcBorders>
          </w:tcPr>
          <w:p w14:paraId="0E0DF58A" w14:textId="77777777" w:rsidR="008D6DE0" w:rsidRPr="009070D8" w:rsidRDefault="008D6DE0" w:rsidP="003F6E44">
            <w:pPr>
              <w:jc w:val="center"/>
              <w:rPr>
                <w:sz w:val="18"/>
              </w:rPr>
            </w:pPr>
          </w:p>
        </w:tc>
      </w:tr>
      <w:tr w:rsidR="008D6DE0" w:rsidRPr="009070D8" w14:paraId="6B5C2AE2" w14:textId="77777777" w:rsidTr="003F141F">
        <w:trPr>
          <w:trHeight w:val="300"/>
          <w:jc w:val="center"/>
        </w:trPr>
        <w:tc>
          <w:tcPr>
            <w:tcW w:w="1027" w:type="pct"/>
            <w:tcBorders>
              <w:top w:val="thinThickSmallGap" w:sz="24" w:space="0" w:color="auto"/>
            </w:tcBorders>
            <w:noWrap/>
          </w:tcPr>
          <w:p w14:paraId="0C754CDD" w14:textId="77777777" w:rsidR="008D6DE0" w:rsidRPr="009070D8" w:rsidRDefault="008D6DE0" w:rsidP="003F6E44">
            <w:pPr>
              <w:rPr>
                <w:sz w:val="18"/>
              </w:rPr>
            </w:pPr>
            <w:r w:rsidRPr="009070D8">
              <w:rPr>
                <w:sz w:val="18"/>
              </w:rPr>
              <w:t>Recipients (% of the sample)</w:t>
            </w:r>
          </w:p>
        </w:tc>
        <w:tc>
          <w:tcPr>
            <w:tcW w:w="347" w:type="pct"/>
            <w:tcBorders>
              <w:top w:val="thinThickSmallGap" w:sz="24" w:space="0" w:color="auto"/>
            </w:tcBorders>
            <w:noWrap/>
          </w:tcPr>
          <w:p w14:paraId="0B127DCD" w14:textId="77777777" w:rsidR="008D6DE0" w:rsidRPr="009070D8" w:rsidRDefault="008D6DE0" w:rsidP="003F6E44">
            <w:pPr>
              <w:jc w:val="right"/>
              <w:rPr>
                <w:sz w:val="18"/>
              </w:rPr>
            </w:pPr>
            <w:r w:rsidRPr="009070D8">
              <w:rPr>
                <w:sz w:val="18"/>
              </w:rPr>
              <w:t>27.4</w:t>
            </w:r>
          </w:p>
        </w:tc>
        <w:tc>
          <w:tcPr>
            <w:tcW w:w="347" w:type="pct"/>
            <w:tcBorders>
              <w:top w:val="thinThickSmallGap" w:sz="24" w:space="0" w:color="auto"/>
            </w:tcBorders>
            <w:noWrap/>
          </w:tcPr>
          <w:p w14:paraId="5F70C7D6" w14:textId="77777777" w:rsidR="008D6DE0" w:rsidRPr="009070D8" w:rsidRDefault="008D6DE0" w:rsidP="003F6E44">
            <w:pPr>
              <w:jc w:val="right"/>
              <w:rPr>
                <w:sz w:val="18"/>
              </w:rPr>
            </w:pPr>
            <w:r w:rsidRPr="009070D8">
              <w:rPr>
                <w:sz w:val="18"/>
              </w:rPr>
              <w:t>33.6</w:t>
            </w:r>
          </w:p>
        </w:tc>
        <w:tc>
          <w:tcPr>
            <w:tcW w:w="347" w:type="pct"/>
            <w:tcBorders>
              <w:top w:val="thinThickSmallGap" w:sz="24" w:space="0" w:color="auto"/>
            </w:tcBorders>
            <w:noWrap/>
          </w:tcPr>
          <w:p w14:paraId="04AF3696" w14:textId="77777777" w:rsidR="008D6DE0" w:rsidRPr="009070D8" w:rsidRDefault="008D6DE0" w:rsidP="003F6E44">
            <w:pPr>
              <w:jc w:val="right"/>
              <w:rPr>
                <w:sz w:val="18"/>
              </w:rPr>
            </w:pPr>
            <w:r w:rsidRPr="009070D8">
              <w:rPr>
                <w:sz w:val="18"/>
              </w:rPr>
              <w:t>30.8</w:t>
            </w:r>
          </w:p>
        </w:tc>
        <w:tc>
          <w:tcPr>
            <w:tcW w:w="347" w:type="pct"/>
            <w:tcBorders>
              <w:top w:val="thinThickSmallGap" w:sz="24" w:space="0" w:color="auto"/>
            </w:tcBorders>
            <w:noWrap/>
          </w:tcPr>
          <w:p w14:paraId="50CDC3CD" w14:textId="77777777" w:rsidR="008D6DE0" w:rsidRPr="009070D8" w:rsidRDefault="008D6DE0" w:rsidP="003F6E44">
            <w:pPr>
              <w:jc w:val="right"/>
              <w:rPr>
                <w:sz w:val="18"/>
              </w:rPr>
            </w:pPr>
            <w:r w:rsidRPr="009070D8">
              <w:rPr>
                <w:sz w:val="18"/>
              </w:rPr>
              <w:t>35.2</w:t>
            </w:r>
          </w:p>
        </w:tc>
        <w:tc>
          <w:tcPr>
            <w:tcW w:w="347" w:type="pct"/>
            <w:tcBorders>
              <w:top w:val="thinThickSmallGap" w:sz="24" w:space="0" w:color="auto"/>
            </w:tcBorders>
            <w:noWrap/>
          </w:tcPr>
          <w:p w14:paraId="00DD68DE" w14:textId="77777777" w:rsidR="008D6DE0" w:rsidRPr="009070D8" w:rsidRDefault="008D6DE0" w:rsidP="003F6E44">
            <w:pPr>
              <w:jc w:val="right"/>
              <w:rPr>
                <w:sz w:val="18"/>
              </w:rPr>
            </w:pPr>
            <w:r w:rsidRPr="009070D8">
              <w:rPr>
                <w:sz w:val="18"/>
              </w:rPr>
              <w:t>37.6</w:t>
            </w:r>
          </w:p>
        </w:tc>
        <w:tc>
          <w:tcPr>
            <w:tcW w:w="346" w:type="pct"/>
            <w:tcBorders>
              <w:top w:val="thinThickSmallGap" w:sz="24" w:space="0" w:color="auto"/>
            </w:tcBorders>
            <w:noWrap/>
          </w:tcPr>
          <w:p w14:paraId="490CB483" w14:textId="77777777" w:rsidR="008D6DE0" w:rsidRPr="009070D8" w:rsidRDefault="008D6DE0" w:rsidP="003F6E44">
            <w:pPr>
              <w:jc w:val="right"/>
              <w:rPr>
                <w:sz w:val="18"/>
              </w:rPr>
            </w:pPr>
            <w:r w:rsidRPr="009070D8">
              <w:rPr>
                <w:sz w:val="18"/>
              </w:rPr>
              <w:t>36.6</w:t>
            </w:r>
          </w:p>
        </w:tc>
        <w:tc>
          <w:tcPr>
            <w:tcW w:w="347" w:type="pct"/>
            <w:tcBorders>
              <w:top w:val="thinThickSmallGap" w:sz="24" w:space="0" w:color="auto"/>
            </w:tcBorders>
            <w:noWrap/>
          </w:tcPr>
          <w:p w14:paraId="0775D159" w14:textId="77777777" w:rsidR="008D6DE0" w:rsidRPr="009070D8" w:rsidRDefault="008D6DE0" w:rsidP="003F6E44">
            <w:pPr>
              <w:jc w:val="right"/>
              <w:rPr>
                <w:sz w:val="18"/>
              </w:rPr>
            </w:pPr>
            <w:r w:rsidRPr="009070D8">
              <w:rPr>
                <w:sz w:val="18"/>
              </w:rPr>
              <w:t>38.2</w:t>
            </w:r>
          </w:p>
        </w:tc>
        <w:tc>
          <w:tcPr>
            <w:tcW w:w="347" w:type="pct"/>
            <w:tcBorders>
              <w:top w:val="thinThickSmallGap" w:sz="24" w:space="0" w:color="auto"/>
            </w:tcBorders>
            <w:noWrap/>
          </w:tcPr>
          <w:p w14:paraId="4DECF469" w14:textId="77777777" w:rsidR="008D6DE0" w:rsidRPr="009070D8" w:rsidRDefault="008D6DE0" w:rsidP="003F6E44">
            <w:pPr>
              <w:jc w:val="right"/>
              <w:rPr>
                <w:sz w:val="18"/>
              </w:rPr>
            </w:pPr>
            <w:r w:rsidRPr="009070D8">
              <w:rPr>
                <w:sz w:val="18"/>
              </w:rPr>
              <w:t>34.0</w:t>
            </w:r>
          </w:p>
        </w:tc>
        <w:tc>
          <w:tcPr>
            <w:tcW w:w="347" w:type="pct"/>
            <w:tcBorders>
              <w:top w:val="thinThickSmallGap" w:sz="24" w:space="0" w:color="auto"/>
            </w:tcBorders>
            <w:noWrap/>
          </w:tcPr>
          <w:p w14:paraId="16693903" w14:textId="77777777" w:rsidR="008D6DE0" w:rsidRPr="009070D8" w:rsidRDefault="008D6DE0" w:rsidP="003F6E44">
            <w:pPr>
              <w:jc w:val="right"/>
              <w:rPr>
                <w:sz w:val="18"/>
              </w:rPr>
            </w:pPr>
            <w:r w:rsidRPr="009070D8">
              <w:rPr>
                <w:sz w:val="18"/>
              </w:rPr>
              <w:t>35.4</w:t>
            </w:r>
          </w:p>
        </w:tc>
        <w:tc>
          <w:tcPr>
            <w:tcW w:w="347" w:type="pct"/>
            <w:tcBorders>
              <w:top w:val="thinThickSmallGap" w:sz="24" w:space="0" w:color="auto"/>
            </w:tcBorders>
            <w:noWrap/>
          </w:tcPr>
          <w:p w14:paraId="5DBCEBE6" w14:textId="77777777" w:rsidR="008D6DE0" w:rsidRPr="009070D8" w:rsidRDefault="008D6DE0" w:rsidP="003F6E44">
            <w:pPr>
              <w:jc w:val="right"/>
              <w:rPr>
                <w:sz w:val="18"/>
              </w:rPr>
            </w:pPr>
            <w:r w:rsidRPr="009070D8">
              <w:rPr>
                <w:sz w:val="18"/>
              </w:rPr>
              <w:t>26.3</w:t>
            </w:r>
          </w:p>
        </w:tc>
        <w:tc>
          <w:tcPr>
            <w:tcW w:w="505" w:type="pct"/>
            <w:tcBorders>
              <w:top w:val="thinThickSmallGap" w:sz="24" w:space="0" w:color="auto"/>
            </w:tcBorders>
            <w:noWrap/>
          </w:tcPr>
          <w:p w14:paraId="33B2BF28" w14:textId="77777777" w:rsidR="008D6DE0" w:rsidRPr="009070D8" w:rsidRDefault="008D6DE0" w:rsidP="003F6E44">
            <w:pPr>
              <w:jc w:val="right"/>
              <w:rPr>
                <w:sz w:val="18"/>
              </w:rPr>
            </w:pPr>
            <w:r w:rsidRPr="009070D8">
              <w:rPr>
                <w:sz w:val="18"/>
              </w:rPr>
              <w:t>33.5</w:t>
            </w:r>
          </w:p>
        </w:tc>
      </w:tr>
      <w:tr w:rsidR="008D6DE0" w:rsidRPr="009070D8" w14:paraId="5510346B" w14:textId="77777777" w:rsidTr="003F141F">
        <w:trPr>
          <w:trHeight w:val="300"/>
          <w:jc w:val="center"/>
        </w:trPr>
        <w:tc>
          <w:tcPr>
            <w:tcW w:w="1027" w:type="pct"/>
            <w:noWrap/>
          </w:tcPr>
          <w:p w14:paraId="49E619A3" w14:textId="77777777" w:rsidR="008D6DE0" w:rsidRPr="009070D8" w:rsidRDefault="008D6DE0" w:rsidP="003F6E44">
            <w:pPr>
              <w:rPr>
                <w:sz w:val="18"/>
              </w:rPr>
            </w:pPr>
            <w:r w:rsidRPr="009070D8">
              <w:rPr>
                <w:sz w:val="18"/>
              </w:rPr>
              <w:t>Average amount received (KM)</w:t>
            </w:r>
          </w:p>
        </w:tc>
        <w:tc>
          <w:tcPr>
            <w:tcW w:w="347" w:type="pct"/>
            <w:noWrap/>
          </w:tcPr>
          <w:p w14:paraId="1B724DAC" w14:textId="77777777" w:rsidR="008D6DE0" w:rsidRPr="009070D8" w:rsidRDefault="008D6DE0" w:rsidP="003F6E44">
            <w:pPr>
              <w:jc w:val="right"/>
              <w:rPr>
                <w:sz w:val="18"/>
              </w:rPr>
            </w:pPr>
            <w:r w:rsidRPr="009070D8">
              <w:rPr>
                <w:sz w:val="18"/>
              </w:rPr>
              <w:t>51.7</w:t>
            </w:r>
          </w:p>
        </w:tc>
        <w:tc>
          <w:tcPr>
            <w:tcW w:w="347" w:type="pct"/>
            <w:noWrap/>
          </w:tcPr>
          <w:p w14:paraId="0B1A6F98" w14:textId="77777777" w:rsidR="008D6DE0" w:rsidRPr="009070D8" w:rsidRDefault="008D6DE0" w:rsidP="003F6E44">
            <w:pPr>
              <w:jc w:val="right"/>
              <w:rPr>
                <w:sz w:val="18"/>
              </w:rPr>
            </w:pPr>
            <w:r w:rsidRPr="009070D8">
              <w:rPr>
                <w:sz w:val="18"/>
              </w:rPr>
              <w:t>74.6</w:t>
            </w:r>
          </w:p>
        </w:tc>
        <w:tc>
          <w:tcPr>
            <w:tcW w:w="347" w:type="pct"/>
            <w:noWrap/>
          </w:tcPr>
          <w:p w14:paraId="1037BEDD" w14:textId="77777777" w:rsidR="008D6DE0" w:rsidRPr="009070D8" w:rsidRDefault="008D6DE0" w:rsidP="003F6E44">
            <w:pPr>
              <w:jc w:val="right"/>
              <w:rPr>
                <w:sz w:val="18"/>
              </w:rPr>
            </w:pPr>
            <w:r w:rsidRPr="009070D8">
              <w:rPr>
                <w:sz w:val="18"/>
              </w:rPr>
              <w:t>62.6</w:t>
            </w:r>
          </w:p>
        </w:tc>
        <w:tc>
          <w:tcPr>
            <w:tcW w:w="347" w:type="pct"/>
            <w:noWrap/>
          </w:tcPr>
          <w:p w14:paraId="45A1D0F1" w14:textId="77777777" w:rsidR="008D6DE0" w:rsidRPr="009070D8" w:rsidRDefault="008D6DE0" w:rsidP="003F6E44">
            <w:pPr>
              <w:jc w:val="right"/>
              <w:rPr>
                <w:sz w:val="18"/>
              </w:rPr>
            </w:pPr>
            <w:r w:rsidRPr="009070D8">
              <w:rPr>
                <w:sz w:val="18"/>
              </w:rPr>
              <w:t>103.5</w:t>
            </w:r>
          </w:p>
        </w:tc>
        <w:tc>
          <w:tcPr>
            <w:tcW w:w="347" w:type="pct"/>
            <w:noWrap/>
          </w:tcPr>
          <w:p w14:paraId="6BD99147" w14:textId="77777777" w:rsidR="008D6DE0" w:rsidRPr="009070D8" w:rsidRDefault="008D6DE0" w:rsidP="003F6E44">
            <w:pPr>
              <w:jc w:val="right"/>
              <w:rPr>
                <w:sz w:val="18"/>
              </w:rPr>
            </w:pPr>
            <w:r w:rsidRPr="009070D8">
              <w:rPr>
                <w:sz w:val="18"/>
              </w:rPr>
              <w:t>83.0</w:t>
            </w:r>
          </w:p>
        </w:tc>
        <w:tc>
          <w:tcPr>
            <w:tcW w:w="346" w:type="pct"/>
            <w:noWrap/>
          </w:tcPr>
          <w:p w14:paraId="14A747EF" w14:textId="77777777" w:rsidR="008D6DE0" w:rsidRPr="009070D8" w:rsidRDefault="008D6DE0" w:rsidP="003F6E44">
            <w:pPr>
              <w:jc w:val="right"/>
              <w:rPr>
                <w:sz w:val="18"/>
              </w:rPr>
            </w:pPr>
            <w:r w:rsidRPr="009070D8">
              <w:rPr>
                <w:sz w:val="18"/>
              </w:rPr>
              <w:t>106.7</w:t>
            </w:r>
          </w:p>
        </w:tc>
        <w:tc>
          <w:tcPr>
            <w:tcW w:w="347" w:type="pct"/>
            <w:noWrap/>
          </w:tcPr>
          <w:p w14:paraId="707F481B" w14:textId="77777777" w:rsidR="008D6DE0" w:rsidRPr="009070D8" w:rsidRDefault="008D6DE0" w:rsidP="003F6E44">
            <w:pPr>
              <w:jc w:val="right"/>
              <w:rPr>
                <w:sz w:val="18"/>
              </w:rPr>
            </w:pPr>
            <w:r w:rsidRPr="009070D8">
              <w:rPr>
                <w:sz w:val="18"/>
              </w:rPr>
              <w:t>107.3</w:t>
            </w:r>
          </w:p>
        </w:tc>
        <w:tc>
          <w:tcPr>
            <w:tcW w:w="347" w:type="pct"/>
            <w:noWrap/>
          </w:tcPr>
          <w:p w14:paraId="5DFE1B0F" w14:textId="77777777" w:rsidR="008D6DE0" w:rsidRPr="009070D8" w:rsidRDefault="008D6DE0" w:rsidP="003F6E44">
            <w:pPr>
              <w:jc w:val="right"/>
              <w:rPr>
                <w:sz w:val="18"/>
              </w:rPr>
            </w:pPr>
            <w:r w:rsidRPr="009070D8">
              <w:rPr>
                <w:sz w:val="18"/>
              </w:rPr>
              <w:t>107.2</w:t>
            </w:r>
          </w:p>
        </w:tc>
        <w:tc>
          <w:tcPr>
            <w:tcW w:w="347" w:type="pct"/>
            <w:noWrap/>
          </w:tcPr>
          <w:p w14:paraId="7860F3F9" w14:textId="77777777" w:rsidR="008D6DE0" w:rsidRPr="009070D8" w:rsidRDefault="008D6DE0" w:rsidP="003F6E44">
            <w:pPr>
              <w:jc w:val="right"/>
              <w:rPr>
                <w:sz w:val="18"/>
              </w:rPr>
            </w:pPr>
            <w:r w:rsidRPr="009070D8">
              <w:rPr>
                <w:sz w:val="18"/>
              </w:rPr>
              <w:t>140.5</w:t>
            </w:r>
          </w:p>
        </w:tc>
        <w:tc>
          <w:tcPr>
            <w:tcW w:w="347" w:type="pct"/>
            <w:noWrap/>
          </w:tcPr>
          <w:p w14:paraId="3A7C9C61" w14:textId="77777777" w:rsidR="008D6DE0" w:rsidRPr="009070D8" w:rsidRDefault="008D6DE0" w:rsidP="003F6E44">
            <w:pPr>
              <w:jc w:val="right"/>
              <w:rPr>
                <w:sz w:val="18"/>
              </w:rPr>
            </w:pPr>
            <w:r w:rsidRPr="009070D8">
              <w:rPr>
                <w:sz w:val="18"/>
              </w:rPr>
              <w:t>169.6</w:t>
            </w:r>
          </w:p>
        </w:tc>
        <w:tc>
          <w:tcPr>
            <w:tcW w:w="505" w:type="pct"/>
            <w:noWrap/>
          </w:tcPr>
          <w:p w14:paraId="59881811" w14:textId="77777777" w:rsidR="008D6DE0" w:rsidRPr="009070D8" w:rsidRDefault="008D6DE0" w:rsidP="003F6E44">
            <w:pPr>
              <w:jc w:val="right"/>
              <w:rPr>
                <w:sz w:val="18"/>
              </w:rPr>
            </w:pPr>
            <w:r w:rsidRPr="009070D8">
              <w:rPr>
                <w:sz w:val="18"/>
              </w:rPr>
              <w:t>100.5</w:t>
            </w:r>
          </w:p>
        </w:tc>
      </w:tr>
    </w:tbl>
    <w:p w14:paraId="69B7CA74" w14:textId="0F1E2DBF" w:rsidR="008D6DE0" w:rsidRPr="009070D8" w:rsidRDefault="008D6DE0" w:rsidP="00003759">
      <w:pPr>
        <w:spacing w:line="360" w:lineRule="auto"/>
        <w:jc w:val="both"/>
        <w:rPr>
          <w:sz w:val="22"/>
        </w:rPr>
      </w:pPr>
      <w:r w:rsidRPr="009070D8">
        <w:rPr>
          <w:sz w:val="22"/>
        </w:rPr>
        <w:t xml:space="preserve">Source: </w:t>
      </w:r>
      <w:r w:rsidR="00811C04" w:rsidRPr="009070D8">
        <w:rPr>
          <w:sz w:val="22"/>
        </w:rPr>
        <w:t>Authors’</w:t>
      </w:r>
      <w:r w:rsidRPr="009070D8">
        <w:rPr>
          <w:sz w:val="22"/>
        </w:rPr>
        <w:t xml:space="preserve"> ca</w:t>
      </w:r>
      <w:r w:rsidR="008C754D" w:rsidRPr="009070D8">
        <w:rPr>
          <w:sz w:val="22"/>
        </w:rPr>
        <w:t xml:space="preserve">lculations based on the </w:t>
      </w:r>
      <w:r w:rsidR="00E42CF3" w:rsidRPr="009070D8">
        <w:rPr>
          <w:sz w:val="22"/>
        </w:rPr>
        <w:t>LBiH</w:t>
      </w:r>
      <w:r w:rsidR="008C754D" w:rsidRPr="009070D8">
        <w:rPr>
          <w:sz w:val="22"/>
        </w:rPr>
        <w:t xml:space="preserve"> 2004</w:t>
      </w:r>
      <w:r w:rsidRPr="009070D8">
        <w:rPr>
          <w:sz w:val="22"/>
        </w:rPr>
        <w:t xml:space="preserve"> survey</w:t>
      </w:r>
    </w:p>
    <w:p w14:paraId="6B3316AF" w14:textId="77777777" w:rsidR="008D6DE0" w:rsidRPr="009070D8" w:rsidRDefault="008D6DE0" w:rsidP="009A3D8E">
      <w:pPr>
        <w:spacing w:line="360" w:lineRule="auto"/>
        <w:ind w:firstLine="720"/>
        <w:jc w:val="both"/>
      </w:pPr>
    </w:p>
    <w:p w14:paraId="3BB4CE10" w14:textId="07DBD344" w:rsidR="008D6DE0" w:rsidRPr="009070D8" w:rsidRDefault="008D6DE0" w:rsidP="009A3D8E">
      <w:pPr>
        <w:spacing w:line="360" w:lineRule="auto"/>
        <w:ind w:firstLine="720"/>
        <w:jc w:val="both"/>
      </w:pPr>
      <w:r w:rsidRPr="009070D8">
        <w:t xml:space="preserve">Table 2 </w:t>
      </w:r>
      <w:r w:rsidR="00343689">
        <w:t>shows</w:t>
      </w:r>
      <w:r w:rsidRPr="009070D8">
        <w:t xml:space="preserve"> that remittances do not contribute to </w:t>
      </w:r>
      <w:r w:rsidR="00811C04" w:rsidRPr="009070D8">
        <w:t xml:space="preserve">a </w:t>
      </w:r>
      <w:r w:rsidRPr="009070D8">
        <w:t xml:space="preserve">decrease in inequality, as the average amount of remittances tends to increase from the poorest to the richest decile. Also, the proportion of households receiving remittances in each decile, with the exception of the richest quintile, </w:t>
      </w:r>
      <w:r w:rsidR="005627B8">
        <w:t xml:space="preserve">generally </w:t>
      </w:r>
      <w:r w:rsidRPr="009070D8">
        <w:t xml:space="preserve">increases as we move from poorer to richer deciles. This information is important for the argument </w:t>
      </w:r>
      <w:r w:rsidRPr="009070D8">
        <w:lastRenderedPageBreak/>
        <w:t xml:space="preserve">that remittances influence educational investments only of </w:t>
      </w:r>
      <w:r w:rsidR="005627B8">
        <w:t xml:space="preserve">those </w:t>
      </w:r>
      <w:r w:rsidRPr="009070D8">
        <w:t xml:space="preserve">households that fall into a specific income </w:t>
      </w:r>
      <w:r w:rsidR="005627B8">
        <w:t>bracket</w:t>
      </w:r>
      <w:r w:rsidRPr="009070D8">
        <w:t>, which will be explained in detail later.</w:t>
      </w:r>
    </w:p>
    <w:p w14:paraId="7690FA2C" w14:textId="1C3DF9B9" w:rsidR="008D6DE0" w:rsidRPr="009070D8" w:rsidRDefault="00972693" w:rsidP="00393067">
      <w:pPr>
        <w:spacing w:line="360" w:lineRule="auto"/>
        <w:ind w:firstLine="720"/>
        <w:jc w:val="both"/>
      </w:pPr>
      <w:r>
        <w:t>To</w:t>
      </w:r>
      <w:r w:rsidR="00226806" w:rsidRPr="009070D8">
        <w:t xml:space="preserve"> better understand </w:t>
      </w:r>
      <w:r>
        <w:t xml:space="preserve">the </w:t>
      </w:r>
      <w:r w:rsidR="00226806" w:rsidRPr="009070D8">
        <w:t xml:space="preserve">context of the study, we also briefly describe the educational system in BiH. </w:t>
      </w:r>
      <w:r w:rsidR="008D6DE0" w:rsidRPr="009070D8">
        <w:t xml:space="preserve">The main characteristics of the educational system in Bosnia-Herzegovina as a result of the war are </w:t>
      </w:r>
      <w:r w:rsidR="005627B8">
        <w:t xml:space="preserve">a </w:t>
      </w:r>
      <w:r w:rsidR="008D6DE0" w:rsidRPr="009070D8">
        <w:t>reluctance to reform the educational system inherited from ex-Yugoslavia and the burden that the political organi</w:t>
      </w:r>
      <w:r w:rsidR="005627B8">
        <w:t>z</w:t>
      </w:r>
      <w:r w:rsidR="008D6DE0" w:rsidRPr="009070D8">
        <w:t>ation of the country puts on the educational system.</w:t>
      </w:r>
      <w:r w:rsidR="00811C04" w:rsidRPr="009070D8">
        <w:rPr>
          <w:rStyle w:val="EndnoteReference"/>
        </w:rPr>
        <w:endnoteReference w:id="18"/>
      </w:r>
      <w:r w:rsidR="008D6DE0" w:rsidRPr="009070D8">
        <w:t xml:space="preserve"> According to the Dayton Peace Agreement, Bosnia-Herzegovina is a country organized in</w:t>
      </w:r>
      <w:r w:rsidR="00E11AF0">
        <w:t>to</w:t>
      </w:r>
      <w:r w:rsidR="008D6DE0" w:rsidRPr="009070D8">
        <w:t xml:space="preserve"> two entities, the Federation of BiH (FBiH) and the Republika Srpska (RS), where the Federation of BiH is comprised of ten can</w:t>
      </w:r>
      <w:r w:rsidR="00811C04" w:rsidRPr="009070D8">
        <w:t>tons. Education in RS is organiz</w:t>
      </w:r>
      <w:r w:rsidR="008D6DE0" w:rsidRPr="009070D8">
        <w:t xml:space="preserve">ed and controlled at the entity level, whereas in FBiH most education issues are regulated at the canton level. The lack of coordination between cantons and entities make any attempt at </w:t>
      </w:r>
      <w:r w:rsidR="000F765E">
        <w:t xml:space="preserve">meaningful </w:t>
      </w:r>
      <w:r w:rsidR="008D6DE0" w:rsidRPr="009070D8">
        <w:t>reform tremendously difficult.</w:t>
      </w:r>
    </w:p>
    <w:p w14:paraId="32DA6ED5" w14:textId="4C617B3F" w:rsidR="008D6DE0" w:rsidRPr="009070D8" w:rsidRDefault="008D6DE0" w:rsidP="00FB2DCE">
      <w:pPr>
        <w:spacing w:line="360" w:lineRule="auto"/>
        <w:ind w:firstLine="720"/>
        <w:jc w:val="both"/>
      </w:pPr>
      <w:r w:rsidRPr="009070D8">
        <w:t xml:space="preserve">The legacy of the </w:t>
      </w:r>
      <w:r w:rsidR="000F765E">
        <w:t xml:space="preserve">incumbent </w:t>
      </w:r>
      <w:r w:rsidRPr="009070D8">
        <w:t>Yugoslav system, with highly subsidized education at all levels, but without appropriate reforms in terms of adjustments to the new structure of the economy and labour market needs, along with the lack of coordination between different levels of authority, has resulted in significant mismatch between the skills produced by the education system and those required by the l</w:t>
      </w:r>
      <w:r w:rsidR="00811C04" w:rsidRPr="009070D8">
        <w:t>abour market. The phenomena of ‘educated unemployment’</w:t>
      </w:r>
      <w:r w:rsidRPr="009070D8">
        <w:t xml:space="preserve"> </w:t>
      </w:r>
      <w:r w:rsidR="00811C04" w:rsidRPr="009070D8">
        <w:t>and ‘overeducated’</w:t>
      </w:r>
      <w:r w:rsidR="00372186" w:rsidRPr="009070D8">
        <w:t xml:space="preserve"> individuals</w:t>
      </w:r>
      <w:r w:rsidRPr="009070D8">
        <w:t>, as reported in the Labour Market Surveys, seem to be widespread.</w:t>
      </w:r>
      <w:r w:rsidR="00811C04" w:rsidRPr="009070D8">
        <w:rPr>
          <w:rStyle w:val="EndnoteReference"/>
        </w:rPr>
        <w:endnoteReference w:id="19"/>
      </w:r>
      <w:r w:rsidRPr="009070D8">
        <w:t xml:space="preserve"> </w:t>
      </w:r>
    </w:p>
    <w:p w14:paraId="27793BCB" w14:textId="225B6819" w:rsidR="00226806" w:rsidRPr="009070D8" w:rsidRDefault="008D6DE0" w:rsidP="008858CE">
      <w:pPr>
        <w:spacing w:line="360" w:lineRule="auto"/>
        <w:ind w:firstLine="720"/>
        <w:jc w:val="both"/>
      </w:pPr>
      <w:r w:rsidRPr="009070D8">
        <w:t>In a country without a national Census since 1991</w:t>
      </w:r>
      <w:r w:rsidR="00162548" w:rsidRPr="009070D8">
        <w:t>,</w:t>
      </w:r>
      <w:r w:rsidRPr="009070D8">
        <w:rPr>
          <w:rStyle w:val="EndnoteReference"/>
        </w:rPr>
        <w:endnoteReference w:id="20"/>
      </w:r>
      <w:r w:rsidRPr="009070D8">
        <w:t xml:space="preserve"> it is extremely difficult to obtain relevant data on the literacy rates and education structure of the population. According to the Census in 1991</w:t>
      </w:r>
      <w:r w:rsidR="00162548" w:rsidRPr="009070D8">
        <w:t>,</w:t>
      </w:r>
      <w:r w:rsidRPr="009070D8">
        <w:t xml:space="preserve"> about 10% of the population were illiterate. Small-scale household surveys conducted in the meantime suggest that this rate has declined to about 5%. Also, these surveys suggest that about 9% of the population are without education, more than 30% </w:t>
      </w:r>
      <w:r w:rsidR="00162548" w:rsidRPr="009070D8">
        <w:t>have</w:t>
      </w:r>
      <w:r w:rsidRPr="009070D8">
        <w:t xml:space="preserve"> primary education only, about 50% </w:t>
      </w:r>
      <w:r w:rsidR="00162548" w:rsidRPr="009070D8">
        <w:t>have secondary education and 8%</w:t>
      </w:r>
      <w:r w:rsidRPr="009070D8">
        <w:t xml:space="preserve"> higher education. The net enrolment rate in primary school is about 97%, in secondary school about 75% and in higher education about 20%. Around 55% of students enrolled in secondary schools graduate on time.  Official statistics about the number of schools, students and teachers in BiH </w:t>
      </w:r>
      <w:r w:rsidR="00162548" w:rsidRPr="009070D8">
        <w:t xml:space="preserve">for 2015 </w:t>
      </w:r>
      <w:r w:rsidRPr="009070D8">
        <w:t xml:space="preserve">are presented in Table 3. </w:t>
      </w:r>
    </w:p>
    <w:p w14:paraId="70F7A898" w14:textId="77777777" w:rsidR="00226806" w:rsidRPr="009070D8" w:rsidRDefault="00226806" w:rsidP="00991699">
      <w:pPr>
        <w:spacing w:line="360" w:lineRule="auto"/>
        <w:ind w:firstLine="720"/>
        <w:jc w:val="both"/>
      </w:pPr>
    </w:p>
    <w:p w14:paraId="4DB42835" w14:textId="0BEDCC78" w:rsidR="008D6DE0" w:rsidRPr="009070D8" w:rsidRDefault="008D6DE0" w:rsidP="00003759">
      <w:pPr>
        <w:spacing w:line="360" w:lineRule="auto"/>
        <w:jc w:val="center"/>
      </w:pPr>
      <w:r w:rsidRPr="009070D8">
        <w:t>Table 3: Official statistics about educational enrolment in BiH, 2015</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921"/>
        <w:gridCol w:w="1921"/>
        <w:gridCol w:w="1918"/>
        <w:gridCol w:w="1924"/>
        <w:gridCol w:w="1922"/>
      </w:tblGrid>
      <w:tr w:rsidR="008D6DE0" w:rsidRPr="009070D8" w14:paraId="5697ED77" w14:textId="77777777" w:rsidTr="009A4F32">
        <w:trPr>
          <w:trHeight w:val="300"/>
        </w:trPr>
        <w:tc>
          <w:tcPr>
            <w:tcW w:w="1921" w:type="dxa"/>
            <w:tcBorders>
              <w:top w:val="single" w:sz="4" w:space="0" w:color="auto"/>
              <w:bottom w:val="thinThickSmallGap" w:sz="24" w:space="0" w:color="auto"/>
            </w:tcBorders>
            <w:noWrap/>
            <w:vAlign w:val="center"/>
          </w:tcPr>
          <w:p w14:paraId="137756EB" w14:textId="77777777" w:rsidR="008D6DE0" w:rsidRPr="009070D8" w:rsidRDefault="008D6DE0" w:rsidP="003F6E44">
            <w:pPr>
              <w:jc w:val="center"/>
              <w:rPr>
                <w:sz w:val="22"/>
              </w:rPr>
            </w:pPr>
            <w:r w:rsidRPr="009070D8">
              <w:rPr>
                <w:sz w:val="22"/>
              </w:rPr>
              <w:t>Education level</w:t>
            </w:r>
          </w:p>
        </w:tc>
        <w:tc>
          <w:tcPr>
            <w:tcW w:w="1921" w:type="dxa"/>
            <w:tcBorders>
              <w:top w:val="single" w:sz="4" w:space="0" w:color="auto"/>
              <w:bottom w:val="thinThickSmallGap" w:sz="24" w:space="0" w:color="auto"/>
            </w:tcBorders>
            <w:noWrap/>
            <w:vAlign w:val="center"/>
          </w:tcPr>
          <w:p w14:paraId="644E2ACB" w14:textId="77777777" w:rsidR="008D6DE0" w:rsidRPr="009070D8" w:rsidRDefault="008D6DE0" w:rsidP="003F6E44">
            <w:pPr>
              <w:jc w:val="center"/>
              <w:rPr>
                <w:sz w:val="22"/>
              </w:rPr>
            </w:pPr>
            <w:r w:rsidRPr="009070D8">
              <w:rPr>
                <w:sz w:val="22"/>
              </w:rPr>
              <w:t>Number of schools</w:t>
            </w:r>
          </w:p>
        </w:tc>
        <w:tc>
          <w:tcPr>
            <w:tcW w:w="1918" w:type="dxa"/>
            <w:tcBorders>
              <w:top w:val="single" w:sz="4" w:space="0" w:color="auto"/>
              <w:bottom w:val="thinThickSmallGap" w:sz="24" w:space="0" w:color="auto"/>
            </w:tcBorders>
            <w:noWrap/>
            <w:vAlign w:val="center"/>
          </w:tcPr>
          <w:p w14:paraId="25CC9B25" w14:textId="77777777" w:rsidR="008D6DE0" w:rsidRPr="009070D8" w:rsidRDefault="008D6DE0" w:rsidP="003F6E44">
            <w:pPr>
              <w:jc w:val="center"/>
              <w:rPr>
                <w:sz w:val="22"/>
              </w:rPr>
            </w:pPr>
            <w:r w:rsidRPr="009070D8">
              <w:rPr>
                <w:sz w:val="22"/>
              </w:rPr>
              <w:t>Number of students</w:t>
            </w:r>
          </w:p>
        </w:tc>
        <w:tc>
          <w:tcPr>
            <w:tcW w:w="1924" w:type="dxa"/>
            <w:tcBorders>
              <w:top w:val="single" w:sz="4" w:space="0" w:color="auto"/>
              <w:bottom w:val="thinThickSmallGap" w:sz="24" w:space="0" w:color="auto"/>
            </w:tcBorders>
            <w:noWrap/>
            <w:vAlign w:val="center"/>
          </w:tcPr>
          <w:p w14:paraId="35689569" w14:textId="77777777" w:rsidR="008D6DE0" w:rsidRPr="009070D8" w:rsidRDefault="008D6DE0" w:rsidP="003F6E44">
            <w:pPr>
              <w:jc w:val="center"/>
              <w:rPr>
                <w:sz w:val="22"/>
              </w:rPr>
            </w:pPr>
            <w:r w:rsidRPr="009070D8">
              <w:rPr>
                <w:sz w:val="22"/>
              </w:rPr>
              <w:t>Number of teachers</w:t>
            </w:r>
          </w:p>
        </w:tc>
        <w:tc>
          <w:tcPr>
            <w:tcW w:w="1922" w:type="dxa"/>
            <w:tcBorders>
              <w:top w:val="single" w:sz="4" w:space="0" w:color="auto"/>
              <w:bottom w:val="thinThickSmallGap" w:sz="24" w:space="0" w:color="auto"/>
            </w:tcBorders>
            <w:noWrap/>
            <w:vAlign w:val="center"/>
          </w:tcPr>
          <w:p w14:paraId="0838B51D" w14:textId="77777777" w:rsidR="008D6DE0" w:rsidRPr="009070D8" w:rsidRDefault="008D6DE0" w:rsidP="003F6E44">
            <w:pPr>
              <w:jc w:val="center"/>
              <w:rPr>
                <w:sz w:val="22"/>
              </w:rPr>
            </w:pPr>
            <w:r w:rsidRPr="009070D8">
              <w:rPr>
                <w:sz w:val="22"/>
              </w:rPr>
              <w:t>Student/teacher</w:t>
            </w:r>
          </w:p>
          <w:p w14:paraId="0288D675" w14:textId="7370F99F" w:rsidR="008D6DE0" w:rsidRPr="009070D8" w:rsidRDefault="00162548" w:rsidP="003F6E44">
            <w:pPr>
              <w:jc w:val="center"/>
              <w:rPr>
                <w:sz w:val="22"/>
              </w:rPr>
            </w:pPr>
            <w:r w:rsidRPr="009070D8">
              <w:rPr>
                <w:sz w:val="22"/>
              </w:rPr>
              <w:t>r</w:t>
            </w:r>
            <w:r w:rsidR="008D6DE0" w:rsidRPr="009070D8">
              <w:rPr>
                <w:sz w:val="22"/>
              </w:rPr>
              <w:t>atio</w:t>
            </w:r>
          </w:p>
        </w:tc>
      </w:tr>
      <w:tr w:rsidR="008D6DE0" w:rsidRPr="009070D8" w14:paraId="29945694" w14:textId="77777777" w:rsidTr="009A4F32">
        <w:trPr>
          <w:trHeight w:val="300"/>
        </w:trPr>
        <w:tc>
          <w:tcPr>
            <w:tcW w:w="1921" w:type="dxa"/>
            <w:tcBorders>
              <w:top w:val="thinThickSmallGap" w:sz="24" w:space="0" w:color="auto"/>
            </w:tcBorders>
            <w:noWrap/>
            <w:vAlign w:val="center"/>
          </w:tcPr>
          <w:p w14:paraId="1D7DD975" w14:textId="77777777" w:rsidR="008D6DE0" w:rsidRPr="009070D8" w:rsidRDefault="008D6DE0" w:rsidP="003F6E44">
            <w:pPr>
              <w:rPr>
                <w:sz w:val="22"/>
              </w:rPr>
            </w:pPr>
            <w:r w:rsidRPr="009070D8">
              <w:rPr>
                <w:sz w:val="22"/>
              </w:rPr>
              <w:t>Primary</w:t>
            </w:r>
          </w:p>
        </w:tc>
        <w:tc>
          <w:tcPr>
            <w:tcW w:w="1921" w:type="dxa"/>
            <w:tcBorders>
              <w:top w:val="thinThickSmallGap" w:sz="24" w:space="0" w:color="auto"/>
            </w:tcBorders>
            <w:noWrap/>
            <w:vAlign w:val="center"/>
          </w:tcPr>
          <w:p w14:paraId="000C2537" w14:textId="6803D27A" w:rsidR="008D6DE0" w:rsidRPr="009070D8" w:rsidRDefault="008D6DE0" w:rsidP="00003759">
            <w:pPr>
              <w:ind w:right="615"/>
              <w:jc w:val="right"/>
              <w:rPr>
                <w:sz w:val="22"/>
              </w:rPr>
            </w:pPr>
            <w:r w:rsidRPr="009070D8">
              <w:rPr>
                <w:sz w:val="22"/>
              </w:rPr>
              <w:t>1,812</w:t>
            </w:r>
          </w:p>
        </w:tc>
        <w:tc>
          <w:tcPr>
            <w:tcW w:w="1918" w:type="dxa"/>
            <w:tcBorders>
              <w:top w:val="thinThickSmallGap" w:sz="24" w:space="0" w:color="auto"/>
            </w:tcBorders>
            <w:noWrap/>
            <w:vAlign w:val="center"/>
          </w:tcPr>
          <w:p w14:paraId="6CFC5BEF" w14:textId="3E577678" w:rsidR="008D6DE0" w:rsidRPr="009070D8" w:rsidRDefault="008D6DE0" w:rsidP="00003759">
            <w:pPr>
              <w:ind w:right="407"/>
              <w:jc w:val="right"/>
              <w:rPr>
                <w:sz w:val="22"/>
              </w:rPr>
            </w:pPr>
            <w:r w:rsidRPr="009070D8">
              <w:rPr>
                <w:sz w:val="22"/>
              </w:rPr>
              <w:t>296,842</w:t>
            </w:r>
          </w:p>
        </w:tc>
        <w:tc>
          <w:tcPr>
            <w:tcW w:w="1924" w:type="dxa"/>
            <w:tcBorders>
              <w:top w:val="thinThickSmallGap" w:sz="24" w:space="0" w:color="auto"/>
            </w:tcBorders>
            <w:noWrap/>
            <w:vAlign w:val="center"/>
          </w:tcPr>
          <w:p w14:paraId="285FDF6E" w14:textId="6C95FA87" w:rsidR="008D6DE0" w:rsidRPr="009070D8" w:rsidRDefault="008D6DE0" w:rsidP="00003759">
            <w:pPr>
              <w:ind w:right="488"/>
              <w:jc w:val="right"/>
              <w:rPr>
                <w:sz w:val="22"/>
              </w:rPr>
            </w:pPr>
            <w:r w:rsidRPr="009070D8">
              <w:rPr>
                <w:sz w:val="22"/>
              </w:rPr>
              <w:t>24,118</w:t>
            </w:r>
          </w:p>
        </w:tc>
        <w:tc>
          <w:tcPr>
            <w:tcW w:w="1922" w:type="dxa"/>
            <w:tcBorders>
              <w:top w:val="thinThickSmallGap" w:sz="24" w:space="0" w:color="auto"/>
            </w:tcBorders>
            <w:noWrap/>
            <w:vAlign w:val="center"/>
          </w:tcPr>
          <w:p w14:paraId="010B4CF7" w14:textId="6FA1A6F0" w:rsidR="008D6DE0" w:rsidRPr="009070D8" w:rsidRDefault="008D6DE0" w:rsidP="00003759">
            <w:pPr>
              <w:ind w:right="567"/>
              <w:jc w:val="right"/>
              <w:rPr>
                <w:sz w:val="22"/>
              </w:rPr>
            </w:pPr>
            <w:r w:rsidRPr="009070D8">
              <w:rPr>
                <w:sz w:val="22"/>
              </w:rPr>
              <w:t>12.31</w:t>
            </w:r>
          </w:p>
        </w:tc>
      </w:tr>
      <w:tr w:rsidR="008D6DE0" w:rsidRPr="009070D8" w14:paraId="0FE3FA6B" w14:textId="77777777" w:rsidTr="009A4F32">
        <w:trPr>
          <w:trHeight w:val="300"/>
        </w:trPr>
        <w:tc>
          <w:tcPr>
            <w:tcW w:w="1921" w:type="dxa"/>
            <w:noWrap/>
            <w:vAlign w:val="center"/>
          </w:tcPr>
          <w:p w14:paraId="3ACA441C" w14:textId="77777777" w:rsidR="008D6DE0" w:rsidRPr="009070D8" w:rsidRDefault="008D6DE0" w:rsidP="003F6E44">
            <w:pPr>
              <w:rPr>
                <w:sz w:val="22"/>
              </w:rPr>
            </w:pPr>
            <w:r w:rsidRPr="009070D8">
              <w:rPr>
                <w:sz w:val="22"/>
              </w:rPr>
              <w:t>Secondary</w:t>
            </w:r>
          </w:p>
        </w:tc>
        <w:tc>
          <w:tcPr>
            <w:tcW w:w="1921" w:type="dxa"/>
            <w:noWrap/>
            <w:vAlign w:val="center"/>
          </w:tcPr>
          <w:p w14:paraId="7CA3AB11" w14:textId="03548E06" w:rsidR="008D6DE0" w:rsidRPr="009070D8" w:rsidRDefault="008D6DE0" w:rsidP="00003759">
            <w:pPr>
              <w:ind w:right="615"/>
              <w:jc w:val="right"/>
              <w:rPr>
                <w:sz w:val="22"/>
              </w:rPr>
            </w:pPr>
            <w:r w:rsidRPr="009070D8">
              <w:rPr>
                <w:sz w:val="22"/>
              </w:rPr>
              <w:t>311</w:t>
            </w:r>
          </w:p>
        </w:tc>
        <w:tc>
          <w:tcPr>
            <w:tcW w:w="1918" w:type="dxa"/>
            <w:noWrap/>
            <w:vAlign w:val="center"/>
          </w:tcPr>
          <w:p w14:paraId="2DE698DF" w14:textId="519D013E" w:rsidR="008D6DE0" w:rsidRPr="009070D8" w:rsidRDefault="008D6DE0" w:rsidP="00003759">
            <w:pPr>
              <w:ind w:right="407"/>
              <w:jc w:val="right"/>
              <w:rPr>
                <w:sz w:val="22"/>
              </w:rPr>
            </w:pPr>
            <w:r w:rsidRPr="009070D8">
              <w:rPr>
                <w:sz w:val="22"/>
              </w:rPr>
              <w:t>144,231</w:t>
            </w:r>
          </w:p>
        </w:tc>
        <w:tc>
          <w:tcPr>
            <w:tcW w:w="1924" w:type="dxa"/>
            <w:noWrap/>
            <w:vAlign w:val="center"/>
          </w:tcPr>
          <w:p w14:paraId="028379DC" w14:textId="6B0A2E7C" w:rsidR="008D6DE0" w:rsidRPr="009070D8" w:rsidRDefault="008D6DE0" w:rsidP="00003759">
            <w:pPr>
              <w:ind w:right="488"/>
              <w:jc w:val="right"/>
              <w:rPr>
                <w:sz w:val="22"/>
              </w:rPr>
            </w:pPr>
            <w:r w:rsidRPr="009070D8">
              <w:rPr>
                <w:sz w:val="22"/>
              </w:rPr>
              <w:t>12,773</w:t>
            </w:r>
          </w:p>
        </w:tc>
        <w:tc>
          <w:tcPr>
            <w:tcW w:w="1922" w:type="dxa"/>
            <w:noWrap/>
            <w:vAlign w:val="center"/>
          </w:tcPr>
          <w:p w14:paraId="08E68E0B" w14:textId="41397C52" w:rsidR="008D6DE0" w:rsidRPr="009070D8" w:rsidRDefault="008D6DE0" w:rsidP="00003759">
            <w:pPr>
              <w:ind w:right="567"/>
              <w:jc w:val="right"/>
              <w:rPr>
                <w:sz w:val="22"/>
              </w:rPr>
            </w:pPr>
            <w:r w:rsidRPr="009070D8">
              <w:rPr>
                <w:sz w:val="22"/>
              </w:rPr>
              <w:t>11.29</w:t>
            </w:r>
          </w:p>
        </w:tc>
      </w:tr>
      <w:tr w:rsidR="008D6DE0" w:rsidRPr="009070D8" w14:paraId="3F6A088D" w14:textId="77777777" w:rsidTr="009A4F32">
        <w:trPr>
          <w:trHeight w:val="300"/>
        </w:trPr>
        <w:tc>
          <w:tcPr>
            <w:tcW w:w="1921" w:type="dxa"/>
            <w:noWrap/>
            <w:vAlign w:val="center"/>
          </w:tcPr>
          <w:p w14:paraId="380A8ABE" w14:textId="77777777" w:rsidR="008D6DE0" w:rsidRPr="009070D8" w:rsidRDefault="008D6DE0" w:rsidP="003F6E44">
            <w:pPr>
              <w:rPr>
                <w:sz w:val="22"/>
              </w:rPr>
            </w:pPr>
            <w:r w:rsidRPr="009070D8">
              <w:rPr>
                <w:sz w:val="22"/>
              </w:rPr>
              <w:t>Tertiary</w:t>
            </w:r>
          </w:p>
        </w:tc>
        <w:tc>
          <w:tcPr>
            <w:tcW w:w="1921" w:type="dxa"/>
            <w:noWrap/>
            <w:vAlign w:val="center"/>
          </w:tcPr>
          <w:p w14:paraId="0779683E" w14:textId="3193A712" w:rsidR="008D6DE0" w:rsidRPr="009070D8" w:rsidRDefault="008D6DE0" w:rsidP="003F6E44">
            <w:pPr>
              <w:jc w:val="right"/>
              <w:rPr>
                <w:sz w:val="22"/>
              </w:rPr>
            </w:pPr>
          </w:p>
        </w:tc>
        <w:tc>
          <w:tcPr>
            <w:tcW w:w="1918" w:type="dxa"/>
            <w:noWrap/>
            <w:vAlign w:val="center"/>
          </w:tcPr>
          <w:p w14:paraId="57A0B9C9" w14:textId="12FD2681" w:rsidR="008D6DE0" w:rsidRPr="009070D8" w:rsidRDefault="008D6DE0" w:rsidP="00003759">
            <w:pPr>
              <w:ind w:right="407"/>
              <w:jc w:val="right"/>
              <w:rPr>
                <w:sz w:val="22"/>
              </w:rPr>
            </w:pPr>
            <w:r w:rsidRPr="009070D8">
              <w:rPr>
                <w:sz w:val="22"/>
              </w:rPr>
              <w:t>108,008</w:t>
            </w:r>
          </w:p>
        </w:tc>
        <w:tc>
          <w:tcPr>
            <w:tcW w:w="1924" w:type="dxa"/>
            <w:noWrap/>
            <w:vAlign w:val="center"/>
          </w:tcPr>
          <w:p w14:paraId="4C0434C0" w14:textId="31061F3F" w:rsidR="008D6DE0" w:rsidRPr="009070D8" w:rsidRDefault="008D6DE0" w:rsidP="00003759">
            <w:pPr>
              <w:ind w:right="488"/>
              <w:jc w:val="right"/>
              <w:rPr>
                <w:sz w:val="22"/>
              </w:rPr>
            </w:pPr>
            <w:r w:rsidRPr="009070D8">
              <w:rPr>
                <w:sz w:val="22"/>
              </w:rPr>
              <w:t>9,581</w:t>
            </w:r>
          </w:p>
        </w:tc>
        <w:tc>
          <w:tcPr>
            <w:tcW w:w="1922" w:type="dxa"/>
            <w:noWrap/>
            <w:vAlign w:val="center"/>
          </w:tcPr>
          <w:p w14:paraId="586896B2" w14:textId="56752433" w:rsidR="008D6DE0" w:rsidRPr="009070D8" w:rsidRDefault="008D6DE0" w:rsidP="00003759">
            <w:pPr>
              <w:ind w:right="567"/>
              <w:jc w:val="right"/>
              <w:rPr>
                <w:sz w:val="22"/>
              </w:rPr>
            </w:pPr>
            <w:r w:rsidRPr="009070D8">
              <w:rPr>
                <w:sz w:val="22"/>
              </w:rPr>
              <w:t>11.27</w:t>
            </w:r>
          </w:p>
        </w:tc>
      </w:tr>
    </w:tbl>
    <w:p w14:paraId="61D6D38D" w14:textId="61E10D6B" w:rsidR="008D6DE0" w:rsidRPr="009070D8" w:rsidRDefault="008D6DE0" w:rsidP="00003759">
      <w:pPr>
        <w:spacing w:line="360" w:lineRule="auto"/>
        <w:jc w:val="both"/>
        <w:rPr>
          <w:sz w:val="22"/>
        </w:rPr>
      </w:pPr>
      <w:r w:rsidRPr="009070D8">
        <w:rPr>
          <w:sz w:val="22"/>
        </w:rPr>
        <w:t>Source: BiH Agency of Statistics: Education Statistics, 2015</w:t>
      </w:r>
    </w:p>
    <w:p w14:paraId="0ADF4983" w14:textId="77777777" w:rsidR="008D6DE0" w:rsidRPr="009070D8" w:rsidRDefault="008D6DE0" w:rsidP="0061456D">
      <w:pPr>
        <w:spacing w:line="360" w:lineRule="auto"/>
        <w:jc w:val="both"/>
      </w:pPr>
    </w:p>
    <w:p w14:paraId="19B32618" w14:textId="1B729FC9" w:rsidR="008D6DE0" w:rsidRPr="009070D8" w:rsidRDefault="008D6DE0" w:rsidP="00393067">
      <w:pPr>
        <w:spacing w:line="360" w:lineRule="auto"/>
        <w:ind w:firstLine="708"/>
        <w:jc w:val="both"/>
      </w:pPr>
      <w:r w:rsidRPr="009070D8">
        <w:lastRenderedPageBreak/>
        <w:t>Child labour is relatively uncommon in Bosnia-Herzegovina,</w:t>
      </w:r>
      <w:r w:rsidRPr="009070D8">
        <w:rPr>
          <w:rStyle w:val="EndnoteReference"/>
        </w:rPr>
        <w:endnoteReference w:id="21"/>
      </w:r>
      <w:r w:rsidRPr="009070D8">
        <w:t xml:space="preserve"> so the drop-out rates are generally very low for children of primary school age (6 to 15 years old), compared to some other countries in which empirical evidence on the remittances effect has been investigated</w:t>
      </w:r>
      <w:r w:rsidR="00162548" w:rsidRPr="009070D8">
        <w:t>, notably in Latin America.</w:t>
      </w:r>
      <w:r w:rsidRPr="009070D8">
        <w:t xml:space="preserve"> As a result, the focus of this paper is on the educational attainment of young people of age 16 to 24. This age span encompasses young people in secondary and tertiary education where alternatives such as labour market participation are present and where drop-out rates are much more significant compared to primary education.</w:t>
      </w:r>
      <w:r w:rsidR="000F765E">
        <w:t xml:space="preserve">  The next section presents the empirical investigation.</w:t>
      </w:r>
    </w:p>
    <w:p w14:paraId="6B8111C9" w14:textId="0FB42EAA" w:rsidR="008D6DE0" w:rsidRPr="009070D8" w:rsidRDefault="00162548" w:rsidP="00991699">
      <w:pPr>
        <w:pStyle w:val="Heading1"/>
        <w:rPr>
          <w:color w:val="auto"/>
        </w:rPr>
      </w:pPr>
      <w:r w:rsidRPr="009070D8">
        <w:rPr>
          <w:color w:val="auto"/>
        </w:rPr>
        <w:t>E</w:t>
      </w:r>
      <w:r w:rsidR="008D6DE0" w:rsidRPr="009070D8">
        <w:rPr>
          <w:color w:val="auto"/>
        </w:rPr>
        <w:t>mpirical analysis</w:t>
      </w:r>
    </w:p>
    <w:p w14:paraId="21946083" w14:textId="531FA9B3" w:rsidR="008D6DE0" w:rsidRPr="009070D8" w:rsidRDefault="008D6DE0" w:rsidP="00991699">
      <w:pPr>
        <w:spacing w:line="360" w:lineRule="auto"/>
        <w:jc w:val="both"/>
        <w:rPr>
          <w:i/>
        </w:rPr>
      </w:pPr>
      <w:r w:rsidRPr="009070D8">
        <w:rPr>
          <w:i/>
        </w:rPr>
        <w:t xml:space="preserve">Data </w:t>
      </w:r>
    </w:p>
    <w:p w14:paraId="5C5AB43F" w14:textId="321E916A" w:rsidR="00991699" w:rsidRPr="009070D8" w:rsidRDefault="00162548" w:rsidP="00991699">
      <w:pPr>
        <w:spacing w:line="360" w:lineRule="auto"/>
        <w:jc w:val="both"/>
      </w:pPr>
      <w:r w:rsidRPr="009070D8">
        <w:t>Our</w:t>
      </w:r>
      <w:r w:rsidR="008D6DE0" w:rsidRPr="009070D8">
        <w:t xml:space="preserve"> analysis of the effect of migration on the educational attainment of children in Bosnia-Herzegovina was conducted by using the dataset from</w:t>
      </w:r>
      <w:r w:rsidR="008D6DE0" w:rsidRPr="009070D8">
        <w:rPr>
          <w:i/>
          <w:iCs/>
        </w:rPr>
        <w:t xml:space="preserve"> </w:t>
      </w:r>
      <w:r w:rsidR="008D6DE0" w:rsidRPr="009070D8">
        <w:rPr>
          <w:iCs/>
        </w:rPr>
        <w:t xml:space="preserve">the </w:t>
      </w:r>
      <w:r w:rsidR="00E42CF3" w:rsidRPr="009070D8">
        <w:rPr>
          <w:iCs/>
        </w:rPr>
        <w:t>LBiH</w:t>
      </w:r>
      <w:r w:rsidR="008D6DE0" w:rsidRPr="009070D8">
        <w:rPr>
          <w:iCs/>
        </w:rPr>
        <w:t xml:space="preserve"> survey</w:t>
      </w:r>
      <w:r w:rsidR="008D6DE0" w:rsidRPr="009070D8">
        <w:t xml:space="preserve">, conducted by the BiH Office of Statistics in </w:t>
      </w:r>
      <w:r w:rsidR="003E0210" w:rsidRPr="009070D8">
        <w:t>2004</w:t>
      </w:r>
      <w:r w:rsidR="008D6DE0" w:rsidRPr="009070D8">
        <w:t xml:space="preserve">. The original sample of this survey was 7,702 households, or 22,483 individuals, including 6,169 individuals younger than 25. The number of </w:t>
      </w:r>
      <w:r w:rsidR="005627B8">
        <w:t>education-</w:t>
      </w:r>
      <w:r w:rsidR="008D6DE0" w:rsidRPr="009070D8">
        <w:t>age (age 6 to 24) individuals was 5,136, whereas the number of individuals aged between 16 and 24 was 2,758. Additionally, this sample was reduced by excluding observations missing information about the child’s enrolment. Hence, the final dataset used for the model estimation contains 1,</w:t>
      </w:r>
      <w:r w:rsidR="008858CE" w:rsidRPr="009070D8">
        <w:t xml:space="preserve">367 </w:t>
      </w:r>
      <w:r w:rsidR="008D6DE0" w:rsidRPr="009070D8">
        <w:t xml:space="preserve">observations. The list of variables from the dataset used in the empirical analysis of the relationship between remittances and education, together with corresponding descriptive statistics, is presented in Table 4. The names of variables prefixed with </w:t>
      </w:r>
      <w:r w:rsidR="00157CED">
        <w:t xml:space="preserve">the </w:t>
      </w:r>
      <w:r w:rsidR="008D6DE0" w:rsidRPr="009070D8">
        <w:t xml:space="preserve">letter </w:t>
      </w:r>
      <w:r w:rsidR="008D6DE0" w:rsidRPr="009070D8">
        <w:rPr>
          <w:b/>
          <w:i/>
        </w:rPr>
        <w:t>c</w:t>
      </w:r>
      <w:r w:rsidRPr="009070D8">
        <w:t xml:space="preserve"> indicate child-</w:t>
      </w:r>
      <w:r w:rsidR="008D6DE0" w:rsidRPr="009070D8">
        <w:t xml:space="preserve">level information, while those with </w:t>
      </w:r>
      <w:r w:rsidR="008D6DE0" w:rsidRPr="009070D8">
        <w:rPr>
          <w:i/>
        </w:rPr>
        <w:t>h</w:t>
      </w:r>
      <w:r w:rsidRPr="009070D8">
        <w:t xml:space="preserve"> indicate household-</w:t>
      </w:r>
      <w:r w:rsidR="008D6DE0" w:rsidRPr="009070D8">
        <w:t xml:space="preserve">level information. </w:t>
      </w:r>
    </w:p>
    <w:p w14:paraId="406B33EA" w14:textId="77777777" w:rsidR="008858CE" w:rsidRPr="009070D8" w:rsidRDefault="008858CE" w:rsidP="00991699">
      <w:pPr>
        <w:spacing w:line="360" w:lineRule="auto"/>
        <w:jc w:val="both"/>
      </w:pPr>
    </w:p>
    <w:p w14:paraId="28A3AA23" w14:textId="77777777" w:rsidR="008D6DE0" w:rsidRPr="009070D8" w:rsidRDefault="008D6DE0" w:rsidP="00A37DC3">
      <w:pPr>
        <w:spacing w:line="360" w:lineRule="auto"/>
        <w:jc w:val="center"/>
      </w:pPr>
      <w:r w:rsidRPr="009070D8">
        <w:t>Table 4: Summary descriptive statistics of variables</w:t>
      </w:r>
    </w:p>
    <w:tbl>
      <w:tblPr>
        <w:tblW w:w="5000" w:type="pct"/>
        <w:tblBorders>
          <w:top w:val="single" w:sz="4" w:space="0" w:color="auto"/>
          <w:bottom w:val="single" w:sz="4" w:space="0" w:color="auto"/>
        </w:tblBorders>
        <w:tblLook w:val="04A0" w:firstRow="1" w:lastRow="0" w:firstColumn="1" w:lastColumn="0" w:noHBand="0" w:noVBand="1"/>
      </w:tblPr>
      <w:tblGrid>
        <w:gridCol w:w="4787"/>
        <w:gridCol w:w="1588"/>
        <w:gridCol w:w="993"/>
        <w:gridCol w:w="1191"/>
        <w:gridCol w:w="1079"/>
      </w:tblGrid>
      <w:tr w:rsidR="008D6DE0" w:rsidRPr="009070D8" w14:paraId="2CB47323" w14:textId="77777777" w:rsidTr="002546BE">
        <w:trPr>
          <w:trHeight w:val="495"/>
        </w:trPr>
        <w:tc>
          <w:tcPr>
            <w:tcW w:w="2483" w:type="pct"/>
            <w:tcBorders>
              <w:top w:val="nil"/>
              <w:bottom w:val="single" w:sz="4" w:space="0" w:color="auto"/>
            </w:tcBorders>
          </w:tcPr>
          <w:p w14:paraId="29C2C799" w14:textId="77777777" w:rsidR="008D6DE0" w:rsidRPr="009070D8" w:rsidRDefault="008D6DE0" w:rsidP="003F6E44">
            <w:pPr>
              <w:jc w:val="center"/>
              <w:rPr>
                <w:b/>
                <w:bCs/>
                <w:color w:val="000000"/>
                <w:sz w:val="20"/>
                <w:szCs w:val="20"/>
              </w:rPr>
            </w:pPr>
            <w:r w:rsidRPr="009070D8">
              <w:rPr>
                <w:b/>
                <w:bCs/>
                <w:color w:val="000000"/>
                <w:sz w:val="20"/>
                <w:szCs w:val="20"/>
              </w:rPr>
              <w:t>Variable description</w:t>
            </w:r>
          </w:p>
        </w:tc>
        <w:tc>
          <w:tcPr>
            <w:tcW w:w="824" w:type="pct"/>
            <w:tcBorders>
              <w:top w:val="nil"/>
              <w:bottom w:val="single" w:sz="4" w:space="0" w:color="auto"/>
            </w:tcBorders>
          </w:tcPr>
          <w:p w14:paraId="30700BFA" w14:textId="77777777" w:rsidR="008D6DE0" w:rsidRPr="009070D8" w:rsidRDefault="008D6DE0" w:rsidP="003F6E44">
            <w:pPr>
              <w:jc w:val="center"/>
              <w:rPr>
                <w:b/>
                <w:bCs/>
                <w:color w:val="000000"/>
                <w:sz w:val="20"/>
                <w:szCs w:val="20"/>
              </w:rPr>
            </w:pPr>
            <w:r w:rsidRPr="009070D8">
              <w:rPr>
                <w:b/>
                <w:bCs/>
                <w:color w:val="000000"/>
                <w:sz w:val="20"/>
                <w:szCs w:val="20"/>
              </w:rPr>
              <w:t>Variable name</w:t>
            </w:r>
          </w:p>
        </w:tc>
        <w:tc>
          <w:tcPr>
            <w:tcW w:w="515" w:type="pct"/>
            <w:tcBorders>
              <w:top w:val="nil"/>
              <w:bottom w:val="single" w:sz="4" w:space="0" w:color="auto"/>
            </w:tcBorders>
          </w:tcPr>
          <w:p w14:paraId="55885607" w14:textId="78910E88" w:rsidR="008D6DE0" w:rsidRPr="009070D8" w:rsidRDefault="00A37DC3" w:rsidP="003F6E44">
            <w:pPr>
              <w:jc w:val="center"/>
              <w:rPr>
                <w:color w:val="000000"/>
                <w:sz w:val="20"/>
                <w:szCs w:val="20"/>
              </w:rPr>
            </w:pPr>
            <w:r w:rsidRPr="009070D8">
              <w:rPr>
                <w:color w:val="000000"/>
                <w:sz w:val="20"/>
                <w:szCs w:val="20"/>
              </w:rPr>
              <w:t xml:space="preserve">    </w:t>
            </w:r>
            <w:r w:rsidR="008D6DE0" w:rsidRPr="009070D8">
              <w:rPr>
                <w:color w:val="000000"/>
                <w:sz w:val="20"/>
                <w:szCs w:val="20"/>
              </w:rPr>
              <w:t>N</w:t>
            </w:r>
          </w:p>
        </w:tc>
        <w:tc>
          <w:tcPr>
            <w:tcW w:w="618" w:type="pct"/>
            <w:tcBorders>
              <w:top w:val="nil"/>
              <w:bottom w:val="single" w:sz="4" w:space="0" w:color="auto"/>
            </w:tcBorders>
          </w:tcPr>
          <w:p w14:paraId="6A592D12" w14:textId="77777777" w:rsidR="008D6DE0" w:rsidRPr="009070D8" w:rsidRDefault="008D6DE0" w:rsidP="003F6E44">
            <w:pPr>
              <w:jc w:val="center"/>
              <w:rPr>
                <w:color w:val="000000"/>
                <w:sz w:val="20"/>
                <w:szCs w:val="20"/>
              </w:rPr>
            </w:pPr>
            <w:r w:rsidRPr="009070D8">
              <w:rPr>
                <w:color w:val="000000"/>
                <w:sz w:val="20"/>
                <w:szCs w:val="20"/>
              </w:rPr>
              <w:t>Mean</w:t>
            </w:r>
          </w:p>
        </w:tc>
        <w:tc>
          <w:tcPr>
            <w:tcW w:w="560" w:type="pct"/>
            <w:tcBorders>
              <w:top w:val="nil"/>
              <w:bottom w:val="single" w:sz="4" w:space="0" w:color="auto"/>
            </w:tcBorders>
          </w:tcPr>
          <w:p w14:paraId="7A230645" w14:textId="35F3EF69" w:rsidR="008D6DE0" w:rsidRPr="009070D8" w:rsidRDefault="00A37DC3" w:rsidP="003F6E44">
            <w:pPr>
              <w:jc w:val="center"/>
              <w:rPr>
                <w:color w:val="000000"/>
                <w:sz w:val="20"/>
                <w:szCs w:val="20"/>
              </w:rPr>
            </w:pPr>
            <w:r w:rsidRPr="009070D8">
              <w:rPr>
                <w:color w:val="000000"/>
                <w:sz w:val="20"/>
                <w:szCs w:val="20"/>
              </w:rPr>
              <w:t>Std</w:t>
            </w:r>
            <w:r w:rsidR="008D6DE0" w:rsidRPr="009070D8">
              <w:rPr>
                <w:color w:val="000000"/>
                <w:sz w:val="20"/>
                <w:szCs w:val="20"/>
              </w:rPr>
              <w:t xml:space="preserve"> Dev.</w:t>
            </w:r>
          </w:p>
        </w:tc>
      </w:tr>
      <w:tr w:rsidR="00526C14" w:rsidRPr="009070D8" w14:paraId="5D5DB983"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21B1D91D" w14:textId="77777777" w:rsidR="00526C14" w:rsidRPr="009070D8" w:rsidRDefault="00526C14" w:rsidP="00526C14">
            <w:pPr>
              <w:rPr>
                <w:color w:val="000000"/>
                <w:sz w:val="20"/>
                <w:szCs w:val="20"/>
              </w:rPr>
            </w:pPr>
            <w:r w:rsidRPr="009070D8">
              <w:rPr>
                <w:color w:val="000000"/>
                <w:sz w:val="20"/>
                <w:szCs w:val="20"/>
              </w:rPr>
              <w:t>= 1 if child currently enrolled in education</w:t>
            </w:r>
          </w:p>
        </w:tc>
        <w:tc>
          <w:tcPr>
            <w:tcW w:w="824" w:type="pct"/>
            <w:tcBorders>
              <w:top w:val="single" w:sz="4" w:space="0" w:color="auto"/>
              <w:left w:val="single" w:sz="4" w:space="0" w:color="auto"/>
              <w:bottom w:val="single" w:sz="4" w:space="0" w:color="auto"/>
              <w:right w:val="single" w:sz="4" w:space="0" w:color="auto"/>
            </w:tcBorders>
          </w:tcPr>
          <w:p w14:paraId="3EE2E761" w14:textId="77777777" w:rsidR="00526C14" w:rsidRPr="009070D8" w:rsidRDefault="00526C14" w:rsidP="00526C14">
            <w:pPr>
              <w:rPr>
                <w:color w:val="000000"/>
                <w:sz w:val="20"/>
                <w:szCs w:val="20"/>
              </w:rPr>
            </w:pPr>
            <w:r w:rsidRPr="009070D8">
              <w:rPr>
                <w:color w:val="000000"/>
                <w:sz w:val="20"/>
                <w:szCs w:val="20"/>
              </w:rPr>
              <w:t>cenr</w:t>
            </w:r>
          </w:p>
        </w:tc>
        <w:tc>
          <w:tcPr>
            <w:tcW w:w="515" w:type="pct"/>
            <w:tcBorders>
              <w:top w:val="single" w:sz="4" w:space="0" w:color="auto"/>
              <w:left w:val="single" w:sz="4" w:space="0" w:color="auto"/>
              <w:bottom w:val="single" w:sz="4" w:space="0" w:color="auto"/>
              <w:right w:val="single" w:sz="4" w:space="0" w:color="auto"/>
            </w:tcBorders>
            <w:noWrap/>
            <w:vAlign w:val="bottom"/>
          </w:tcPr>
          <w:p w14:paraId="21D356C5" w14:textId="4E8577BA" w:rsidR="00526C14" w:rsidRPr="009070D8" w:rsidRDefault="00526C14" w:rsidP="00526C14">
            <w:pPr>
              <w:jc w:val="right"/>
              <w:rPr>
                <w:color w:val="000000"/>
                <w:sz w:val="20"/>
                <w:szCs w:val="20"/>
              </w:rPr>
            </w:pPr>
            <w:r w:rsidRPr="009070D8">
              <w:rPr>
                <w:color w:val="000000"/>
                <w:sz w:val="20"/>
                <w:szCs w:val="20"/>
              </w:rPr>
              <w:t>1,293</w:t>
            </w:r>
          </w:p>
        </w:tc>
        <w:tc>
          <w:tcPr>
            <w:tcW w:w="618" w:type="pct"/>
            <w:tcBorders>
              <w:top w:val="single" w:sz="4" w:space="0" w:color="auto"/>
              <w:left w:val="single" w:sz="4" w:space="0" w:color="auto"/>
              <w:bottom w:val="single" w:sz="4" w:space="0" w:color="auto"/>
              <w:right w:val="single" w:sz="4" w:space="0" w:color="auto"/>
            </w:tcBorders>
            <w:noWrap/>
            <w:vAlign w:val="bottom"/>
          </w:tcPr>
          <w:p w14:paraId="43B497F0" w14:textId="42971C9A" w:rsidR="00526C14" w:rsidRPr="009070D8" w:rsidRDefault="00526C14" w:rsidP="00A37DC3">
            <w:pPr>
              <w:ind w:right="155"/>
              <w:jc w:val="right"/>
              <w:rPr>
                <w:color w:val="000000"/>
                <w:sz w:val="20"/>
                <w:szCs w:val="20"/>
              </w:rPr>
            </w:pPr>
            <w:r w:rsidRPr="009070D8">
              <w:rPr>
                <w:color w:val="000000"/>
                <w:sz w:val="20"/>
                <w:szCs w:val="20"/>
              </w:rPr>
              <w:t>0.48</w:t>
            </w:r>
          </w:p>
        </w:tc>
        <w:tc>
          <w:tcPr>
            <w:tcW w:w="560" w:type="pct"/>
            <w:tcBorders>
              <w:top w:val="single" w:sz="4" w:space="0" w:color="auto"/>
              <w:left w:val="single" w:sz="4" w:space="0" w:color="auto"/>
              <w:bottom w:val="single" w:sz="4" w:space="0" w:color="auto"/>
              <w:right w:val="single" w:sz="4" w:space="0" w:color="auto"/>
            </w:tcBorders>
            <w:noWrap/>
          </w:tcPr>
          <w:p w14:paraId="023599E6" w14:textId="77777777" w:rsidR="00526C14" w:rsidRPr="009070D8" w:rsidRDefault="00526C14" w:rsidP="00526C14">
            <w:pPr>
              <w:jc w:val="right"/>
              <w:rPr>
                <w:color w:val="000000"/>
                <w:sz w:val="20"/>
                <w:szCs w:val="20"/>
              </w:rPr>
            </w:pPr>
          </w:p>
        </w:tc>
      </w:tr>
      <w:tr w:rsidR="008D6DE0" w:rsidRPr="009070D8" w14:paraId="3C4A9213" w14:textId="77777777" w:rsidTr="002546BE">
        <w:trPr>
          <w:trHeight w:val="300"/>
        </w:trPr>
        <w:tc>
          <w:tcPr>
            <w:tcW w:w="2483" w:type="pct"/>
            <w:tcBorders>
              <w:top w:val="single" w:sz="4" w:space="0" w:color="auto"/>
              <w:left w:val="single" w:sz="4" w:space="0" w:color="auto"/>
              <w:bottom w:val="single" w:sz="4" w:space="0" w:color="auto"/>
              <w:right w:val="single" w:sz="4" w:space="0" w:color="auto"/>
            </w:tcBorders>
          </w:tcPr>
          <w:p w14:paraId="6FA2AFD4" w14:textId="5EA448BC" w:rsidR="008D6DE0" w:rsidRPr="009070D8" w:rsidRDefault="0042215A" w:rsidP="003F6E44">
            <w:pPr>
              <w:rPr>
                <w:color w:val="000000"/>
                <w:sz w:val="20"/>
                <w:szCs w:val="20"/>
              </w:rPr>
            </w:pPr>
            <w:r w:rsidRPr="009070D8">
              <w:rPr>
                <w:color w:val="000000"/>
                <w:sz w:val="20"/>
                <w:szCs w:val="20"/>
              </w:rPr>
              <w:t>Monthly</w:t>
            </w:r>
            <w:r w:rsidR="008D6DE0" w:rsidRPr="009070D8">
              <w:rPr>
                <w:color w:val="000000"/>
                <w:sz w:val="20"/>
                <w:szCs w:val="20"/>
              </w:rPr>
              <w:t xml:space="preserve"> amount of household’s education expenditure per child, in KM</w:t>
            </w:r>
          </w:p>
        </w:tc>
        <w:tc>
          <w:tcPr>
            <w:tcW w:w="824" w:type="pct"/>
            <w:tcBorders>
              <w:top w:val="single" w:sz="4" w:space="0" w:color="auto"/>
              <w:left w:val="single" w:sz="4" w:space="0" w:color="auto"/>
              <w:bottom w:val="single" w:sz="4" w:space="0" w:color="auto"/>
              <w:right w:val="single" w:sz="4" w:space="0" w:color="auto"/>
            </w:tcBorders>
          </w:tcPr>
          <w:p w14:paraId="4F4055AB" w14:textId="205B010D" w:rsidR="008D6DE0" w:rsidRPr="009070D8" w:rsidRDefault="008D6DE0" w:rsidP="003B0EE4">
            <w:pPr>
              <w:rPr>
                <w:color w:val="000000"/>
                <w:sz w:val="20"/>
                <w:szCs w:val="20"/>
              </w:rPr>
            </w:pPr>
            <w:r w:rsidRPr="009070D8">
              <w:rPr>
                <w:color w:val="000000"/>
                <w:sz w:val="20"/>
                <w:szCs w:val="20"/>
              </w:rPr>
              <w:t>heepcx</w:t>
            </w:r>
          </w:p>
        </w:tc>
        <w:tc>
          <w:tcPr>
            <w:tcW w:w="515" w:type="pct"/>
            <w:tcBorders>
              <w:top w:val="single" w:sz="4" w:space="0" w:color="auto"/>
              <w:left w:val="single" w:sz="4" w:space="0" w:color="auto"/>
              <w:bottom w:val="single" w:sz="4" w:space="0" w:color="auto"/>
              <w:right w:val="single" w:sz="4" w:space="0" w:color="auto"/>
            </w:tcBorders>
            <w:noWrap/>
          </w:tcPr>
          <w:p w14:paraId="15BDF238" w14:textId="77777777" w:rsidR="00526C14" w:rsidRPr="009070D8" w:rsidRDefault="00526C14" w:rsidP="00526C14">
            <w:pPr>
              <w:jc w:val="right"/>
              <w:rPr>
                <w:color w:val="000000"/>
                <w:sz w:val="20"/>
                <w:szCs w:val="20"/>
              </w:rPr>
            </w:pPr>
            <w:r w:rsidRPr="009070D8">
              <w:rPr>
                <w:color w:val="000000"/>
                <w:sz w:val="20"/>
                <w:szCs w:val="20"/>
              </w:rPr>
              <w:t>1,367</w:t>
            </w:r>
          </w:p>
          <w:p w14:paraId="7223727C" w14:textId="069A21B9" w:rsidR="008D6DE0" w:rsidRPr="009070D8" w:rsidRDefault="008D6DE0" w:rsidP="003F6E44">
            <w:pPr>
              <w:jc w:val="right"/>
              <w:rPr>
                <w:color w:val="000000"/>
                <w:sz w:val="20"/>
                <w:szCs w:val="20"/>
              </w:rPr>
            </w:pPr>
          </w:p>
        </w:tc>
        <w:tc>
          <w:tcPr>
            <w:tcW w:w="618" w:type="pct"/>
            <w:tcBorders>
              <w:top w:val="single" w:sz="4" w:space="0" w:color="auto"/>
              <w:left w:val="single" w:sz="4" w:space="0" w:color="auto"/>
              <w:bottom w:val="single" w:sz="4" w:space="0" w:color="auto"/>
              <w:right w:val="single" w:sz="4" w:space="0" w:color="auto"/>
            </w:tcBorders>
            <w:noWrap/>
          </w:tcPr>
          <w:p w14:paraId="54EBF86E" w14:textId="675391D2" w:rsidR="008D6DE0" w:rsidRPr="009070D8" w:rsidRDefault="00A52495" w:rsidP="00A37DC3">
            <w:pPr>
              <w:ind w:right="155"/>
              <w:jc w:val="right"/>
              <w:rPr>
                <w:color w:val="000000"/>
                <w:sz w:val="20"/>
                <w:szCs w:val="20"/>
              </w:rPr>
            </w:pPr>
            <w:r w:rsidRPr="009070D8">
              <w:rPr>
                <w:color w:val="000000"/>
                <w:sz w:val="20"/>
                <w:szCs w:val="20"/>
              </w:rPr>
              <w:t>484.</w:t>
            </w:r>
            <w:r w:rsidR="00526C14" w:rsidRPr="009070D8">
              <w:rPr>
                <w:color w:val="000000"/>
                <w:sz w:val="20"/>
                <w:szCs w:val="20"/>
              </w:rPr>
              <w:t>80</w:t>
            </w:r>
          </w:p>
        </w:tc>
        <w:tc>
          <w:tcPr>
            <w:tcW w:w="560" w:type="pct"/>
            <w:tcBorders>
              <w:top w:val="single" w:sz="4" w:space="0" w:color="auto"/>
              <w:left w:val="single" w:sz="4" w:space="0" w:color="auto"/>
              <w:bottom w:val="single" w:sz="4" w:space="0" w:color="auto"/>
              <w:right w:val="single" w:sz="4" w:space="0" w:color="auto"/>
            </w:tcBorders>
            <w:noWrap/>
          </w:tcPr>
          <w:p w14:paraId="7BA677B0" w14:textId="0EF610CC" w:rsidR="008D6DE0" w:rsidRPr="009070D8" w:rsidRDefault="00526C14" w:rsidP="00A37DC3">
            <w:pPr>
              <w:ind w:right="32"/>
              <w:jc w:val="right"/>
              <w:rPr>
                <w:color w:val="000000"/>
                <w:sz w:val="20"/>
                <w:szCs w:val="20"/>
              </w:rPr>
            </w:pPr>
            <w:r w:rsidRPr="009070D8">
              <w:rPr>
                <w:color w:val="000000"/>
                <w:sz w:val="20"/>
                <w:szCs w:val="20"/>
              </w:rPr>
              <w:t>2,151.988</w:t>
            </w:r>
          </w:p>
        </w:tc>
      </w:tr>
      <w:tr w:rsidR="00526C14" w:rsidRPr="009070D8" w14:paraId="5ADB21E2"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13D2B58D" w14:textId="26B0D5DC" w:rsidR="00526C14" w:rsidRPr="009070D8" w:rsidRDefault="00526C14" w:rsidP="00A52495">
            <w:pPr>
              <w:rPr>
                <w:color w:val="000000"/>
                <w:sz w:val="20"/>
                <w:szCs w:val="20"/>
              </w:rPr>
            </w:pPr>
            <w:r w:rsidRPr="009070D8">
              <w:rPr>
                <w:color w:val="000000"/>
                <w:sz w:val="20"/>
                <w:szCs w:val="20"/>
              </w:rPr>
              <w:t>Age of child</w:t>
            </w:r>
          </w:p>
        </w:tc>
        <w:tc>
          <w:tcPr>
            <w:tcW w:w="824" w:type="pct"/>
            <w:tcBorders>
              <w:top w:val="single" w:sz="4" w:space="0" w:color="auto"/>
              <w:left w:val="single" w:sz="4" w:space="0" w:color="auto"/>
              <w:bottom w:val="single" w:sz="4" w:space="0" w:color="auto"/>
              <w:right w:val="single" w:sz="4" w:space="0" w:color="auto"/>
            </w:tcBorders>
          </w:tcPr>
          <w:p w14:paraId="158BA31D" w14:textId="2ED610A3" w:rsidR="00526C14" w:rsidRPr="009070D8" w:rsidRDefault="0056048B" w:rsidP="00A52495">
            <w:pPr>
              <w:rPr>
                <w:color w:val="000000"/>
                <w:sz w:val="20"/>
                <w:szCs w:val="20"/>
              </w:rPr>
            </w:pPr>
            <w:r>
              <w:rPr>
                <w:color w:val="000000"/>
                <w:sz w:val="20"/>
                <w:szCs w:val="20"/>
              </w:rPr>
              <w:t>i.</w:t>
            </w:r>
            <w:r w:rsidR="00526C14" w:rsidRPr="009070D8">
              <w:rPr>
                <w:color w:val="000000"/>
                <w:sz w:val="20"/>
                <w:szCs w:val="20"/>
              </w:rPr>
              <w:t>cage</w:t>
            </w:r>
          </w:p>
        </w:tc>
        <w:tc>
          <w:tcPr>
            <w:tcW w:w="515" w:type="pct"/>
            <w:tcBorders>
              <w:top w:val="single" w:sz="4" w:space="0" w:color="auto"/>
              <w:left w:val="single" w:sz="4" w:space="0" w:color="auto"/>
              <w:bottom w:val="single" w:sz="4" w:space="0" w:color="auto"/>
              <w:right w:val="single" w:sz="4" w:space="0" w:color="auto"/>
            </w:tcBorders>
            <w:noWrap/>
            <w:vAlign w:val="bottom"/>
          </w:tcPr>
          <w:p w14:paraId="28FD4E8D" w14:textId="66B297B2" w:rsidR="00526C14" w:rsidRPr="009070D8" w:rsidRDefault="00526C14" w:rsidP="00A52495">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18BB47D9" w14:textId="04C0EDF2" w:rsidR="00526C14" w:rsidRPr="009070D8" w:rsidRDefault="00526C14" w:rsidP="00A37DC3">
            <w:pPr>
              <w:ind w:right="155"/>
              <w:jc w:val="right"/>
              <w:rPr>
                <w:color w:val="000000"/>
                <w:sz w:val="20"/>
                <w:szCs w:val="20"/>
              </w:rPr>
            </w:pPr>
            <w:r w:rsidRPr="009070D8">
              <w:rPr>
                <w:color w:val="000000"/>
                <w:sz w:val="20"/>
                <w:szCs w:val="20"/>
              </w:rPr>
              <w:t>19.76</w:t>
            </w:r>
          </w:p>
        </w:tc>
        <w:tc>
          <w:tcPr>
            <w:tcW w:w="560" w:type="pct"/>
            <w:tcBorders>
              <w:top w:val="single" w:sz="4" w:space="0" w:color="auto"/>
              <w:left w:val="single" w:sz="4" w:space="0" w:color="auto"/>
              <w:bottom w:val="single" w:sz="4" w:space="0" w:color="auto"/>
              <w:right w:val="single" w:sz="4" w:space="0" w:color="auto"/>
            </w:tcBorders>
            <w:noWrap/>
            <w:vAlign w:val="bottom"/>
          </w:tcPr>
          <w:p w14:paraId="63C01464" w14:textId="3E64599A" w:rsidR="00526C14" w:rsidRPr="009070D8" w:rsidRDefault="00526C14" w:rsidP="00A37DC3">
            <w:pPr>
              <w:ind w:right="32"/>
              <w:jc w:val="right"/>
              <w:rPr>
                <w:color w:val="000000"/>
                <w:sz w:val="20"/>
                <w:szCs w:val="20"/>
              </w:rPr>
            </w:pPr>
            <w:r w:rsidRPr="009070D8">
              <w:rPr>
                <w:color w:val="000000"/>
                <w:sz w:val="20"/>
                <w:szCs w:val="20"/>
              </w:rPr>
              <w:t>2.855</w:t>
            </w:r>
          </w:p>
        </w:tc>
      </w:tr>
      <w:tr w:rsidR="00526C14" w:rsidRPr="009070D8" w14:paraId="722BD65A"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23AFC7F9" w14:textId="3A31136B" w:rsidR="00526C14" w:rsidRPr="009070D8" w:rsidRDefault="00526C14" w:rsidP="00A52495">
            <w:pPr>
              <w:rPr>
                <w:color w:val="000000"/>
                <w:sz w:val="20"/>
                <w:szCs w:val="20"/>
              </w:rPr>
            </w:pPr>
            <w:r w:rsidRPr="009070D8">
              <w:rPr>
                <w:color w:val="000000"/>
                <w:sz w:val="20"/>
                <w:szCs w:val="20"/>
              </w:rPr>
              <w:t>=1 if child is female</w:t>
            </w:r>
          </w:p>
        </w:tc>
        <w:tc>
          <w:tcPr>
            <w:tcW w:w="824" w:type="pct"/>
            <w:tcBorders>
              <w:top w:val="single" w:sz="4" w:space="0" w:color="auto"/>
              <w:left w:val="single" w:sz="4" w:space="0" w:color="auto"/>
              <w:bottom w:val="single" w:sz="4" w:space="0" w:color="auto"/>
              <w:right w:val="single" w:sz="4" w:space="0" w:color="auto"/>
            </w:tcBorders>
          </w:tcPr>
          <w:p w14:paraId="29977260" w14:textId="07C2B0B0" w:rsidR="00526C14" w:rsidRPr="009070D8" w:rsidRDefault="00526C14" w:rsidP="00A52495">
            <w:pPr>
              <w:rPr>
                <w:color w:val="000000"/>
                <w:sz w:val="20"/>
                <w:szCs w:val="20"/>
              </w:rPr>
            </w:pPr>
            <w:r w:rsidRPr="009070D8">
              <w:rPr>
                <w:color w:val="000000"/>
                <w:sz w:val="20"/>
                <w:szCs w:val="20"/>
              </w:rPr>
              <w:t>cfemale</w:t>
            </w:r>
          </w:p>
        </w:tc>
        <w:tc>
          <w:tcPr>
            <w:tcW w:w="515" w:type="pct"/>
            <w:tcBorders>
              <w:top w:val="single" w:sz="4" w:space="0" w:color="auto"/>
              <w:left w:val="single" w:sz="4" w:space="0" w:color="auto"/>
              <w:bottom w:val="single" w:sz="4" w:space="0" w:color="auto"/>
              <w:right w:val="single" w:sz="4" w:space="0" w:color="auto"/>
            </w:tcBorders>
            <w:noWrap/>
            <w:vAlign w:val="bottom"/>
          </w:tcPr>
          <w:p w14:paraId="320B9B53" w14:textId="47D35472" w:rsidR="00526C14" w:rsidRPr="009070D8" w:rsidRDefault="00526C14" w:rsidP="00A52495">
            <w:pPr>
              <w:jc w:val="right"/>
              <w:rPr>
                <w:color w:val="000000"/>
                <w:sz w:val="20"/>
                <w:szCs w:val="20"/>
              </w:rPr>
            </w:pPr>
            <w:r w:rsidRPr="009070D8">
              <w:rPr>
                <w:color w:val="000000"/>
                <w:sz w:val="20"/>
                <w:szCs w:val="20"/>
              </w:rPr>
              <w:t>1,281</w:t>
            </w:r>
          </w:p>
        </w:tc>
        <w:tc>
          <w:tcPr>
            <w:tcW w:w="618" w:type="pct"/>
            <w:tcBorders>
              <w:top w:val="single" w:sz="4" w:space="0" w:color="auto"/>
              <w:left w:val="single" w:sz="4" w:space="0" w:color="auto"/>
              <w:bottom w:val="single" w:sz="4" w:space="0" w:color="auto"/>
              <w:right w:val="single" w:sz="4" w:space="0" w:color="auto"/>
            </w:tcBorders>
            <w:noWrap/>
            <w:vAlign w:val="bottom"/>
          </w:tcPr>
          <w:p w14:paraId="02529FD0" w14:textId="7F527466" w:rsidR="00526C14" w:rsidRPr="009070D8" w:rsidRDefault="00526C14" w:rsidP="00A37DC3">
            <w:pPr>
              <w:ind w:right="155"/>
              <w:jc w:val="right"/>
              <w:rPr>
                <w:color w:val="000000"/>
                <w:sz w:val="20"/>
                <w:szCs w:val="20"/>
              </w:rPr>
            </w:pPr>
            <w:r w:rsidRPr="009070D8">
              <w:rPr>
                <w:color w:val="000000"/>
                <w:sz w:val="20"/>
                <w:szCs w:val="20"/>
              </w:rPr>
              <w:t>0.48</w:t>
            </w:r>
          </w:p>
        </w:tc>
        <w:tc>
          <w:tcPr>
            <w:tcW w:w="560" w:type="pct"/>
            <w:tcBorders>
              <w:top w:val="single" w:sz="4" w:space="0" w:color="auto"/>
              <w:left w:val="single" w:sz="4" w:space="0" w:color="auto"/>
              <w:bottom w:val="single" w:sz="4" w:space="0" w:color="auto"/>
              <w:right w:val="single" w:sz="4" w:space="0" w:color="auto"/>
            </w:tcBorders>
            <w:noWrap/>
            <w:vAlign w:val="bottom"/>
          </w:tcPr>
          <w:p w14:paraId="36C9AE2D" w14:textId="6F51148B" w:rsidR="00526C14" w:rsidRPr="009070D8" w:rsidRDefault="00526C14" w:rsidP="00A37DC3">
            <w:pPr>
              <w:ind w:right="32"/>
              <w:jc w:val="right"/>
              <w:rPr>
                <w:color w:val="000000"/>
                <w:sz w:val="20"/>
                <w:szCs w:val="20"/>
              </w:rPr>
            </w:pPr>
          </w:p>
        </w:tc>
      </w:tr>
      <w:tr w:rsidR="00526C14" w:rsidRPr="009070D8" w14:paraId="104AE6CA"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16CB4205" w14:textId="77777777" w:rsidR="00526C14" w:rsidRPr="009070D8" w:rsidRDefault="00526C14" w:rsidP="00526C14">
            <w:pPr>
              <w:rPr>
                <w:color w:val="000000"/>
                <w:sz w:val="20"/>
                <w:szCs w:val="20"/>
              </w:rPr>
            </w:pPr>
            <w:r w:rsidRPr="009070D8">
              <w:rPr>
                <w:color w:val="000000"/>
                <w:sz w:val="20"/>
                <w:szCs w:val="20"/>
              </w:rPr>
              <w:t>= 1 if an individual is of tertiary school age</w:t>
            </w:r>
          </w:p>
        </w:tc>
        <w:tc>
          <w:tcPr>
            <w:tcW w:w="824" w:type="pct"/>
            <w:tcBorders>
              <w:top w:val="single" w:sz="4" w:space="0" w:color="auto"/>
              <w:left w:val="single" w:sz="4" w:space="0" w:color="auto"/>
              <w:bottom w:val="single" w:sz="4" w:space="0" w:color="auto"/>
              <w:right w:val="single" w:sz="4" w:space="0" w:color="auto"/>
            </w:tcBorders>
          </w:tcPr>
          <w:p w14:paraId="0EB06F18" w14:textId="77777777" w:rsidR="00526C14" w:rsidRPr="009070D8" w:rsidRDefault="00526C14" w:rsidP="00526C14">
            <w:pPr>
              <w:rPr>
                <w:color w:val="000000"/>
                <w:sz w:val="20"/>
                <w:szCs w:val="20"/>
              </w:rPr>
            </w:pPr>
            <w:r w:rsidRPr="009070D8">
              <w:rPr>
                <w:color w:val="000000"/>
                <w:sz w:val="20"/>
                <w:szCs w:val="20"/>
              </w:rPr>
              <w:t>ctedu</w:t>
            </w:r>
          </w:p>
        </w:tc>
        <w:tc>
          <w:tcPr>
            <w:tcW w:w="515" w:type="pct"/>
            <w:tcBorders>
              <w:top w:val="single" w:sz="4" w:space="0" w:color="auto"/>
              <w:left w:val="single" w:sz="4" w:space="0" w:color="auto"/>
              <w:bottom w:val="single" w:sz="4" w:space="0" w:color="auto"/>
              <w:right w:val="single" w:sz="4" w:space="0" w:color="auto"/>
            </w:tcBorders>
            <w:noWrap/>
            <w:vAlign w:val="bottom"/>
          </w:tcPr>
          <w:p w14:paraId="21A2A4D1" w14:textId="09AE5913" w:rsidR="00526C14" w:rsidRPr="009070D8" w:rsidRDefault="00526C14" w:rsidP="00526C1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7799A922" w14:textId="75C6478E" w:rsidR="00526C14" w:rsidRPr="009070D8" w:rsidRDefault="00526C14" w:rsidP="00A37DC3">
            <w:pPr>
              <w:ind w:right="155"/>
              <w:jc w:val="right"/>
              <w:rPr>
                <w:color w:val="000000"/>
                <w:sz w:val="20"/>
                <w:szCs w:val="20"/>
              </w:rPr>
            </w:pPr>
            <w:r w:rsidRPr="009070D8">
              <w:rPr>
                <w:color w:val="000000"/>
                <w:sz w:val="20"/>
                <w:szCs w:val="20"/>
              </w:rPr>
              <w:t>0.16</w:t>
            </w:r>
          </w:p>
        </w:tc>
        <w:tc>
          <w:tcPr>
            <w:tcW w:w="560" w:type="pct"/>
            <w:tcBorders>
              <w:top w:val="single" w:sz="4" w:space="0" w:color="auto"/>
              <w:left w:val="single" w:sz="4" w:space="0" w:color="auto"/>
              <w:bottom w:val="single" w:sz="4" w:space="0" w:color="auto"/>
              <w:right w:val="single" w:sz="4" w:space="0" w:color="auto"/>
            </w:tcBorders>
            <w:noWrap/>
            <w:vAlign w:val="bottom"/>
          </w:tcPr>
          <w:p w14:paraId="5CFA7AEE" w14:textId="2AC75919" w:rsidR="00526C14" w:rsidRPr="009070D8" w:rsidRDefault="00526C14" w:rsidP="00A37DC3">
            <w:pPr>
              <w:ind w:right="32"/>
              <w:jc w:val="right"/>
              <w:rPr>
                <w:color w:val="000000"/>
                <w:sz w:val="20"/>
                <w:szCs w:val="20"/>
              </w:rPr>
            </w:pPr>
          </w:p>
        </w:tc>
      </w:tr>
      <w:tr w:rsidR="00526C14" w:rsidRPr="009070D8" w14:paraId="5EF3594A"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37C0328D" w14:textId="38B55276" w:rsidR="00526C14" w:rsidRPr="009070D8" w:rsidRDefault="00526C14" w:rsidP="00526C14">
            <w:pPr>
              <w:rPr>
                <w:color w:val="000000"/>
                <w:sz w:val="20"/>
                <w:szCs w:val="20"/>
              </w:rPr>
            </w:pPr>
            <w:r w:rsidRPr="009070D8">
              <w:rPr>
                <w:color w:val="000000"/>
                <w:sz w:val="20"/>
                <w:szCs w:val="20"/>
              </w:rPr>
              <w:t>=1 if a child lives in the capital city</w:t>
            </w:r>
          </w:p>
        </w:tc>
        <w:tc>
          <w:tcPr>
            <w:tcW w:w="824" w:type="pct"/>
            <w:tcBorders>
              <w:top w:val="single" w:sz="4" w:space="0" w:color="auto"/>
              <w:left w:val="single" w:sz="4" w:space="0" w:color="auto"/>
              <w:bottom w:val="single" w:sz="4" w:space="0" w:color="auto"/>
              <w:right w:val="single" w:sz="4" w:space="0" w:color="auto"/>
            </w:tcBorders>
          </w:tcPr>
          <w:p w14:paraId="63600D3C" w14:textId="1F2945E5" w:rsidR="00526C14" w:rsidRPr="009070D8" w:rsidRDefault="00526C14" w:rsidP="00526C14">
            <w:pPr>
              <w:rPr>
                <w:color w:val="000000"/>
                <w:sz w:val="20"/>
                <w:szCs w:val="20"/>
              </w:rPr>
            </w:pPr>
            <w:r w:rsidRPr="009070D8">
              <w:rPr>
                <w:color w:val="000000"/>
                <w:sz w:val="20"/>
                <w:szCs w:val="20"/>
              </w:rPr>
              <w:t>capital</w:t>
            </w:r>
          </w:p>
        </w:tc>
        <w:tc>
          <w:tcPr>
            <w:tcW w:w="515" w:type="pct"/>
            <w:tcBorders>
              <w:top w:val="single" w:sz="4" w:space="0" w:color="auto"/>
              <w:left w:val="single" w:sz="4" w:space="0" w:color="auto"/>
              <w:bottom w:val="single" w:sz="4" w:space="0" w:color="auto"/>
              <w:right w:val="single" w:sz="4" w:space="0" w:color="auto"/>
            </w:tcBorders>
            <w:noWrap/>
            <w:vAlign w:val="bottom"/>
          </w:tcPr>
          <w:p w14:paraId="76E8919B" w14:textId="612D8D7F" w:rsidR="00526C14" w:rsidRPr="009070D8" w:rsidRDefault="00526C14" w:rsidP="00526C14">
            <w:pPr>
              <w:jc w:val="right"/>
              <w:rPr>
                <w:color w:val="000000"/>
                <w:sz w:val="20"/>
                <w:szCs w:val="20"/>
              </w:rPr>
            </w:pPr>
            <w:r w:rsidRPr="009070D8">
              <w:rPr>
                <w:color w:val="000000"/>
                <w:sz w:val="20"/>
                <w:szCs w:val="20"/>
              </w:rPr>
              <w:t>1,303</w:t>
            </w:r>
          </w:p>
        </w:tc>
        <w:tc>
          <w:tcPr>
            <w:tcW w:w="618" w:type="pct"/>
            <w:tcBorders>
              <w:top w:val="single" w:sz="4" w:space="0" w:color="auto"/>
              <w:left w:val="single" w:sz="4" w:space="0" w:color="auto"/>
              <w:bottom w:val="single" w:sz="4" w:space="0" w:color="auto"/>
              <w:right w:val="single" w:sz="4" w:space="0" w:color="auto"/>
            </w:tcBorders>
            <w:noWrap/>
            <w:vAlign w:val="bottom"/>
          </w:tcPr>
          <w:p w14:paraId="5326ED34" w14:textId="5622EB4A" w:rsidR="00526C14" w:rsidRPr="009070D8" w:rsidRDefault="00526C14" w:rsidP="00A37DC3">
            <w:pPr>
              <w:ind w:right="155"/>
              <w:jc w:val="right"/>
              <w:rPr>
                <w:color w:val="000000"/>
                <w:sz w:val="20"/>
                <w:szCs w:val="20"/>
              </w:rPr>
            </w:pPr>
            <w:r w:rsidRPr="009070D8">
              <w:rPr>
                <w:color w:val="000000"/>
                <w:sz w:val="20"/>
                <w:szCs w:val="20"/>
              </w:rPr>
              <w:t>0.21</w:t>
            </w:r>
          </w:p>
        </w:tc>
        <w:tc>
          <w:tcPr>
            <w:tcW w:w="560" w:type="pct"/>
            <w:tcBorders>
              <w:top w:val="single" w:sz="4" w:space="0" w:color="auto"/>
              <w:left w:val="single" w:sz="4" w:space="0" w:color="auto"/>
              <w:bottom w:val="single" w:sz="4" w:space="0" w:color="auto"/>
              <w:right w:val="single" w:sz="4" w:space="0" w:color="auto"/>
            </w:tcBorders>
            <w:noWrap/>
            <w:vAlign w:val="bottom"/>
          </w:tcPr>
          <w:p w14:paraId="1766D483" w14:textId="3D1F6C7E" w:rsidR="00526C14" w:rsidRPr="009070D8" w:rsidRDefault="00526C14" w:rsidP="00A37DC3">
            <w:pPr>
              <w:ind w:right="32"/>
              <w:jc w:val="right"/>
              <w:rPr>
                <w:color w:val="000000"/>
                <w:sz w:val="20"/>
                <w:szCs w:val="20"/>
              </w:rPr>
            </w:pPr>
            <w:r w:rsidRPr="009070D8">
              <w:rPr>
                <w:color w:val="000000"/>
                <w:sz w:val="20"/>
                <w:szCs w:val="20"/>
              </w:rPr>
              <w:t>0.408</w:t>
            </w:r>
          </w:p>
        </w:tc>
      </w:tr>
      <w:tr w:rsidR="00526C14" w:rsidRPr="009070D8" w14:paraId="758B8B16"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452E1FCE" w14:textId="77777777" w:rsidR="00526C14" w:rsidRPr="009070D8" w:rsidRDefault="00526C14" w:rsidP="00526C14">
            <w:pPr>
              <w:rPr>
                <w:color w:val="000000"/>
                <w:sz w:val="20"/>
                <w:szCs w:val="20"/>
              </w:rPr>
            </w:pPr>
            <w:r w:rsidRPr="009070D8">
              <w:rPr>
                <w:color w:val="000000"/>
                <w:sz w:val="20"/>
                <w:szCs w:val="20"/>
              </w:rPr>
              <w:t>=1 if female headed households</w:t>
            </w:r>
          </w:p>
        </w:tc>
        <w:tc>
          <w:tcPr>
            <w:tcW w:w="824" w:type="pct"/>
            <w:tcBorders>
              <w:top w:val="single" w:sz="4" w:space="0" w:color="auto"/>
              <w:left w:val="single" w:sz="4" w:space="0" w:color="auto"/>
              <w:bottom w:val="single" w:sz="4" w:space="0" w:color="auto"/>
              <w:right w:val="single" w:sz="4" w:space="0" w:color="auto"/>
            </w:tcBorders>
          </w:tcPr>
          <w:p w14:paraId="1586FE60" w14:textId="77777777" w:rsidR="00526C14" w:rsidRPr="009070D8" w:rsidRDefault="00526C14" w:rsidP="00526C14">
            <w:pPr>
              <w:rPr>
                <w:color w:val="000000"/>
                <w:sz w:val="20"/>
                <w:szCs w:val="20"/>
              </w:rPr>
            </w:pPr>
            <w:r w:rsidRPr="009070D8">
              <w:rPr>
                <w:color w:val="000000"/>
                <w:sz w:val="20"/>
                <w:szCs w:val="20"/>
              </w:rPr>
              <w:t>hfh</w:t>
            </w:r>
          </w:p>
        </w:tc>
        <w:tc>
          <w:tcPr>
            <w:tcW w:w="515" w:type="pct"/>
            <w:tcBorders>
              <w:top w:val="single" w:sz="4" w:space="0" w:color="auto"/>
              <w:left w:val="single" w:sz="4" w:space="0" w:color="auto"/>
              <w:bottom w:val="single" w:sz="4" w:space="0" w:color="auto"/>
              <w:right w:val="single" w:sz="4" w:space="0" w:color="auto"/>
            </w:tcBorders>
            <w:noWrap/>
            <w:vAlign w:val="bottom"/>
          </w:tcPr>
          <w:p w14:paraId="76D968DC" w14:textId="708FEB4C" w:rsidR="00526C14" w:rsidRPr="009070D8" w:rsidRDefault="00526C14" w:rsidP="00526C1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0D98C4C6" w14:textId="0843F6CC" w:rsidR="00526C14" w:rsidRPr="009070D8" w:rsidRDefault="00526C14" w:rsidP="00A37DC3">
            <w:pPr>
              <w:ind w:right="155"/>
              <w:jc w:val="right"/>
              <w:rPr>
                <w:color w:val="000000"/>
                <w:sz w:val="20"/>
                <w:szCs w:val="20"/>
              </w:rPr>
            </w:pPr>
            <w:r w:rsidRPr="009070D8">
              <w:rPr>
                <w:color w:val="000000"/>
                <w:sz w:val="20"/>
                <w:szCs w:val="20"/>
              </w:rPr>
              <w:t>0.01</w:t>
            </w:r>
          </w:p>
        </w:tc>
        <w:tc>
          <w:tcPr>
            <w:tcW w:w="560" w:type="pct"/>
            <w:tcBorders>
              <w:top w:val="single" w:sz="4" w:space="0" w:color="auto"/>
              <w:left w:val="single" w:sz="4" w:space="0" w:color="auto"/>
              <w:bottom w:val="single" w:sz="4" w:space="0" w:color="auto"/>
              <w:right w:val="single" w:sz="4" w:space="0" w:color="auto"/>
            </w:tcBorders>
            <w:noWrap/>
            <w:vAlign w:val="bottom"/>
          </w:tcPr>
          <w:p w14:paraId="38C1955B" w14:textId="59A2F17F" w:rsidR="00526C14" w:rsidRPr="009070D8" w:rsidRDefault="00526C14" w:rsidP="00A37DC3">
            <w:pPr>
              <w:ind w:right="32"/>
              <w:jc w:val="right"/>
              <w:rPr>
                <w:color w:val="000000"/>
                <w:sz w:val="20"/>
                <w:szCs w:val="20"/>
              </w:rPr>
            </w:pPr>
          </w:p>
        </w:tc>
      </w:tr>
      <w:tr w:rsidR="00526C14" w:rsidRPr="009070D8" w14:paraId="471953DE"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4EE24BBF" w14:textId="6CA6CAB3" w:rsidR="00526C14" w:rsidRPr="009070D8" w:rsidRDefault="00526C14" w:rsidP="00526C14">
            <w:pPr>
              <w:rPr>
                <w:color w:val="000000"/>
                <w:sz w:val="20"/>
                <w:szCs w:val="20"/>
              </w:rPr>
            </w:pPr>
            <w:r w:rsidRPr="009070D8">
              <w:rPr>
                <w:color w:val="000000"/>
                <w:sz w:val="20"/>
                <w:szCs w:val="20"/>
              </w:rPr>
              <w:t>Household head's age</w:t>
            </w:r>
          </w:p>
        </w:tc>
        <w:tc>
          <w:tcPr>
            <w:tcW w:w="824" w:type="pct"/>
            <w:tcBorders>
              <w:top w:val="single" w:sz="4" w:space="0" w:color="auto"/>
              <w:left w:val="single" w:sz="4" w:space="0" w:color="auto"/>
              <w:bottom w:val="single" w:sz="4" w:space="0" w:color="auto"/>
              <w:right w:val="single" w:sz="4" w:space="0" w:color="auto"/>
            </w:tcBorders>
          </w:tcPr>
          <w:p w14:paraId="5A80BB8F" w14:textId="55BB1A5E" w:rsidR="00526C14" w:rsidRPr="009070D8" w:rsidRDefault="00526C14" w:rsidP="00526C14">
            <w:pPr>
              <w:rPr>
                <w:color w:val="000000"/>
                <w:sz w:val="20"/>
                <w:szCs w:val="20"/>
              </w:rPr>
            </w:pPr>
            <w:r w:rsidRPr="009070D8">
              <w:rPr>
                <w:color w:val="000000"/>
                <w:sz w:val="20"/>
                <w:szCs w:val="20"/>
              </w:rPr>
              <w:t>hhage</w:t>
            </w:r>
          </w:p>
        </w:tc>
        <w:tc>
          <w:tcPr>
            <w:tcW w:w="515" w:type="pct"/>
            <w:tcBorders>
              <w:top w:val="single" w:sz="4" w:space="0" w:color="auto"/>
              <w:left w:val="single" w:sz="4" w:space="0" w:color="auto"/>
              <w:bottom w:val="single" w:sz="4" w:space="0" w:color="auto"/>
              <w:right w:val="single" w:sz="4" w:space="0" w:color="auto"/>
            </w:tcBorders>
            <w:noWrap/>
            <w:vAlign w:val="bottom"/>
          </w:tcPr>
          <w:p w14:paraId="17A844F4" w14:textId="1895345E" w:rsidR="00526C14" w:rsidRPr="009070D8" w:rsidRDefault="00526C14" w:rsidP="00526C14">
            <w:pPr>
              <w:jc w:val="right"/>
              <w:rPr>
                <w:color w:val="000000"/>
                <w:sz w:val="20"/>
                <w:szCs w:val="20"/>
              </w:rPr>
            </w:pPr>
            <w:r w:rsidRPr="009070D8">
              <w:rPr>
                <w:color w:val="000000"/>
                <w:sz w:val="20"/>
                <w:szCs w:val="20"/>
              </w:rPr>
              <w:t>1,272</w:t>
            </w:r>
          </w:p>
        </w:tc>
        <w:tc>
          <w:tcPr>
            <w:tcW w:w="618" w:type="pct"/>
            <w:tcBorders>
              <w:top w:val="single" w:sz="4" w:space="0" w:color="auto"/>
              <w:left w:val="single" w:sz="4" w:space="0" w:color="auto"/>
              <w:bottom w:val="single" w:sz="4" w:space="0" w:color="auto"/>
              <w:right w:val="single" w:sz="4" w:space="0" w:color="auto"/>
            </w:tcBorders>
            <w:noWrap/>
            <w:vAlign w:val="bottom"/>
          </w:tcPr>
          <w:p w14:paraId="2D69FC9D" w14:textId="2FD4F290" w:rsidR="00526C14" w:rsidRPr="009070D8" w:rsidRDefault="00526C14" w:rsidP="00A37DC3">
            <w:pPr>
              <w:ind w:right="155"/>
              <w:jc w:val="right"/>
              <w:rPr>
                <w:color w:val="000000"/>
                <w:sz w:val="20"/>
                <w:szCs w:val="20"/>
              </w:rPr>
            </w:pPr>
            <w:r w:rsidRPr="009070D8">
              <w:rPr>
                <w:color w:val="000000"/>
                <w:sz w:val="20"/>
                <w:szCs w:val="20"/>
              </w:rPr>
              <w:t>47.89</w:t>
            </w:r>
          </w:p>
        </w:tc>
        <w:tc>
          <w:tcPr>
            <w:tcW w:w="560" w:type="pct"/>
            <w:tcBorders>
              <w:top w:val="single" w:sz="4" w:space="0" w:color="auto"/>
              <w:left w:val="single" w:sz="4" w:space="0" w:color="auto"/>
              <w:bottom w:val="single" w:sz="4" w:space="0" w:color="auto"/>
              <w:right w:val="single" w:sz="4" w:space="0" w:color="auto"/>
            </w:tcBorders>
            <w:noWrap/>
            <w:vAlign w:val="bottom"/>
          </w:tcPr>
          <w:p w14:paraId="560CE0CF" w14:textId="64DBCC50" w:rsidR="00526C14" w:rsidRPr="009070D8" w:rsidRDefault="00526C14" w:rsidP="00A37DC3">
            <w:pPr>
              <w:ind w:right="32"/>
              <w:jc w:val="right"/>
              <w:rPr>
                <w:color w:val="000000"/>
                <w:sz w:val="20"/>
                <w:szCs w:val="20"/>
              </w:rPr>
            </w:pPr>
            <w:r w:rsidRPr="009070D8">
              <w:rPr>
                <w:color w:val="000000"/>
                <w:sz w:val="20"/>
                <w:szCs w:val="20"/>
              </w:rPr>
              <w:t>9.898</w:t>
            </w:r>
          </w:p>
        </w:tc>
      </w:tr>
      <w:tr w:rsidR="00526C14" w:rsidRPr="009070D8" w14:paraId="4086C44F"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0563D2B1" w14:textId="77777777" w:rsidR="00526C14" w:rsidRPr="009070D8" w:rsidRDefault="00526C14" w:rsidP="00526C14">
            <w:pPr>
              <w:rPr>
                <w:color w:val="000000"/>
                <w:sz w:val="20"/>
                <w:szCs w:val="20"/>
              </w:rPr>
            </w:pPr>
            <w:r w:rsidRPr="009070D8">
              <w:rPr>
                <w:color w:val="000000"/>
                <w:sz w:val="20"/>
                <w:szCs w:val="20"/>
              </w:rPr>
              <w:t>Employment status of a household’s head, 1 if employed</w:t>
            </w:r>
          </w:p>
        </w:tc>
        <w:tc>
          <w:tcPr>
            <w:tcW w:w="824" w:type="pct"/>
            <w:tcBorders>
              <w:top w:val="single" w:sz="4" w:space="0" w:color="auto"/>
              <w:left w:val="single" w:sz="4" w:space="0" w:color="auto"/>
              <w:bottom w:val="single" w:sz="4" w:space="0" w:color="auto"/>
              <w:right w:val="single" w:sz="4" w:space="0" w:color="auto"/>
            </w:tcBorders>
          </w:tcPr>
          <w:p w14:paraId="619681FA" w14:textId="77777777" w:rsidR="00526C14" w:rsidRPr="009070D8" w:rsidRDefault="00526C14" w:rsidP="00526C14">
            <w:pPr>
              <w:rPr>
                <w:color w:val="000000"/>
                <w:sz w:val="20"/>
                <w:szCs w:val="20"/>
              </w:rPr>
            </w:pPr>
            <w:r w:rsidRPr="009070D8">
              <w:rPr>
                <w:color w:val="000000"/>
                <w:sz w:val="20"/>
                <w:szCs w:val="20"/>
              </w:rPr>
              <w:t>hhemp</w:t>
            </w:r>
          </w:p>
        </w:tc>
        <w:tc>
          <w:tcPr>
            <w:tcW w:w="515" w:type="pct"/>
            <w:tcBorders>
              <w:top w:val="single" w:sz="4" w:space="0" w:color="auto"/>
              <w:left w:val="single" w:sz="4" w:space="0" w:color="auto"/>
              <w:bottom w:val="single" w:sz="4" w:space="0" w:color="auto"/>
              <w:right w:val="single" w:sz="4" w:space="0" w:color="auto"/>
            </w:tcBorders>
            <w:noWrap/>
            <w:vAlign w:val="bottom"/>
          </w:tcPr>
          <w:p w14:paraId="66053E11" w14:textId="511F0BF0" w:rsidR="00526C14" w:rsidRPr="009070D8" w:rsidRDefault="00526C14" w:rsidP="00526C1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722B01BE" w14:textId="0CB309B1" w:rsidR="00526C14" w:rsidRPr="009070D8" w:rsidRDefault="00526C14" w:rsidP="00A37DC3">
            <w:pPr>
              <w:ind w:right="155"/>
              <w:jc w:val="right"/>
              <w:rPr>
                <w:color w:val="000000"/>
                <w:sz w:val="20"/>
                <w:szCs w:val="20"/>
              </w:rPr>
            </w:pPr>
            <w:r w:rsidRPr="009070D8">
              <w:rPr>
                <w:color w:val="000000"/>
                <w:sz w:val="20"/>
                <w:szCs w:val="20"/>
              </w:rPr>
              <w:t>0.16</w:t>
            </w:r>
          </w:p>
        </w:tc>
        <w:tc>
          <w:tcPr>
            <w:tcW w:w="560" w:type="pct"/>
            <w:tcBorders>
              <w:top w:val="single" w:sz="4" w:space="0" w:color="auto"/>
              <w:left w:val="single" w:sz="4" w:space="0" w:color="auto"/>
              <w:bottom w:val="single" w:sz="4" w:space="0" w:color="auto"/>
              <w:right w:val="single" w:sz="4" w:space="0" w:color="auto"/>
            </w:tcBorders>
            <w:noWrap/>
            <w:vAlign w:val="bottom"/>
          </w:tcPr>
          <w:p w14:paraId="76EEC19E" w14:textId="1721FA2B" w:rsidR="00526C14" w:rsidRPr="009070D8" w:rsidRDefault="00526C14" w:rsidP="00A37DC3">
            <w:pPr>
              <w:ind w:right="32"/>
              <w:jc w:val="right"/>
              <w:rPr>
                <w:color w:val="000000"/>
                <w:sz w:val="20"/>
                <w:szCs w:val="20"/>
              </w:rPr>
            </w:pPr>
          </w:p>
        </w:tc>
      </w:tr>
      <w:tr w:rsidR="00526C14" w:rsidRPr="009070D8" w14:paraId="78668CEF"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2806D519" w14:textId="5CF3F179" w:rsidR="00526C14" w:rsidRPr="009070D8" w:rsidRDefault="00526C14" w:rsidP="00526C14">
            <w:pPr>
              <w:rPr>
                <w:color w:val="000000"/>
                <w:sz w:val="20"/>
                <w:szCs w:val="20"/>
              </w:rPr>
            </w:pPr>
            <w:r w:rsidRPr="009070D8">
              <w:rPr>
                <w:color w:val="000000"/>
                <w:sz w:val="20"/>
                <w:szCs w:val="20"/>
              </w:rPr>
              <w:t>=1 if a household has a phone</w:t>
            </w:r>
          </w:p>
        </w:tc>
        <w:tc>
          <w:tcPr>
            <w:tcW w:w="824" w:type="pct"/>
            <w:tcBorders>
              <w:top w:val="single" w:sz="4" w:space="0" w:color="auto"/>
              <w:left w:val="single" w:sz="4" w:space="0" w:color="auto"/>
              <w:bottom w:val="single" w:sz="4" w:space="0" w:color="auto"/>
              <w:right w:val="single" w:sz="4" w:space="0" w:color="auto"/>
            </w:tcBorders>
          </w:tcPr>
          <w:p w14:paraId="2929F14E" w14:textId="1583874D" w:rsidR="00526C14" w:rsidRPr="009070D8" w:rsidRDefault="00526C14" w:rsidP="00526C14">
            <w:pPr>
              <w:rPr>
                <w:color w:val="000000"/>
                <w:sz w:val="20"/>
                <w:szCs w:val="20"/>
              </w:rPr>
            </w:pPr>
            <w:r w:rsidRPr="009070D8">
              <w:rPr>
                <w:color w:val="000000"/>
                <w:sz w:val="20"/>
                <w:szCs w:val="20"/>
              </w:rPr>
              <w:t>hhphone</w:t>
            </w:r>
          </w:p>
        </w:tc>
        <w:tc>
          <w:tcPr>
            <w:tcW w:w="515" w:type="pct"/>
            <w:tcBorders>
              <w:top w:val="single" w:sz="4" w:space="0" w:color="auto"/>
              <w:left w:val="single" w:sz="4" w:space="0" w:color="auto"/>
              <w:bottom w:val="single" w:sz="4" w:space="0" w:color="auto"/>
              <w:right w:val="single" w:sz="4" w:space="0" w:color="auto"/>
            </w:tcBorders>
            <w:noWrap/>
            <w:vAlign w:val="bottom"/>
          </w:tcPr>
          <w:p w14:paraId="491B1347" w14:textId="2967BAD6" w:rsidR="00526C14" w:rsidRPr="009070D8" w:rsidRDefault="00526C14" w:rsidP="00526C1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2EBF71BF" w14:textId="39D74E56" w:rsidR="00526C14" w:rsidRPr="009070D8" w:rsidRDefault="00526C14" w:rsidP="00A37DC3">
            <w:pPr>
              <w:ind w:right="155"/>
              <w:jc w:val="right"/>
              <w:rPr>
                <w:color w:val="000000"/>
                <w:sz w:val="20"/>
                <w:szCs w:val="20"/>
              </w:rPr>
            </w:pPr>
            <w:r w:rsidRPr="009070D8">
              <w:rPr>
                <w:color w:val="000000"/>
                <w:sz w:val="20"/>
                <w:szCs w:val="20"/>
              </w:rPr>
              <w:t>19.76</w:t>
            </w:r>
          </w:p>
        </w:tc>
        <w:tc>
          <w:tcPr>
            <w:tcW w:w="560" w:type="pct"/>
            <w:tcBorders>
              <w:top w:val="single" w:sz="4" w:space="0" w:color="auto"/>
              <w:left w:val="single" w:sz="4" w:space="0" w:color="auto"/>
              <w:bottom w:val="single" w:sz="4" w:space="0" w:color="auto"/>
              <w:right w:val="single" w:sz="4" w:space="0" w:color="auto"/>
            </w:tcBorders>
            <w:noWrap/>
            <w:vAlign w:val="bottom"/>
          </w:tcPr>
          <w:p w14:paraId="017B75E5" w14:textId="54EEEBC0" w:rsidR="00526C14" w:rsidRPr="009070D8" w:rsidRDefault="00526C14" w:rsidP="00A37DC3">
            <w:pPr>
              <w:ind w:right="32"/>
              <w:jc w:val="right"/>
              <w:rPr>
                <w:color w:val="000000"/>
                <w:sz w:val="20"/>
                <w:szCs w:val="20"/>
              </w:rPr>
            </w:pPr>
            <w:r w:rsidRPr="009070D8">
              <w:rPr>
                <w:color w:val="000000"/>
                <w:sz w:val="20"/>
                <w:szCs w:val="20"/>
              </w:rPr>
              <w:t>2.855</w:t>
            </w:r>
          </w:p>
        </w:tc>
      </w:tr>
      <w:tr w:rsidR="00526C14" w:rsidRPr="009070D8" w14:paraId="4B7C710D"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0D25D28F" w14:textId="6B1E71EF" w:rsidR="00526C14" w:rsidRPr="009070D8" w:rsidRDefault="00526C14" w:rsidP="00526C14">
            <w:pPr>
              <w:rPr>
                <w:color w:val="000000"/>
                <w:sz w:val="20"/>
                <w:szCs w:val="20"/>
              </w:rPr>
            </w:pPr>
            <w:r w:rsidRPr="009070D8">
              <w:rPr>
                <w:color w:val="000000"/>
                <w:sz w:val="20"/>
                <w:szCs w:val="20"/>
              </w:rPr>
              <w:t>=1 if a household owns a house</w:t>
            </w:r>
          </w:p>
        </w:tc>
        <w:tc>
          <w:tcPr>
            <w:tcW w:w="824" w:type="pct"/>
            <w:tcBorders>
              <w:top w:val="single" w:sz="4" w:space="0" w:color="auto"/>
              <w:left w:val="single" w:sz="4" w:space="0" w:color="auto"/>
              <w:bottom w:val="single" w:sz="4" w:space="0" w:color="auto"/>
              <w:right w:val="single" w:sz="4" w:space="0" w:color="auto"/>
            </w:tcBorders>
          </w:tcPr>
          <w:p w14:paraId="7F0B72D7" w14:textId="77777777" w:rsidR="00526C14" w:rsidRPr="009070D8" w:rsidRDefault="00526C14" w:rsidP="00526C14">
            <w:pPr>
              <w:rPr>
                <w:color w:val="000000"/>
                <w:sz w:val="20"/>
                <w:szCs w:val="20"/>
              </w:rPr>
            </w:pPr>
            <w:r w:rsidRPr="009070D8">
              <w:rPr>
                <w:color w:val="000000"/>
                <w:sz w:val="20"/>
                <w:szCs w:val="20"/>
              </w:rPr>
              <w:t>hhouse</w:t>
            </w:r>
          </w:p>
        </w:tc>
        <w:tc>
          <w:tcPr>
            <w:tcW w:w="515" w:type="pct"/>
            <w:tcBorders>
              <w:top w:val="single" w:sz="4" w:space="0" w:color="auto"/>
              <w:left w:val="single" w:sz="4" w:space="0" w:color="auto"/>
              <w:bottom w:val="single" w:sz="4" w:space="0" w:color="auto"/>
              <w:right w:val="single" w:sz="4" w:space="0" w:color="auto"/>
            </w:tcBorders>
            <w:noWrap/>
            <w:vAlign w:val="bottom"/>
          </w:tcPr>
          <w:p w14:paraId="75419977" w14:textId="34D3AD25" w:rsidR="00526C14" w:rsidRPr="009070D8" w:rsidRDefault="00526C14" w:rsidP="00526C14">
            <w:pPr>
              <w:jc w:val="right"/>
              <w:rPr>
                <w:color w:val="000000"/>
                <w:sz w:val="20"/>
                <w:szCs w:val="20"/>
              </w:rPr>
            </w:pPr>
            <w:r w:rsidRPr="009070D8">
              <w:rPr>
                <w:color w:val="000000"/>
                <w:sz w:val="20"/>
                <w:szCs w:val="20"/>
              </w:rPr>
              <w:t>1,303</w:t>
            </w:r>
          </w:p>
        </w:tc>
        <w:tc>
          <w:tcPr>
            <w:tcW w:w="618" w:type="pct"/>
            <w:tcBorders>
              <w:top w:val="single" w:sz="4" w:space="0" w:color="auto"/>
              <w:left w:val="single" w:sz="4" w:space="0" w:color="auto"/>
              <w:bottom w:val="single" w:sz="4" w:space="0" w:color="auto"/>
              <w:right w:val="single" w:sz="4" w:space="0" w:color="auto"/>
            </w:tcBorders>
            <w:noWrap/>
            <w:vAlign w:val="bottom"/>
          </w:tcPr>
          <w:p w14:paraId="70A951B4" w14:textId="6FE3419B" w:rsidR="00526C14" w:rsidRPr="009070D8" w:rsidRDefault="00526C14" w:rsidP="00A37DC3">
            <w:pPr>
              <w:ind w:right="155"/>
              <w:jc w:val="right"/>
              <w:rPr>
                <w:color w:val="000000"/>
                <w:sz w:val="20"/>
                <w:szCs w:val="20"/>
              </w:rPr>
            </w:pPr>
            <w:r w:rsidRPr="009070D8">
              <w:rPr>
                <w:color w:val="000000"/>
                <w:sz w:val="20"/>
                <w:szCs w:val="20"/>
              </w:rPr>
              <w:t>0.82</w:t>
            </w:r>
          </w:p>
        </w:tc>
        <w:tc>
          <w:tcPr>
            <w:tcW w:w="560" w:type="pct"/>
            <w:tcBorders>
              <w:top w:val="single" w:sz="4" w:space="0" w:color="auto"/>
              <w:left w:val="single" w:sz="4" w:space="0" w:color="auto"/>
              <w:bottom w:val="single" w:sz="4" w:space="0" w:color="auto"/>
              <w:right w:val="single" w:sz="4" w:space="0" w:color="auto"/>
            </w:tcBorders>
            <w:noWrap/>
            <w:vAlign w:val="bottom"/>
          </w:tcPr>
          <w:p w14:paraId="2AB060C0" w14:textId="12772BAB" w:rsidR="00526C14" w:rsidRPr="009070D8" w:rsidRDefault="00526C14" w:rsidP="00A37DC3">
            <w:pPr>
              <w:ind w:right="32"/>
              <w:jc w:val="right"/>
              <w:rPr>
                <w:color w:val="000000"/>
                <w:sz w:val="20"/>
                <w:szCs w:val="20"/>
              </w:rPr>
            </w:pPr>
          </w:p>
        </w:tc>
      </w:tr>
      <w:tr w:rsidR="00526C14" w:rsidRPr="009070D8" w14:paraId="5CAC182A"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473BD196" w14:textId="414FAF2E" w:rsidR="00526C14" w:rsidRPr="009070D8" w:rsidRDefault="00526C14" w:rsidP="00526C14">
            <w:pPr>
              <w:rPr>
                <w:color w:val="000000"/>
                <w:sz w:val="20"/>
                <w:szCs w:val="20"/>
              </w:rPr>
            </w:pPr>
            <w:r w:rsidRPr="009070D8">
              <w:rPr>
                <w:color w:val="000000"/>
                <w:sz w:val="20"/>
                <w:szCs w:val="20"/>
              </w:rPr>
              <w:t>=1 if a household head has primary education</w:t>
            </w:r>
          </w:p>
        </w:tc>
        <w:tc>
          <w:tcPr>
            <w:tcW w:w="824" w:type="pct"/>
            <w:tcBorders>
              <w:top w:val="single" w:sz="4" w:space="0" w:color="auto"/>
              <w:left w:val="single" w:sz="4" w:space="0" w:color="auto"/>
              <w:bottom w:val="single" w:sz="4" w:space="0" w:color="auto"/>
              <w:right w:val="single" w:sz="4" w:space="0" w:color="auto"/>
            </w:tcBorders>
          </w:tcPr>
          <w:p w14:paraId="5CE42F46" w14:textId="29006076" w:rsidR="00526C14" w:rsidRPr="009070D8" w:rsidRDefault="00526C14" w:rsidP="00526C14">
            <w:pPr>
              <w:rPr>
                <w:color w:val="000000"/>
                <w:sz w:val="20"/>
                <w:szCs w:val="20"/>
              </w:rPr>
            </w:pPr>
            <w:r w:rsidRPr="009070D8">
              <w:rPr>
                <w:color w:val="000000"/>
                <w:sz w:val="20"/>
                <w:szCs w:val="20"/>
              </w:rPr>
              <w:t>hhprim</w:t>
            </w:r>
          </w:p>
        </w:tc>
        <w:tc>
          <w:tcPr>
            <w:tcW w:w="515" w:type="pct"/>
            <w:tcBorders>
              <w:top w:val="single" w:sz="4" w:space="0" w:color="auto"/>
              <w:left w:val="single" w:sz="4" w:space="0" w:color="auto"/>
              <w:bottom w:val="single" w:sz="4" w:space="0" w:color="auto"/>
              <w:right w:val="single" w:sz="4" w:space="0" w:color="auto"/>
            </w:tcBorders>
            <w:noWrap/>
            <w:vAlign w:val="bottom"/>
          </w:tcPr>
          <w:p w14:paraId="38F66AB8" w14:textId="7C58BD8B" w:rsidR="00526C14" w:rsidRPr="009070D8" w:rsidRDefault="00526C14" w:rsidP="00526C1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6068E9F6" w14:textId="736C8B2F" w:rsidR="00526C14" w:rsidRPr="009070D8" w:rsidRDefault="00526C14" w:rsidP="00A37DC3">
            <w:pPr>
              <w:ind w:right="155"/>
              <w:jc w:val="right"/>
              <w:rPr>
                <w:color w:val="000000"/>
                <w:sz w:val="20"/>
                <w:szCs w:val="20"/>
              </w:rPr>
            </w:pPr>
            <w:r w:rsidRPr="009070D8">
              <w:rPr>
                <w:color w:val="000000"/>
                <w:sz w:val="20"/>
                <w:szCs w:val="20"/>
              </w:rPr>
              <w:t>0.21</w:t>
            </w:r>
          </w:p>
        </w:tc>
        <w:tc>
          <w:tcPr>
            <w:tcW w:w="560" w:type="pct"/>
            <w:tcBorders>
              <w:top w:val="single" w:sz="4" w:space="0" w:color="auto"/>
              <w:left w:val="single" w:sz="4" w:space="0" w:color="auto"/>
              <w:bottom w:val="single" w:sz="4" w:space="0" w:color="auto"/>
              <w:right w:val="single" w:sz="4" w:space="0" w:color="auto"/>
            </w:tcBorders>
            <w:noWrap/>
            <w:vAlign w:val="bottom"/>
          </w:tcPr>
          <w:p w14:paraId="33E46965" w14:textId="77777777" w:rsidR="00526C14" w:rsidRPr="009070D8" w:rsidRDefault="00526C14" w:rsidP="00A37DC3">
            <w:pPr>
              <w:ind w:right="32"/>
              <w:jc w:val="right"/>
              <w:rPr>
                <w:color w:val="000000"/>
                <w:sz w:val="20"/>
                <w:szCs w:val="20"/>
              </w:rPr>
            </w:pPr>
          </w:p>
        </w:tc>
      </w:tr>
      <w:tr w:rsidR="00526C14" w:rsidRPr="009070D8" w14:paraId="7FC139DD"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567FEDC0" w14:textId="6B903FAC" w:rsidR="00526C14" w:rsidRPr="009070D8" w:rsidRDefault="00526C14" w:rsidP="00526C14">
            <w:pPr>
              <w:rPr>
                <w:color w:val="000000"/>
                <w:sz w:val="20"/>
                <w:szCs w:val="20"/>
              </w:rPr>
            </w:pPr>
            <w:r w:rsidRPr="009070D8">
              <w:rPr>
                <w:color w:val="000000"/>
                <w:sz w:val="20"/>
                <w:szCs w:val="20"/>
              </w:rPr>
              <w:lastRenderedPageBreak/>
              <w:t>=1 if a household head has secondary education</w:t>
            </w:r>
          </w:p>
        </w:tc>
        <w:tc>
          <w:tcPr>
            <w:tcW w:w="824" w:type="pct"/>
            <w:tcBorders>
              <w:top w:val="single" w:sz="4" w:space="0" w:color="auto"/>
              <w:left w:val="single" w:sz="4" w:space="0" w:color="auto"/>
              <w:bottom w:val="single" w:sz="4" w:space="0" w:color="auto"/>
              <w:right w:val="single" w:sz="4" w:space="0" w:color="auto"/>
            </w:tcBorders>
          </w:tcPr>
          <w:p w14:paraId="04D0CCAC" w14:textId="3C3A0034" w:rsidR="00526C14" w:rsidRPr="009070D8" w:rsidRDefault="00526C14" w:rsidP="00526C14">
            <w:pPr>
              <w:rPr>
                <w:color w:val="000000"/>
                <w:sz w:val="20"/>
                <w:szCs w:val="20"/>
              </w:rPr>
            </w:pPr>
            <w:r w:rsidRPr="009070D8">
              <w:rPr>
                <w:color w:val="000000"/>
                <w:sz w:val="20"/>
                <w:szCs w:val="20"/>
              </w:rPr>
              <w:t>hhsec</w:t>
            </w:r>
          </w:p>
        </w:tc>
        <w:tc>
          <w:tcPr>
            <w:tcW w:w="515" w:type="pct"/>
            <w:tcBorders>
              <w:top w:val="single" w:sz="4" w:space="0" w:color="auto"/>
              <w:left w:val="single" w:sz="4" w:space="0" w:color="auto"/>
              <w:bottom w:val="single" w:sz="4" w:space="0" w:color="auto"/>
              <w:right w:val="single" w:sz="4" w:space="0" w:color="auto"/>
            </w:tcBorders>
            <w:noWrap/>
            <w:vAlign w:val="bottom"/>
          </w:tcPr>
          <w:p w14:paraId="5948A7DE" w14:textId="2624767F" w:rsidR="00526C14" w:rsidRPr="009070D8" w:rsidRDefault="00526C14" w:rsidP="00526C1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535CD121" w14:textId="5FE2B9AE" w:rsidR="00526C14" w:rsidRPr="009070D8" w:rsidRDefault="00526C14" w:rsidP="00A37DC3">
            <w:pPr>
              <w:ind w:right="155"/>
              <w:jc w:val="right"/>
              <w:rPr>
                <w:color w:val="000000"/>
                <w:sz w:val="20"/>
                <w:szCs w:val="20"/>
              </w:rPr>
            </w:pPr>
            <w:r w:rsidRPr="009070D8">
              <w:rPr>
                <w:color w:val="000000"/>
                <w:sz w:val="20"/>
                <w:szCs w:val="20"/>
              </w:rPr>
              <w:t>0.47</w:t>
            </w:r>
          </w:p>
        </w:tc>
        <w:tc>
          <w:tcPr>
            <w:tcW w:w="560" w:type="pct"/>
            <w:tcBorders>
              <w:top w:val="single" w:sz="4" w:space="0" w:color="auto"/>
              <w:left w:val="single" w:sz="4" w:space="0" w:color="auto"/>
              <w:bottom w:val="single" w:sz="4" w:space="0" w:color="auto"/>
              <w:right w:val="single" w:sz="4" w:space="0" w:color="auto"/>
            </w:tcBorders>
            <w:noWrap/>
            <w:vAlign w:val="bottom"/>
          </w:tcPr>
          <w:p w14:paraId="2ACFC4E4" w14:textId="77777777" w:rsidR="00526C14" w:rsidRPr="009070D8" w:rsidRDefault="00526C14" w:rsidP="00A37DC3">
            <w:pPr>
              <w:ind w:right="32"/>
              <w:jc w:val="right"/>
              <w:rPr>
                <w:color w:val="000000"/>
                <w:sz w:val="20"/>
                <w:szCs w:val="20"/>
              </w:rPr>
            </w:pPr>
          </w:p>
        </w:tc>
      </w:tr>
      <w:tr w:rsidR="00526C14" w:rsidRPr="009070D8" w14:paraId="46CF1CFC"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17213228" w14:textId="78B46956" w:rsidR="00526C14" w:rsidRPr="009070D8" w:rsidRDefault="00526C14" w:rsidP="00526C14">
            <w:pPr>
              <w:rPr>
                <w:color w:val="000000"/>
                <w:sz w:val="20"/>
                <w:szCs w:val="20"/>
              </w:rPr>
            </w:pPr>
            <w:r w:rsidRPr="009070D8">
              <w:rPr>
                <w:color w:val="000000"/>
                <w:sz w:val="20"/>
                <w:szCs w:val="20"/>
              </w:rPr>
              <w:t>=1 if a household head has tertiary education</w:t>
            </w:r>
          </w:p>
        </w:tc>
        <w:tc>
          <w:tcPr>
            <w:tcW w:w="824" w:type="pct"/>
            <w:tcBorders>
              <w:top w:val="single" w:sz="4" w:space="0" w:color="auto"/>
              <w:left w:val="single" w:sz="4" w:space="0" w:color="auto"/>
              <w:bottom w:val="single" w:sz="4" w:space="0" w:color="auto"/>
              <w:right w:val="single" w:sz="4" w:space="0" w:color="auto"/>
            </w:tcBorders>
          </w:tcPr>
          <w:p w14:paraId="6F8DED03" w14:textId="18269D64" w:rsidR="00526C14" w:rsidRPr="009070D8" w:rsidRDefault="00526C14" w:rsidP="00526C14">
            <w:pPr>
              <w:rPr>
                <w:color w:val="000000"/>
                <w:sz w:val="20"/>
                <w:szCs w:val="20"/>
              </w:rPr>
            </w:pPr>
            <w:r w:rsidRPr="009070D8">
              <w:rPr>
                <w:color w:val="000000"/>
                <w:sz w:val="20"/>
                <w:szCs w:val="20"/>
              </w:rPr>
              <w:t>hhtert</w:t>
            </w:r>
          </w:p>
        </w:tc>
        <w:tc>
          <w:tcPr>
            <w:tcW w:w="515" w:type="pct"/>
            <w:tcBorders>
              <w:top w:val="single" w:sz="4" w:space="0" w:color="auto"/>
              <w:left w:val="single" w:sz="4" w:space="0" w:color="auto"/>
              <w:bottom w:val="single" w:sz="4" w:space="0" w:color="auto"/>
              <w:right w:val="single" w:sz="4" w:space="0" w:color="auto"/>
            </w:tcBorders>
            <w:noWrap/>
            <w:vAlign w:val="bottom"/>
          </w:tcPr>
          <w:p w14:paraId="32CA8D0B" w14:textId="17FA365C" w:rsidR="00526C14" w:rsidRPr="009070D8" w:rsidRDefault="00526C14" w:rsidP="00526C1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1F91A9B4" w14:textId="75041B58" w:rsidR="00526C14" w:rsidRPr="009070D8" w:rsidRDefault="00526C14" w:rsidP="00A37DC3">
            <w:pPr>
              <w:ind w:right="155"/>
              <w:jc w:val="right"/>
              <w:rPr>
                <w:color w:val="000000"/>
                <w:sz w:val="20"/>
                <w:szCs w:val="20"/>
              </w:rPr>
            </w:pPr>
            <w:r w:rsidRPr="009070D8">
              <w:rPr>
                <w:color w:val="000000"/>
                <w:sz w:val="20"/>
                <w:szCs w:val="20"/>
              </w:rPr>
              <w:t>0.10</w:t>
            </w:r>
          </w:p>
        </w:tc>
        <w:tc>
          <w:tcPr>
            <w:tcW w:w="560" w:type="pct"/>
            <w:tcBorders>
              <w:top w:val="single" w:sz="4" w:space="0" w:color="auto"/>
              <w:left w:val="single" w:sz="4" w:space="0" w:color="auto"/>
              <w:bottom w:val="single" w:sz="4" w:space="0" w:color="auto"/>
              <w:right w:val="single" w:sz="4" w:space="0" w:color="auto"/>
            </w:tcBorders>
            <w:noWrap/>
            <w:vAlign w:val="bottom"/>
          </w:tcPr>
          <w:p w14:paraId="3228158A" w14:textId="77777777" w:rsidR="00526C14" w:rsidRPr="009070D8" w:rsidRDefault="00526C14" w:rsidP="00A37DC3">
            <w:pPr>
              <w:ind w:right="32"/>
              <w:jc w:val="right"/>
              <w:rPr>
                <w:color w:val="000000"/>
                <w:sz w:val="20"/>
                <w:szCs w:val="20"/>
              </w:rPr>
            </w:pPr>
          </w:p>
        </w:tc>
      </w:tr>
      <w:tr w:rsidR="00526C14" w:rsidRPr="009070D8" w14:paraId="0BFFBAA3"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0009EE9F" w14:textId="77777777" w:rsidR="00526C14" w:rsidRPr="009070D8" w:rsidRDefault="00526C14" w:rsidP="00526C14">
            <w:pPr>
              <w:rPr>
                <w:color w:val="000000"/>
                <w:sz w:val="20"/>
                <w:szCs w:val="20"/>
              </w:rPr>
            </w:pPr>
            <w:r w:rsidRPr="009070D8">
              <w:rPr>
                <w:color w:val="000000"/>
                <w:sz w:val="20"/>
                <w:szCs w:val="20"/>
              </w:rPr>
              <w:t>Number of household members within a household</w:t>
            </w:r>
          </w:p>
        </w:tc>
        <w:tc>
          <w:tcPr>
            <w:tcW w:w="824" w:type="pct"/>
            <w:tcBorders>
              <w:top w:val="single" w:sz="4" w:space="0" w:color="auto"/>
              <w:left w:val="single" w:sz="4" w:space="0" w:color="auto"/>
              <w:bottom w:val="single" w:sz="4" w:space="0" w:color="auto"/>
              <w:right w:val="single" w:sz="4" w:space="0" w:color="auto"/>
            </w:tcBorders>
          </w:tcPr>
          <w:p w14:paraId="1813F6A6" w14:textId="77777777" w:rsidR="00526C14" w:rsidRPr="009070D8" w:rsidRDefault="00526C14" w:rsidP="00526C14">
            <w:pPr>
              <w:rPr>
                <w:color w:val="000000"/>
                <w:sz w:val="20"/>
                <w:szCs w:val="20"/>
              </w:rPr>
            </w:pPr>
            <w:r w:rsidRPr="009070D8">
              <w:rPr>
                <w:color w:val="000000"/>
                <w:sz w:val="20"/>
                <w:szCs w:val="20"/>
              </w:rPr>
              <w:t>hhsize</w:t>
            </w:r>
          </w:p>
        </w:tc>
        <w:tc>
          <w:tcPr>
            <w:tcW w:w="515" w:type="pct"/>
            <w:tcBorders>
              <w:top w:val="single" w:sz="4" w:space="0" w:color="auto"/>
              <w:left w:val="single" w:sz="4" w:space="0" w:color="auto"/>
              <w:bottom w:val="single" w:sz="4" w:space="0" w:color="auto"/>
              <w:right w:val="single" w:sz="4" w:space="0" w:color="auto"/>
            </w:tcBorders>
            <w:noWrap/>
            <w:vAlign w:val="bottom"/>
          </w:tcPr>
          <w:p w14:paraId="50E9EA37" w14:textId="3999FA74" w:rsidR="00526C14" w:rsidRPr="009070D8" w:rsidRDefault="00526C14" w:rsidP="00526C14">
            <w:pPr>
              <w:jc w:val="right"/>
              <w:rPr>
                <w:color w:val="000000"/>
                <w:sz w:val="20"/>
                <w:szCs w:val="20"/>
              </w:rPr>
            </w:pPr>
            <w:r w:rsidRPr="009070D8">
              <w:rPr>
                <w:color w:val="000000"/>
                <w:sz w:val="20"/>
                <w:szCs w:val="20"/>
              </w:rPr>
              <w:t>1,303</w:t>
            </w:r>
          </w:p>
        </w:tc>
        <w:tc>
          <w:tcPr>
            <w:tcW w:w="618" w:type="pct"/>
            <w:tcBorders>
              <w:top w:val="single" w:sz="4" w:space="0" w:color="auto"/>
              <w:left w:val="single" w:sz="4" w:space="0" w:color="auto"/>
              <w:bottom w:val="single" w:sz="4" w:space="0" w:color="auto"/>
              <w:right w:val="single" w:sz="4" w:space="0" w:color="auto"/>
            </w:tcBorders>
            <w:noWrap/>
            <w:vAlign w:val="bottom"/>
          </w:tcPr>
          <w:p w14:paraId="38CB120C" w14:textId="6329F4CD" w:rsidR="00526C14" w:rsidRPr="009070D8" w:rsidRDefault="00526C14" w:rsidP="00A37DC3">
            <w:pPr>
              <w:ind w:right="155"/>
              <w:jc w:val="right"/>
              <w:rPr>
                <w:color w:val="000000"/>
                <w:sz w:val="20"/>
                <w:szCs w:val="20"/>
              </w:rPr>
            </w:pPr>
            <w:r w:rsidRPr="009070D8">
              <w:rPr>
                <w:color w:val="000000"/>
                <w:sz w:val="20"/>
                <w:szCs w:val="20"/>
              </w:rPr>
              <w:t>4.25</w:t>
            </w:r>
          </w:p>
        </w:tc>
        <w:tc>
          <w:tcPr>
            <w:tcW w:w="560" w:type="pct"/>
            <w:tcBorders>
              <w:top w:val="single" w:sz="4" w:space="0" w:color="auto"/>
              <w:left w:val="single" w:sz="4" w:space="0" w:color="auto"/>
              <w:bottom w:val="single" w:sz="4" w:space="0" w:color="auto"/>
              <w:right w:val="single" w:sz="4" w:space="0" w:color="auto"/>
            </w:tcBorders>
            <w:noWrap/>
            <w:vAlign w:val="bottom"/>
          </w:tcPr>
          <w:p w14:paraId="6180245C" w14:textId="5BA1534F" w:rsidR="00526C14" w:rsidRPr="009070D8" w:rsidRDefault="00526C14" w:rsidP="00A37DC3">
            <w:pPr>
              <w:ind w:right="32"/>
              <w:jc w:val="right"/>
              <w:rPr>
                <w:color w:val="000000"/>
                <w:sz w:val="20"/>
                <w:szCs w:val="20"/>
              </w:rPr>
            </w:pPr>
            <w:r w:rsidRPr="009070D8">
              <w:rPr>
                <w:color w:val="000000"/>
                <w:sz w:val="20"/>
                <w:szCs w:val="20"/>
              </w:rPr>
              <w:t>1.414</w:t>
            </w:r>
          </w:p>
        </w:tc>
      </w:tr>
      <w:tr w:rsidR="00526C14" w:rsidRPr="009070D8" w14:paraId="4E062F09"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6CA7B131" w14:textId="77777777" w:rsidR="00526C14" w:rsidRPr="009070D8" w:rsidRDefault="00526C14" w:rsidP="00526C14">
            <w:pPr>
              <w:rPr>
                <w:color w:val="000000"/>
                <w:sz w:val="20"/>
                <w:szCs w:val="20"/>
              </w:rPr>
            </w:pPr>
            <w:r w:rsidRPr="009070D8">
              <w:rPr>
                <w:color w:val="000000"/>
                <w:sz w:val="20"/>
                <w:szCs w:val="20"/>
              </w:rPr>
              <w:t>Household’s monthly income per capita, in KM</w:t>
            </w:r>
          </w:p>
        </w:tc>
        <w:tc>
          <w:tcPr>
            <w:tcW w:w="824" w:type="pct"/>
            <w:tcBorders>
              <w:top w:val="single" w:sz="4" w:space="0" w:color="auto"/>
              <w:left w:val="single" w:sz="4" w:space="0" w:color="auto"/>
              <w:bottom w:val="single" w:sz="4" w:space="0" w:color="auto"/>
              <w:right w:val="single" w:sz="4" w:space="0" w:color="auto"/>
            </w:tcBorders>
          </w:tcPr>
          <w:p w14:paraId="7845848E" w14:textId="0006B500" w:rsidR="00526C14" w:rsidRPr="009070D8" w:rsidRDefault="00526C14" w:rsidP="00526C14">
            <w:pPr>
              <w:rPr>
                <w:color w:val="000000"/>
                <w:sz w:val="20"/>
                <w:szCs w:val="20"/>
              </w:rPr>
            </w:pPr>
            <w:r w:rsidRPr="009070D8">
              <w:rPr>
                <w:color w:val="000000"/>
                <w:sz w:val="20"/>
                <w:szCs w:val="20"/>
              </w:rPr>
              <w:t>hincpcx</w:t>
            </w:r>
          </w:p>
        </w:tc>
        <w:tc>
          <w:tcPr>
            <w:tcW w:w="515" w:type="pct"/>
            <w:tcBorders>
              <w:top w:val="single" w:sz="4" w:space="0" w:color="auto"/>
              <w:left w:val="single" w:sz="4" w:space="0" w:color="auto"/>
              <w:bottom w:val="single" w:sz="4" w:space="0" w:color="auto"/>
              <w:right w:val="single" w:sz="4" w:space="0" w:color="auto"/>
            </w:tcBorders>
            <w:noWrap/>
            <w:vAlign w:val="bottom"/>
          </w:tcPr>
          <w:p w14:paraId="1DFB412F" w14:textId="5705DAAF" w:rsidR="00526C14" w:rsidRPr="009070D8" w:rsidRDefault="00526C14" w:rsidP="00526C1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4B007CD1" w14:textId="5353AA02" w:rsidR="00526C14" w:rsidRPr="009070D8" w:rsidRDefault="00526C14" w:rsidP="00A37DC3">
            <w:pPr>
              <w:ind w:right="155"/>
              <w:jc w:val="right"/>
              <w:rPr>
                <w:color w:val="000000"/>
                <w:sz w:val="20"/>
                <w:szCs w:val="20"/>
              </w:rPr>
            </w:pPr>
            <w:r w:rsidRPr="009070D8">
              <w:rPr>
                <w:color w:val="000000"/>
                <w:sz w:val="20"/>
                <w:szCs w:val="20"/>
              </w:rPr>
              <w:t>2</w:t>
            </w:r>
            <w:r w:rsidR="00557C0A">
              <w:rPr>
                <w:color w:val="000000"/>
                <w:sz w:val="20"/>
                <w:szCs w:val="20"/>
              </w:rPr>
              <w:t>,</w:t>
            </w:r>
            <w:r w:rsidRPr="009070D8">
              <w:rPr>
                <w:color w:val="000000"/>
                <w:sz w:val="20"/>
                <w:szCs w:val="20"/>
              </w:rPr>
              <w:t>389.66</w:t>
            </w:r>
          </w:p>
        </w:tc>
        <w:tc>
          <w:tcPr>
            <w:tcW w:w="560" w:type="pct"/>
            <w:tcBorders>
              <w:top w:val="single" w:sz="4" w:space="0" w:color="auto"/>
              <w:left w:val="single" w:sz="4" w:space="0" w:color="auto"/>
              <w:bottom w:val="single" w:sz="4" w:space="0" w:color="auto"/>
              <w:right w:val="single" w:sz="4" w:space="0" w:color="auto"/>
            </w:tcBorders>
            <w:noWrap/>
            <w:vAlign w:val="bottom"/>
          </w:tcPr>
          <w:p w14:paraId="6CC14879" w14:textId="4BAE01E4" w:rsidR="00526C14" w:rsidRPr="009070D8" w:rsidRDefault="00526C14" w:rsidP="00A37DC3">
            <w:pPr>
              <w:ind w:right="32"/>
              <w:jc w:val="right"/>
              <w:rPr>
                <w:color w:val="000000"/>
                <w:sz w:val="20"/>
                <w:szCs w:val="20"/>
              </w:rPr>
            </w:pPr>
            <w:r w:rsidRPr="009070D8">
              <w:rPr>
                <w:color w:val="000000"/>
                <w:sz w:val="20"/>
                <w:szCs w:val="20"/>
              </w:rPr>
              <w:t>2</w:t>
            </w:r>
            <w:r w:rsidR="00557C0A">
              <w:rPr>
                <w:color w:val="000000"/>
                <w:sz w:val="20"/>
                <w:szCs w:val="20"/>
              </w:rPr>
              <w:t>,</w:t>
            </w:r>
            <w:r w:rsidRPr="009070D8">
              <w:rPr>
                <w:color w:val="000000"/>
                <w:sz w:val="20"/>
                <w:szCs w:val="20"/>
              </w:rPr>
              <w:t>906.268</w:t>
            </w:r>
          </w:p>
        </w:tc>
      </w:tr>
      <w:tr w:rsidR="00526C14" w:rsidRPr="009070D8" w14:paraId="59903AB0"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310D73F7" w14:textId="77777777" w:rsidR="00526C14" w:rsidRPr="009070D8" w:rsidRDefault="00526C14" w:rsidP="00526C14">
            <w:pPr>
              <w:rPr>
                <w:color w:val="000000"/>
                <w:sz w:val="20"/>
                <w:szCs w:val="20"/>
              </w:rPr>
            </w:pPr>
            <w:r w:rsidRPr="009070D8">
              <w:rPr>
                <w:color w:val="000000"/>
                <w:sz w:val="20"/>
                <w:szCs w:val="20"/>
              </w:rPr>
              <w:t>Number of children in the household</w:t>
            </w:r>
          </w:p>
        </w:tc>
        <w:tc>
          <w:tcPr>
            <w:tcW w:w="824" w:type="pct"/>
            <w:tcBorders>
              <w:top w:val="single" w:sz="4" w:space="0" w:color="auto"/>
              <w:left w:val="single" w:sz="4" w:space="0" w:color="auto"/>
              <w:bottom w:val="single" w:sz="4" w:space="0" w:color="auto"/>
              <w:right w:val="single" w:sz="4" w:space="0" w:color="auto"/>
            </w:tcBorders>
          </w:tcPr>
          <w:p w14:paraId="6C2691AF" w14:textId="77777777" w:rsidR="00526C14" w:rsidRPr="009070D8" w:rsidRDefault="00526C14" w:rsidP="00526C14">
            <w:pPr>
              <w:rPr>
                <w:color w:val="000000"/>
                <w:sz w:val="20"/>
                <w:szCs w:val="20"/>
              </w:rPr>
            </w:pPr>
            <w:r w:rsidRPr="009070D8">
              <w:rPr>
                <w:color w:val="000000"/>
                <w:sz w:val="20"/>
                <w:szCs w:val="20"/>
              </w:rPr>
              <w:t>hnoc</w:t>
            </w:r>
          </w:p>
        </w:tc>
        <w:tc>
          <w:tcPr>
            <w:tcW w:w="515" w:type="pct"/>
            <w:tcBorders>
              <w:top w:val="single" w:sz="4" w:space="0" w:color="auto"/>
              <w:left w:val="single" w:sz="4" w:space="0" w:color="auto"/>
              <w:bottom w:val="single" w:sz="4" w:space="0" w:color="auto"/>
              <w:right w:val="single" w:sz="4" w:space="0" w:color="auto"/>
            </w:tcBorders>
            <w:noWrap/>
            <w:vAlign w:val="bottom"/>
          </w:tcPr>
          <w:p w14:paraId="1EAFE74E" w14:textId="42F169D0" w:rsidR="00526C14" w:rsidRPr="009070D8" w:rsidRDefault="00526C14" w:rsidP="00526C1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5D495135" w14:textId="427521DC" w:rsidR="00526C14" w:rsidRPr="009070D8" w:rsidRDefault="00526C14" w:rsidP="00A37DC3">
            <w:pPr>
              <w:ind w:right="155"/>
              <w:jc w:val="right"/>
              <w:rPr>
                <w:color w:val="000000"/>
                <w:sz w:val="20"/>
                <w:szCs w:val="20"/>
              </w:rPr>
            </w:pPr>
            <w:r w:rsidRPr="009070D8">
              <w:rPr>
                <w:color w:val="000000"/>
                <w:sz w:val="20"/>
                <w:szCs w:val="20"/>
              </w:rPr>
              <w:t>2.11</w:t>
            </w:r>
          </w:p>
        </w:tc>
        <w:tc>
          <w:tcPr>
            <w:tcW w:w="560" w:type="pct"/>
            <w:tcBorders>
              <w:top w:val="single" w:sz="4" w:space="0" w:color="auto"/>
              <w:left w:val="single" w:sz="4" w:space="0" w:color="auto"/>
              <w:bottom w:val="single" w:sz="4" w:space="0" w:color="auto"/>
              <w:right w:val="single" w:sz="4" w:space="0" w:color="auto"/>
            </w:tcBorders>
            <w:noWrap/>
            <w:vAlign w:val="bottom"/>
          </w:tcPr>
          <w:p w14:paraId="60BD4F18" w14:textId="22A0D1D6" w:rsidR="00526C14" w:rsidRPr="009070D8" w:rsidRDefault="00526C14" w:rsidP="00A37DC3">
            <w:pPr>
              <w:ind w:right="32"/>
              <w:jc w:val="right"/>
              <w:rPr>
                <w:color w:val="000000"/>
                <w:sz w:val="20"/>
                <w:szCs w:val="20"/>
              </w:rPr>
            </w:pPr>
            <w:r w:rsidRPr="009070D8">
              <w:rPr>
                <w:color w:val="000000"/>
                <w:sz w:val="20"/>
                <w:szCs w:val="20"/>
              </w:rPr>
              <w:t>1.016</w:t>
            </w:r>
          </w:p>
        </w:tc>
      </w:tr>
      <w:tr w:rsidR="00526C14" w:rsidRPr="009070D8" w14:paraId="15946EB7"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0D284C28" w14:textId="77777777" w:rsidR="00526C14" w:rsidRPr="009070D8" w:rsidRDefault="00526C14" w:rsidP="00526C14">
            <w:pPr>
              <w:rPr>
                <w:color w:val="000000"/>
                <w:sz w:val="20"/>
                <w:szCs w:val="20"/>
              </w:rPr>
            </w:pPr>
            <w:r w:rsidRPr="009070D8">
              <w:rPr>
                <w:color w:val="000000"/>
                <w:sz w:val="20"/>
                <w:szCs w:val="20"/>
              </w:rPr>
              <w:t>Number of school age individuals in the household</w:t>
            </w:r>
          </w:p>
        </w:tc>
        <w:tc>
          <w:tcPr>
            <w:tcW w:w="824" w:type="pct"/>
            <w:tcBorders>
              <w:top w:val="single" w:sz="4" w:space="0" w:color="auto"/>
              <w:left w:val="single" w:sz="4" w:space="0" w:color="auto"/>
              <w:bottom w:val="single" w:sz="4" w:space="0" w:color="auto"/>
              <w:right w:val="single" w:sz="4" w:space="0" w:color="auto"/>
            </w:tcBorders>
          </w:tcPr>
          <w:p w14:paraId="5DFE4251" w14:textId="77777777" w:rsidR="00526C14" w:rsidRPr="009070D8" w:rsidRDefault="00526C14" w:rsidP="00526C14">
            <w:pPr>
              <w:rPr>
                <w:color w:val="000000"/>
                <w:sz w:val="20"/>
                <w:szCs w:val="20"/>
              </w:rPr>
            </w:pPr>
            <w:r w:rsidRPr="009070D8">
              <w:rPr>
                <w:color w:val="000000"/>
                <w:sz w:val="20"/>
                <w:szCs w:val="20"/>
              </w:rPr>
              <w:t>hnoc624</w:t>
            </w:r>
          </w:p>
        </w:tc>
        <w:tc>
          <w:tcPr>
            <w:tcW w:w="515" w:type="pct"/>
            <w:tcBorders>
              <w:top w:val="single" w:sz="4" w:space="0" w:color="auto"/>
              <w:left w:val="single" w:sz="4" w:space="0" w:color="auto"/>
              <w:bottom w:val="single" w:sz="4" w:space="0" w:color="auto"/>
              <w:right w:val="single" w:sz="4" w:space="0" w:color="auto"/>
            </w:tcBorders>
            <w:noWrap/>
            <w:vAlign w:val="bottom"/>
          </w:tcPr>
          <w:p w14:paraId="7E430892" w14:textId="0E9EBB36" w:rsidR="00526C14" w:rsidRPr="009070D8" w:rsidRDefault="00526C14" w:rsidP="00526C1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6CACBF80" w14:textId="7A80D07E" w:rsidR="00526C14" w:rsidRPr="009070D8" w:rsidRDefault="00526C14" w:rsidP="00A37DC3">
            <w:pPr>
              <w:ind w:right="155"/>
              <w:jc w:val="right"/>
              <w:rPr>
                <w:color w:val="000000"/>
                <w:sz w:val="20"/>
                <w:szCs w:val="20"/>
              </w:rPr>
            </w:pPr>
            <w:r w:rsidRPr="009070D8">
              <w:rPr>
                <w:color w:val="000000"/>
                <w:sz w:val="20"/>
                <w:szCs w:val="20"/>
              </w:rPr>
              <w:t>0.15</w:t>
            </w:r>
          </w:p>
        </w:tc>
        <w:tc>
          <w:tcPr>
            <w:tcW w:w="560" w:type="pct"/>
            <w:tcBorders>
              <w:top w:val="single" w:sz="4" w:space="0" w:color="auto"/>
              <w:left w:val="single" w:sz="4" w:space="0" w:color="auto"/>
              <w:bottom w:val="single" w:sz="4" w:space="0" w:color="auto"/>
              <w:right w:val="single" w:sz="4" w:space="0" w:color="auto"/>
            </w:tcBorders>
            <w:noWrap/>
            <w:vAlign w:val="bottom"/>
          </w:tcPr>
          <w:p w14:paraId="3A3B7215" w14:textId="3ACB75B9" w:rsidR="00526C14" w:rsidRPr="009070D8" w:rsidRDefault="00526C14" w:rsidP="00A37DC3">
            <w:pPr>
              <w:ind w:right="32"/>
              <w:jc w:val="right"/>
              <w:rPr>
                <w:color w:val="000000"/>
                <w:sz w:val="20"/>
                <w:szCs w:val="20"/>
              </w:rPr>
            </w:pPr>
            <w:r w:rsidRPr="009070D8">
              <w:rPr>
                <w:color w:val="000000"/>
                <w:sz w:val="20"/>
                <w:szCs w:val="20"/>
              </w:rPr>
              <w:t>0.447</w:t>
            </w:r>
          </w:p>
        </w:tc>
      </w:tr>
      <w:tr w:rsidR="00526C14" w:rsidRPr="009070D8" w14:paraId="27D35DE0"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6C95DC1B" w14:textId="6D1ABBDE" w:rsidR="00526C14" w:rsidRPr="009070D8" w:rsidRDefault="00526C14" w:rsidP="00526C14">
            <w:pPr>
              <w:rPr>
                <w:color w:val="000000"/>
                <w:sz w:val="20"/>
                <w:szCs w:val="20"/>
              </w:rPr>
            </w:pPr>
            <w:r w:rsidRPr="009070D8">
              <w:rPr>
                <w:color w:val="000000"/>
                <w:sz w:val="20"/>
                <w:szCs w:val="20"/>
              </w:rPr>
              <w:t>Number of secondary or tertiary school age individuals in the household</w:t>
            </w:r>
          </w:p>
        </w:tc>
        <w:tc>
          <w:tcPr>
            <w:tcW w:w="824" w:type="pct"/>
            <w:tcBorders>
              <w:top w:val="single" w:sz="4" w:space="0" w:color="auto"/>
              <w:left w:val="single" w:sz="4" w:space="0" w:color="auto"/>
              <w:bottom w:val="single" w:sz="4" w:space="0" w:color="auto"/>
              <w:right w:val="single" w:sz="4" w:space="0" w:color="auto"/>
            </w:tcBorders>
          </w:tcPr>
          <w:p w14:paraId="4C29DB8A" w14:textId="5AFDB1A7" w:rsidR="00526C14" w:rsidRPr="009070D8" w:rsidRDefault="00526C14" w:rsidP="00526C14">
            <w:pPr>
              <w:rPr>
                <w:color w:val="000000"/>
                <w:sz w:val="20"/>
                <w:szCs w:val="20"/>
              </w:rPr>
            </w:pPr>
            <w:r w:rsidRPr="009070D8">
              <w:rPr>
                <w:color w:val="000000"/>
                <w:sz w:val="20"/>
                <w:szCs w:val="20"/>
              </w:rPr>
              <w:t>hnoc1518</w:t>
            </w:r>
          </w:p>
        </w:tc>
        <w:tc>
          <w:tcPr>
            <w:tcW w:w="515" w:type="pct"/>
            <w:tcBorders>
              <w:top w:val="single" w:sz="4" w:space="0" w:color="auto"/>
              <w:left w:val="single" w:sz="4" w:space="0" w:color="auto"/>
              <w:bottom w:val="single" w:sz="4" w:space="0" w:color="auto"/>
              <w:right w:val="single" w:sz="4" w:space="0" w:color="auto"/>
            </w:tcBorders>
            <w:noWrap/>
            <w:vAlign w:val="bottom"/>
          </w:tcPr>
          <w:p w14:paraId="7CD80DFA" w14:textId="2A700F1A" w:rsidR="00526C14" w:rsidRPr="009070D8" w:rsidRDefault="00526C14" w:rsidP="00526C1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vAlign w:val="bottom"/>
          </w:tcPr>
          <w:p w14:paraId="079D2FA7" w14:textId="28002A92" w:rsidR="00526C14" w:rsidRPr="009070D8" w:rsidRDefault="00526C14" w:rsidP="00A37DC3">
            <w:pPr>
              <w:ind w:right="155"/>
              <w:jc w:val="right"/>
              <w:rPr>
                <w:color w:val="000000"/>
                <w:sz w:val="20"/>
                <w:szCs w:val="20"/>
              </w:rPr>
            </w:pPr>
            <w:r w:rsidRPr="009070D8">
              <w:rPr>
                <w:color w:val="000000"/>
                <w:sz w:val="20"/>
                <w:szCs w:val="20"/>
              </w:rPr>
              <w:t>1.67</w:t>
            </w:r>
          </w:p>
        </w:tc>
        <w:tc>
          <w:tcPr>
            <w:tcW w:w="560" w:type="pct"/>
            <w:tcBorders>
              <w:top w:val="single" w:sz="4" w:space="0" w:color="auto"/>
              <w:left w:val="single" w:sz="4" w:space="0" w:color="auto"/>
              <w:bottom w:val="single" w:sz="4" w:space="0" w:color="auto"/>
              <w:right w:val="single" w:sz="4" w:space="0" w:color="auto"/>
            </w:tcBorders>
            <w:noWrap/>
            <w:vAlign w:val="bottom"/>
          </w:tcPr>
          <w:p w14:paraId="3439C8A6" w14:textId="296DD983" w:rsidR="00526C14" w:rsidRPr="009070D8" w:rsidRDefault="00526C14" w:rsidP="00A37DC3">
            <w:pPr>
              <w:ind w:right="32"/>
              <w:jc w:val="right"/>
              <w:rPr>
                <w:color w:val="000000"/>
                <w:sz w:val="20"/>
                <w:szCs w:val="20"/>
              </w:rPr>
            </w:pPr>
            <w:r w:rsidRPr="009070D8">
              <w:rPr>
                <w:color w:val="000000"/>
                <w:sz w:val="20"/>
                <w:szCs w:val="20"/>
              </w:rPr>
              <w:t>0.723</w:t>
            </w:r>
          </w:p>
        </w:tc>
      </w:tr>
      <w:tr w:rsidR="00526C14" w:rsidRPr="009070D8" w14:paraId="6E49DE96" w14:textId="77777777" w:rsidTr="00FC06FB">
        <w:trPr>
          <w:trHeight w:val="300"/>
        </w:trPr>
        <w:tc>
          <w:tcPr>
            <w:tcW w:w="2483" w:type="pct"/>
            <w:tcBorders>
              <w:top w:val="single" w:sz="4" w:space="0" w:color="auto"/>
              <w:left w:val="single" w:sz="4" w:space="0" w:color="auto"/>
              <w:bottom w:val="single" w:sz="4" w:space="0" w:color="auto"/>
              <w:right w:val="single" w:sz="4" w:space="0" w:color="auto"/>
            </w:tcBorders>
          </w:tcPr>
          <w:p w14:paraId="229324D4" w14:textId="77777777" w:rsidR="00526C14" w:rsidRPr="009070D8" w:rsidRDefault="00526C14" w:rsidP="00526C14">
            <w:pPr>
              <w:rPr>
                <w:color w:val="000000"/>
                <w:sz w:val="20"/>
                <w:szCs w:val="20"/>
              </w:rPr>
            </w:pPr>
            <w:r w:rsidRPr="009070D8">
              <w:rPr>
                <w:color w:val="000000"/>
                <w:sz w:val="20"/>
                <w:szCs w:val="20"/>
              </w:rPr>
              <w:t>=1 if a household receives remittances</w:t>
            </w:r>
          </w:p>
        </w:tc>
        <w:tc>
          <w:tcPr>
            <w:tcW w:w="824" w:type="pct"/>
            <w:tcBorders>
              <w:top w:val="single" w:sz="4" w:space="0" w:color="auto"/>
              <w:left w:val="single" w:sz="4" w:space="0" w:color="auto"/>
              <w:bottom w:val="single" w:sz="4" w:space="0" w:color="auto"/>
              <w:right w:val="single" w:sz="4" w:space="0" w:color="auto"/>
            </w:tcBorders>
          </w:tcPr>
          <w:p w14:paraId="01F88B39" w14:textId="77777777" w:rsidR="00526C14" w:rsidRPr="009070D8" w:rsidRDefault="00526C14" w:rsidP="00526C14">
            <w:pPr>
              <w:rPr>
                <w:color w:val="000000"/>
                <w:sz w:val="20"/>
                <w:szCs w:val="20"/>
              </w:rPr>
            </w:pPr>
            <w:r w:rsidRPr="009070D8">
              <w:rPr>
                <w:color w:val="000000"/>
                <w:sz w:val="20"/>
                <w:szCs w:val="20"/>
              </w:rPr>
              <w:t>hrem</w:t>
            </w:r>
          </w:p>
        </w:tc>
        <w:tc>
          <w:tcPr>
            <w:tcW w:w="515" w:type="pct"/>
            <w:tcBorders>
              <w:top w:val="single" w:sz="4" w:space="0" w:color="auto"/>
              <w:left w:val="single" w:sz="4" w:space="0" w:color="auto"/>
              <w:bottom w:val="single" w:sz="4" w:space="0" w:color="auto"/>
              <w:right w:val="single" w:sz="4" w:space="0" w:color="auto"/>
            </w:tcBorders>
            <w:noWrap/>
            <w:vAlign w:val="bottom"/>
          </w:tcPr>
          <w:p w14:paraId="3701B1A5" w14:textId="763E5273" w:rsidR="00526C14" w:rsidRPr="009070D8" w:rsidRDefault="00526C14" w:rsidP="00526C14">
            <w:pPr>
              <w:jc w:val="right"/>
              <w:rPr>
                <w:color w:val="000000"/>
                <w:sz w:val="20"/>
                <w:szCs w:val="20"/>
              </w:rPr>
            </w:pPr>
            <w:r w:rsidRPr="009070D8">
              <w:rPr>
                <w:color w:val="000000"/>
                <w:sz w:val="20"/>
                <w:szCs w:val="20"/>
              </w:rPr>
              <w:t>1,293</w:t>
            </w:r>
          </w:p>
        </w:tc>
        <w:tc>
          <w:tcPr>
            <w:tcW w:w="618" w:type="pct"/>
            <w:tcBorders>
              <w:top w:val="single" w:sz="4" w:space="0" w:color="auto"/>
              <w:left w:val="single" w:sz="4" w:space="0" w:color="auto"/>
              <w:bottom w:val="single" w:sz="4" w:space="0" w:color="auto"/>
              <w:right w:val="single" w:sz="4" w:space="0" w:color="auto"/>
            </w:tcBorders>
            <w:noWrap/>
            <w:vAlign w:val="bottom"/>
          </w:tcPr>
          <w:p w14:paraId="5708D9AA" w14:textId="4FEDFA24" w:rsidR="00526C14" w:rsidRPr="009070D8" w:rsidRDefault="00526C14" w:rsidP="00A37DC3">
            <w:pPr>
              <w:ind w:right="155"/>
              <w:jc w:val="right"/>
              <w:rPr>
                <w:color w:val="000000"/>
                <w:sz w:val="20"/>
                <w:szCs w:val="20"/>
              </w:rPr>
            </w:pPr>
            <w:r w:rsidRPr="009070D8">
              <w:rPr>
                <w:color w:val="000000"/>
                <w:sz w:val="20"/>
                <w:szCs w:val="20"/>
              </w:rPr>
              <w:t>0.09</w:t>
            </w:r>
          </w:p>
        </w:tc>
        <w:tc>
          <w:tcPr>
            <w:tcW w:w="560" w:type="pct"/>
            <w:tcBorders>
              <w:top w:val="single" w:sz="4" w:space="0" w:color="auto"/>
              <w:left w:val="single" w:sz="4" w:space="0" w:color="auto"/>
              <w:bottom w:val="single" w:sz="4" w:space="0" w:color="auto"/>
              <w:right w:val="single" w:sz="4" w:space="0" w:color="auto"/>
            </w:tcBorders>
            <w:noWrap/>
            <w:vAlign w:val="bottom"/>
          </w:tcPr>
          <w:p w14:paraId="09932D9F" w14:textId="4FF1F800" w:rsidR="00526C14" w:rsidRPr="009070D8" w:rsidRDefault="00526C14" w:rsidP="00A37DC3">
            <w:pPr>
              <w:ind w:right="32"/>
              <w:jc w:val="right"/>
              <w:rPr>
                <w:color w:val="000000"/>
                <w:sz w:val="20"/>
                <w:szCs w:val="20"/>
              </w:rPr>
            </w:pPr>
          </w:p>
        </w:tc>
      </w:tr>
      <w:tr w:rsidR="008D6DE0" w:rsidRPr="009070D8" w14:paraId="41487DBE" w14:textId="77777777" w:rsidTr="002546BE">
        <w:trPr>
          <w:trHeight w:val="300"/>
        </w:trPr>
        <w:tc>
          <w:tcPr>
            <w:tcW w:w="2483" w:type="pct"/>
            <w:tcBorders>
              <w:top w:val="single" w:sz="4" w:space="0" w:color="auto"/>
              <w:left w:val="single" w:sz="4" w:space="0" w:color="auto"/>
              <w:bottom w:val="single" w:sz="4" w:space="0" w:color="auto"/>
              <w:right w:val="single" w:sz="4" w:space="0" w:color="auto"/>
            </w:tcBorders>
          </w:tcPr>
          <w:p w14:paraId="64BB9940" w14:textId="6CF74FB2" w:rsidR="008D6DE0" w:rsidRPr="009070D8" w:rsidRDefault="00E26A9E" w:rsidP="003F6E44">
            <w:pPr>
              <w:rPr>
                <w:color w:val="000000"/>
                <w:sz w:val="20"/>
                <w:szCs w:val="20"/>
              </w:rPr>
            </w:pPr>
            <w:r>
              <w:rPr>
                <w:color w:val="000000"/>
                <w:sz w:val="20"/>
                <w:szCs w:val="20"/>
              </w:rPr>
              <w:t>Monthly a</w:t>
            </w:r>
            <w:r w:rsidR="008D6DE0" w:rsidRPr="009070D8">
              <w:rPr>
                <w:color w:val="000000"/>
                <w:sz w:val="20"/>
                <w:szCs w:val="20"/>
              </w:rPr>
              <w:t>mount of remittances received by a household</w:t>
            </w:r>
            <w:r>
              <w:rPr>
                <w:color w:val="000000"/>
                <w:sz w:val="20"/>
                <w:szCs w:val="20"/>
              </w:rPr>
              <w:t xml:space="preserve"> </w:t>
            </w:r>
            <w:r w:rsidR="008D6DE0" w:rsidRPr="009070D8">
              <w:rPr>
                <w:color w:val="000000"/>
                <w:sz w:val="20"/>
                <w:szCs w:val="20"/>
              </w:rPr>
              <w:t>(in KM)</w:t>
            </w:r>
          </w:p>
        </w:tc>
        <w:tc>
          <w:tcPr>
            <w:tcW w:w="824" w:type="pct"/>
            <w:tcBorders>
              <w:top w:val="single" w:sz="4" w:space="0" w:color="auto"/>
              <w:left w:val="single" w:sz="4" w:space="0" w:color="auto"/>
              <w:bottom w:val="single" w:sz="4" w:space="0" w:color="auto"/>
              <w:right w:val="single" w:sz="4" w:space="0" w:color="auto"/>
            </w:tcBorders>
          </w:tcPr>
          <w:p w14:paraId="0BF321F7" w14:textId="77777777" w:rsidR="008D6DE0" w:rsidRPr="009070D8" w:rsidRDefault="008D6DE0" w:rsidP="003F6E44">
            <w:pPr>
              <w:rPr>
                <w:color w:val="000000"/>
                <w:sz w:val="20"/>
                <w:szCs w:val="20"/>
              </w:rPr>
            </w:pPr>
            <w:r w:rsidRPr="009070D8">
              <w:rPr>
                <w:color w:val="000000"/>
                <w:sz w:val="20"/>
                <w:szCs w:val="20"/>
              </w:rPr>
              <w:t>hrema</w:t>
            </w:r>
          </w:p>
        </w:tc>
        <w:tc>
          <w:tcPr>
            <w:tcW w:w="515" w:type="pct"/>
            <w:tcBorders>
              <w:top w:val="single" w:sz="4" w:space="0" w:color="auto"/>
              <w:left w:val="single" w:sz="4" w:space="0" w:color="auto"/>
              <w:bottom w:val="single" w:sz="4" w:space="0" w:color="auto"/>
              <w:right w:val="single" w:sz="4" w:space="0" w:color="auto"/>
            </w:tcBorders>
            <w:noWrap/>
          </w:tcPr>
          <w:p w14:paraId="096AC1EC" w14:textId="10C3FA16" w:rsidR="008D6DE0" w:rsidRPr="009070D8" w:rsidRDefault="00526C14" w:rsidP="003F6E44">
            <w:pPr>
              <w:jc w:val="right"/>
              <w:rPr>
                <w:color w:val="000000"/>
                <w:sz w:val="20"/>
                <w:szCs w:val="20"/>
              </w:rPr>
            </w:pPr>
            <w:r w:rsidRPr="009070D8">
              <w:rPr>
                <w:color w:val="000000"/>
                <w:sz w:val="20"/>
                <w:szCs w:val="20"/>
              </w:rPr>
              <w:t>1,367</w:t>
            </w:r>
          </w:p>
        </w:tc>
        <w:tc>
          <w:tcPr>
            <w:tcW w:w="618" w:type="pct"/>
            <w:tcBorders>
              <w:top w:val="single" w:sz="4" w:space="0" w:color="auto"/>
              <w:left w:val="single" w:sz="4" w:space="0" w:color="auto"/>
              <w:bottom w:val="single" w:sz="4" w:space="0" w:color="auto"/>
              <w:right w:val="single" w:sz="4" w:space="0" w:color="auto"/>
            </w:tcBorders>
            <w:noWrap/>
          </w:tcPr>
          <w:p w14:paraId="5F9E2F42" w14:textId="494E9570" w:rsidR="008D6DE0" w:rsidRPr="009070D8" w:rsidRDefault="00A52495" w:rsidP="00A37DC3">
            <w:pPr>
              <w:ind w:right="155"/>
              <w:jc w:val="right"/>
              <w:rPr>
                <w:color w:val="000000"/>
                <w:sz w:val="20"/>
                <w:szCs w:val="20"/>
              </w:rPr>
            </w:pPr>
            <w:r w:rsidRPr="009070D8">
              <w:rPr>
                <w:color w:val="000000"/>
                <w:sz w:val="20"/>
                <w:szCs w:val="20"/>
              </w:rPr>
              <w:t>121.78</w:t>
            </w:r>
          </w:p>
        </w:tc>
        <w:tc>
          <w:tcPr>
            <w:tcW w:w="560" w:type="pct"/>
            <w:tcBorders>
              <w:top w:val="single" w:sz="4" w:space="0" w:color="auto"/>
              <w:left w:val="single" w:sz="4" w:space="0" w:color="auto"/>
              <w:bottom w:val="single" w:sz="4" w:space="0" w:color="auto"/>
              <w:right w:val="single" w:sz="4" w:space="0" w:color="auto"/>
            </w:tcBorders>
            <w:noWrap/>
          </w:tcPr>
          <w:p w14:paraId="5287DD7A" w14:textId="43C3CAF9" w:rsidR="008D6DE0" w:rsidRPr="009070D8" w:rsidRDefault="00A52495" w:rsidP="00A37DC3">
            <w:pPr>
              <w:ind w:right="32"/>
              <w:jc w:val="right"/>
              <w:rPr>
                <w:color w:val="000000"/>
                <w:sz w:val="20"/>
                <w:szCs w:val="20"/>
              </w:rPr>
            </w:pPr>
            <w:r w:rsidRPr="009070D8">
              <w:rPr>
                <w:color w:val="000000"/>
                <w:sz w:val="20"/>
                <w:szCs w:val="20"/>
              </w:rPr>
              <w:t>632.929</w:t>
            </w:r>
          </w:p>
        </w:tc>
      </w:tr>
    </w:tbl>
    <w:p w14:paraId="150CB57F" w14:textId="175A91F6" w:rsidR="008D6DE0" w:rsidRPr="009070D8" w:rsidRDefault="008D6DE0" w:rsidP="002B38DB">
      <w:pPr>
        <w:spacing w:line="360" w:lineRule="auto"/>
        <w:jc w:val="both"/>
        <w:rPr>
          <w:sz w:val="22"/>
        </w:rPr>
      </w:pPr>
      <w:r w:rsidRPr="009070D8">
        <w:rPr>
          <w:sz w:val="22"/>
        </w:rPr>
        <w:t>Source: Own calculations</w:t>
      </w:r>
    </w:p>
    <w:p w14:paraId="239B89F4" w14:textId="77777777" w:rsidR="008D6DE0" w:rsidRPr="009070D8" w:rsidRDefault="008D6DE0" w:rsidP="002B38DB"/>
    <w:p w14:paraId="6BE7BF1A" w14:textId="52944961" w:rsidR="008D6DE0" w:rsidRPr="009070D8" w:rsidRDefault="008D6DE0" w:rsidP="00A7413C">
      <w:pPr>
        <w:spacing w:line="360" w:lineRule="auto"/>
        <w:jc w:val="center"/>
      </w:pPr>
      <w:r w:rsidRPr="009070D8">
        <w:t xml:space="preserve">   </w:t>
      </w:r>
    </w:p>
    <w:p w14:paraId="43B7C00E" w14:textId="59BD53EB" w:rsidR="008D6DE0" w:rsidRPr="009070D8" w:rsidRDefault="008D6DE0" w:rsidP="00975927">
      <w:pPr>
        <w:spacing w:line="360" w:lineRule="auto"/>
        <w:ind w:firstLine="708"/>
        <w:jc w:val="both"/>
      </w:pPr>
      <w:r w:rsidRPr="009070D8">
        <w:t xml:space="preserve">The proportion of households </w:t>
      </w:r>
      <w:r w:rsidR="00D4107D" w:rsidRPr="009070D8">
        <w:t>with a child in post-primary education that reported</w:t>
      </w:r>
      <w:r w:rsidRPr="009070D8">
        <w:t xml:space="preserve"> receipt of remittances</w:t>
      </w:r>
      <w:r w:rsidR="00D4107D" w:rsidRPr="009070D8">
        <w:t xml:space="preserve"> </w:t>
      </w:r>
      <w:r w:rsidR="00EC3FD2" w:rsidRPr="009070D8">
        <w:t>was 9.2</w:t>
      </w:r>
      <w:r w:rsidRPr="009070D8">
        <w:t xml:space="preserve">%. </w:t>
      </w:r>
      <w:r w:rsidR="00D4107D" w:rsidRPr="009070D8">
        <w:t xml:space="preserve">This share is in line with other reports </w:t>
      </w:r>
      <w:r w:rsidR="00D43FF2" w:rsidRPr="009070D8">
        <w:t>about</w:t>
      </w:r>
      <w:r w:rsidR="00D4107D" w:rsidRPr="009070D8">
        <w:t xml:space="preserve"> the </w:t>
      </w:r>
      <w:r w:rsidR="00D43FF2" w:rsidRPr="009070D8">
        <w:t>share of households receiving r</w:t>
      </w:r>
      <w:r w:rsidR="00D4107D" w:rsidRPr="009070D8">
        <w:t>e</w:t>
      </w:r>
      <w:r w:rsidR="00D43FF2" w:rsidRPr="009070D8">
        <w:t>m</w:t>
      </w:r>
      <w:r w:rsidR="00162548" w:rsidRPr="009070D8">
        <w:t>ittances in BiH</w:t>
      </w:r>
      <w:r w:rsidR="00D4107D" w:rsidRPr="009070D8">
        <w:t>.</w:t>
      </w:r>
      <w:r w:rsidR="00162548" w:rsidRPr="009070D8">
        <w:rPr>
          <w:rStyle w:val="EndnoteReference"/>
        </w:rPr>
        <w:endnoteReference w:id="22"/>
      </w:r>
      <w:r w:rsidR="00D4107D" w:rsidRPr="009070D8">
        <w:t xml:space="preserve"> </w:t>
      </w:r>
      <w:r w:rsidR="00F44DD7">
        <w:t>Notwithstanding, w</w:t>
      </w:r>
      <w:r w:rsidRPr="009070D8">
        <w:t>hat is usually being under</w:t>
      </w:r>
      <w:r w:rsidR="005627B8">
        <w:t>-</w:t>
      </w:r>
      <w:r w:rsidRPr="009070D8">
        <w:t>reported is the amount of remittances</w:t>
      </w:r>
      <w:r w:rsidR="00162548" w:rsidRPr="009070D8">
        <w:t>,</w:t>
      </w:r>
      <w:r w:rsidRPr="009070D8">
        <w:t xml:space="preserve"> as suggested in previous studies. The average amount of remittances received</w:t>
      </w:r>
      <w:r w:rsidR="00E26A9E">
        <w:t xml:space="preserve"> by a household per</w:t>
      </w:r>
      <w:r w:rsidRPr="009070D8">
        <w:t xml:space="preserve"> is KM 121.78. </w:t>
      </w:r>
    </w:p>
    <w:p w14:paraId="3EF14FDB" w14:textId="77777777" w:rsidR="008D6DE0" w:rsidRPr="009070D8" w:rsidRDefault="008D6DE0" w:rsidP="00FB2DCE">
      <w:pPr>
        <w:spacing w:line="360" w:lineRule="auto"/>
        <w:jc w:val="both"/>
      </w:pPr>
    </w:p>
    <w:p w14:paraId="02AE967F" w14:textId="06C7ED90" w:rsidR="008D6DE0" w:rsidRPr="009070D8" w:rsidRDefault="008D6DE0" w:rsidP="00FB2DCE">
      <w:pPr>
        <w:spacing w:line="360" w:lineRule="auto"/>
        <w:jc w:val="both"/>
        <w:rPr>
          <w:i/>
        </w:rPr>
      </w:pPr>
      <w:r w:rsidRPr="009070D8">
        <w:rPr>
          <w:i/>
        </w:rPr>
        <w:t>The model and estimation strategy</w:t>
      </w:r>
    </w:p>
    <w:p w14:paraId="650FED53" w14:textId="77777777" w:rsidR="0098383E" w:rsidRDefault="008D6DE0" w:rsidP="00D1057F">
      <w:pPr>
        <w:tabs>
          <w:tab w:val="left" w:pos="1035"/>
        </w:tabs>
        <w:autoSpaceDE w:val="0"/>
        <w:autoSpaceDN w:val="0"/>
        <w:adjustRightInd w:val="0"/>
        <w:spacing w:line="360" w:lineRule="auto"/>
        <w:jc w:val="both"/>
      </w:pPr>
      <w:r w:rsidRPr="009070D8">
        <w:t>Equation 1 is a probit regression estimating the determinants of enrolment.</w:t>
      </w:r>
      <w:r w:rsidRPr="009070D8">
        <w:rPr>
          <w:rStyle w:val="EndnoteReference"/>
        </w:rPr>
        <w:endnoteReference w:id="23"/>
      </w:r>
      <w:r w:rsidRPr="009070D8">
        <w:t xml:space="preserve"> </w:t>
      </w:r>
    </w:p>
    <w:p w14:paraId="14A3D4B2" w14:textId="2F1086F5" w:rsidR="008D6DE0" w:rsidRPr="009070D8" w:rsidRDefault="008D6DE0" w:rsidP="00D1057F">
      <w:pPr>
        <w:tabs>
          <w:tab w:val="left" w:pos="1035"/>
        </w:tabs>
        <w:autoSpaceDE w:val="0"/>
        <w:autoSpaceDN w:val="0"/>
        <w:adjustRightInd w:val="0"/>
        <w:spacing w:line="360" w:lineRule="auto"/>
        <w:jc w:val="both"/>
      </w:pPr>
      <w:r w:rsidRPr="009070D8">
        <w:t xml:space="preserve">  </w:t>
      </w:r>
    </w:p>
    <w:p w14:paraId="706B7B6B" w14:textId="30F0C3E9" w:rsidR="008D6DE0" w:rsidRPr="005627B8" w:rsidRDefault="005627B8" w:rsidP="00D47A5F">
      <w:pPr>
        <w:tabs>
          <w:tab w:val="left" w:pos="1035"/>
        </w:tabs>
        <w:autoSpaceDE w:val="0"/>
        <w:autoSpaceDN w:val="0"/>
        <w:adjustRightInd w:val="0"/>
        <w:spacing w:line="360" w:lineRule="auto"/>
        <w:jc w:val="both"/>
      </w:pPr>
      <m:oMath>
        <m:r>
          <m:rPr>
            <m:sty m:val="p"/>
          </m:rPr>
          <w:rPr>
            <w:rFonts w:ascii="Cambria Math" w:hAnsi="Cambria Math"/>
          </w:rPr>
          <m:t>y</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m:t>
            </m:r>
          </m:sub>
        </m:sSub>
        <m:r>
          <m:rPr>
            <m:sty m:val="p"/>
          </m:rPr>
          <w:rPr>
            <w:rFonts w:ascii="Cambria Math" w:hAnsi="Cambria Math"/>
          </w:rPr>
          <m:t>hrem+</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2</m:t>
            </m:r>
          </m:sub>
        </m:sSub>
        <m:nary>
          <m:naryPr>
            <m:chr m:val="∑"/>
            <m:limLoc m:val="undOvr"/>
            <m:ctrlPr>
              <w:rPr>
                <w:rFonts w:ascii="Cambria Math" w:hAnsi="Cambria Math"/>
              </w:rPr>
            </m:ctrlPr>
          </m:naryPr>
          <m:sub>
            <m:r>
              <m:rPr>
                <m:sty m:val="p"/>
              </m:rPr>
              <w:rPr>
                <w:rFonts w:ascii="Cambria Math" w:hAnsi="Cambria Math"/>
              </w:rPr>
              <m:t>i=16</m:t>
            </m:r>
          </m:sub>
          <m:sup>
            <m:r>
              <m:rPr>
                <m:sty m:val="p"/>
              </m:rPr>
              <w:rPr>
                <w:rFonts w:ascii="Cambria Math" w:hAnsi="Cambria Math"/>
              </w:rPr>
              <m:t>24</m:t>
            </m:r>
          </m:sup>
          <m:e>
            <m:r>
              <m:rPr>
                <m:sty m:val="p"/>
              </m:rPr>
              <w:rPr>
                <w:rFonts w:ascii="Cambria Math" w:hAnsi="Cambria Math"/>
              </w:rPr>
              <m:t>cage</m:t>
            </m:r>
          </m:e>
        </m:nary>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3</m:t>
            </m:r>
          </m:sub>
        </m:sSub>
        <m:r>
          <m:rPr>
            <m:sty m:val="p"/>
          </m:rPr>
          <w:rPr>
            <w:rFonts w:ascii="Cambria Math" w:hAnsi="Cambria Math"/>
          </w:rPr>
          <m:t>female+</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4</m:t>
            </m:r>
          </m:sub>
        </m:sSub>
        <m:r>
          <m:rPr>
            <m:sty m:val="p"/>
          </m:rPr>
          <w:rPr>
            <w:rFonts w:ascii="Cambria Math" w:hAnsi="Cambria Math"/>
          </w:rPr>
          <m:t>houseown+</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5</m:t>
            </m:r>
          </m:sub>
        </m:sSub>
        <m:r>
          <m:rPr>
            <m:sty m:val="p"/>
          </m:rPr>
          <w:rPr>
            <w:rFonts w:ascii="Cambria Math" w:hAnsi="Cambria Math"/>
          </w:rPr>
          <m:t>phoneown+</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6</m:t>
            </m:r>
          </m:sub>
        </m:sSub>
        <m:r>
          <m:rPr>
            <m:sty m:val="p"/>
          </m:rPr>
          <w:rPr>
            <w:rFonts w:ascii="Cambria Math" w:hAnsi="Cambria Math"/>
          </w:rPr>
          <m:t>hhprim+</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7</m:t>
            </m:r>
          </m:sub>
        </m:sSub>
        <m:r>
          <m:rPr>
            <m:sty m:val="p"/>
          </m:rPr>
          <w:rPr>
            <w:rFonts w:ascii="Cambria Math" w:hAnsi="Cambria Math"/>
          </w:rPr>
          <m:t>hhsec+</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8</m:t>
            </m:r>
          </m:sub>
        </m:sSub>
        <m:r>
          <m:rPr>
            <m:sty m:val="p"/>
          </m:rPr>
          <w:rPr>
            <w:rFonts w:ascii="Cambria Math" w:hAnsi="Cambria Math"/>
          </w:rPr>
          <m:t>hhtert+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9</m:t>
            </m:r>
          </m:sub>
        </m:sSub>
        <m:r>
          <m:rPr>
            <m:sty m:val="p"/>
          </m:rPr>
          <w:rPr>
            <w:rFonts w:ascii="Cambria Math" w:hAnsi="Cambria Math"/>
          </w:rPr>
          <m:t>hhage+</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10</m:t>
            </m:r>
          </m:sub>
        </m:sSub>
        <m:r>
          <m:rPr>
            <m:sty m:val="p"/>
          </m:rPr>
          <w:rPr>
            <w:rFonts w:ascii="Cambria Math" w:hAnsi="Cambria Math"/>
          </w:rPr>
          <m:t>hhemp+</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11</m:t>
            </m:r>
          </m:sub>
        </m:sSub>
        <m:r>
          <m:rPr>
            <m:sty m:val="p"/>
          </m:rPr>
          <w:rPr>
            <w:rFonts w:ascii="Cambria Math" w:hAnsi="Cambria Math"/>
          </w:rPr>
          <m:t>hhsize+</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12</m:t>
            </m:r>
          </m:sub>
        </m:sSub>
        <m:r>
          <m:rPr>
            <m:sty m:val="p"/>
          </m:rPr>
          <w:rPr>
            <w:rFonts w:ascii="Cambria Math" w:hAnsi="Cambria Math"/>
          </w:rPr>
          <m:t>capital+</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13</m:t>
            </m:r>
          </m:sub>
        </m:sSub>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4</m:t>
            </m:r>
          </m:sup>
          <m:e>
            <m:r>
              <m:rPr>
                <m:sty m:val="p"/>
              </m:rPr>
              <w:rPr>
                <w:rFonts w:ascii="Cambria Math" w:hAnsi="Cambria Math"/>
              </w:rPr>
              <m:t>quintiles</m:t>
            </m:r>
          </m:e>
        </m:nary>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14</m:t>
            </m:r>
          </m:sub>
        </m:sSub>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4</m:t>
            </m:r>
          </m:sup>
          <m:e>
            <m:r>
              <m:rPr>
                <m:sty m:val="p"/>
              </m:rPr>
              <w:rPr>
                <w:rFonts w:ascii="Cambria Math" w:hAnsi="Cambria Math"/>
              </w:rPr>
              <m:t>hremxquintiles</m:t>
            </m:r>
          </m:e>
        </m:nary>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oMath>
      <w:r w:rsidR="00D47A5F" w:rsidRPr="005627B8">
        <w:tab/>
      </w:r>
      <w:r w:rsidR="00D47A5F" w:rsidRPr="005627B8">
        <w:tab/>
      </w:r>
      <w:r w:rsidR="00D47A5F" w:rsidRPr="005627B8">
        <w:tab/>
      </w:r>
      <w:r w:rsidR="00D47A5F" w:rsidRPr="005627B8">
        <w:tab/>
      </w:r>
      <w:r w:rsidR="00D47A5F" w:rsidRPr="005627B8">
        <w:tab/>
      </w:r>
      <w:r w:rsidR="00D47A5F" w:rsidRPr="005627B8">
        <w:tab/>
      </w:r>
      <w:r>
        <w:tab/>
      </w:r>
      <w:r>
        <w:tab/>
      </w:r>
      <w:r>
        <w:tab/>
      </w:r>
      <w:r w:rsidR="008D6DE0" w:rsidRPr="005627B8">
        <w:t>(1)</w:t>
      </w:r>
      <w:r w:rsidR="008D6DE0" w:rsidRPr="005627B8">
        <w:tab/>
      </w:r>
      <w:r w:rsidR="008D6DE0" w:rsidRPr="005627B8">
        <w:tab/>
        <w:t xml:space="preserve"> </w:t>
      </w:r>
    </w:p>
    <w:p w14:paraId="13FF7345" w14:textId="28163DDF" w:rsidR="00877222" w:rsidRPr="009070D8" w:rsidRDefault="008D6DE0" w:rsidP="00162548">
      <w:pPr>
        <w:spacing w:line="360" w:lineRule="auto"/>
        <w:jc w:val="both"/>
      </w:pPr>
      <w:r w:rsidRPr="009070D8">
        <w:t>The dependent variable in Equation (1) is dichotomous, indicating whether a child is currently enrolled in a school (</w:t>
      </w:r>
      <w:r w:rsidRPr="009070D8">
        <w:rPr>
          <w:i/>
        </w:rPr>
        <w:t>cenr</w:t>
      </w:r>
      <w:r w:rsidRPr="009070D8">
        <w:t>). The data used for the estimation of the model arise from exogenous selection into migration, which avoids the potential problem of an endogenous relationship between remittances and education.</w:t>
      </w:r>
      <w:r w:rsidRPr="009070D8">
        <w:rPr>
          <w:rStyle w:val="EndnoteReference"/>
        </w:rPr>
        <w:endnoteReference w:id="24"/>
      </w:r>
      <w:r w:rsidRPr="009070D8">
        <w:t xml:space="preserve"> </w:t>
      </w:r>
      <w:r w:rsidR="00A740C2">
        <w:t xml:space="preserve">A pupil’s age </w:t>
      </w:r>
      <w:r w:rsidR="00FA7EAE">
        <w:t>(</w:t>
      </w:r>
      <w:r w:rsidR="00FA7EAE" w:rsidRPr="00FA7EAE">
        <w:rPr>
          <w:i/>
        </w:rPr>
        <w:t>cage</w:t>
      </w:r>
      <w:r w:rsidR="00FA7EAE">
        <w:t>) and quintiles were</w:t>
      </w:r>
      <w:r w:rsidR="00A740C2">
        <w:t xml:space="preserve"> entered as individual categori</w:t>
      </w:r>
      <w:r w:rsidR="00FA7EAE">
        <w:t xml:space="preserve">es, with age 24 and </w:t>
      </w:r>
      <w:r w:rsidR="0098383E">
        <w:t xml:space="preserve">the </w:t>
      </w:r>
      <w:r w:rsidR="00FA7EAE">
        <w:t>first quintile as benchmark categories, respectively.</w:t>
      </w:r>
      <w:r w:rsidR="00FA7EAE" w:rsidRPr="00FA7EAE">
        <w:t xml:space="preserve"> </w:t>
      </w:r>
      <w:r w:rsidR="00FA7EAE">
        <w:t>A pupil’s gender (</w:t>
      </w:r>
      <w:r w:rsidR="00FA7EAE" w:rsidRPr="00FA7EAE">
        <w:rPr>
          <w:i/>
        </w:rPr>
        <w:t>female</w:t>
      </w:r>
      <w:r w:rsidR="00FA7EAE">
        <w:t xml:space="preserve">) is also included in the model, as a standard variable that controls for differences in enrolment between boys and girls. </w:t>
      </w:r>
    </w:p>
    <w:p w14:paraId="265ADDB4" w14:textId="73F87CD5" w:rsidR="008D6DE0" w:rsidRPr="009070D8" w:rsidRDefault="00094933" w:rsidP="006663AF">
      <w:pPr>
        <w:spacing w:line="360" w:lineRule="auto"/>
        <w:ind w:firstLine="720"/>
        <w:jc w:val="both"/>
      </w:pPr>
      <w:r w:rsidRPr="009070D8">
        <w:t xml:space="preserve">The main variable of interest in this model is receipt of remittances by a household. </w:t>
      </w:r>
      <w:r w:rsidR="008D6DE0" w:rsidRPr="009070D8">
        <w:t xml:space="preserve">Given that migration from BiH was predominantly </w:t>
      </w:r>
      <w:r w:rsidR="00162548" w:rsidRPr="009070D8">
        <w:t xml:space="preserve">a </w:t>
      </w:r>
      <w:r w:rsidR="008D6DE0" w:rsidRPr="009070D8">
        <w:t xml:space="preserve">migration of </w:t>
      </w:r>
      <w:r w:rsidR="008858CE" w:rsidRPr="009070D8">
        <w:t>entire families as refugees</w:t>
      </w:r>
      <w:r w:rsidR="008D6DE0" w:rsidRPr="009070D8">
        <w:t xml:space="preserve">, the receipt of remittances can be considered as an exogenous income gain for households and captured by the </w:t>
      </w:r>
      <w:r w:rsidR="008D6DE0" w:rsidRPr="009070D8">
        <w:lastRenderedPageBreak/>
        <w:t>remittances</w:t>
      </w:r>
      <w:r w:rsidR="00727E45" w:rsidRPr="009070D8">
        <w:t xml:space="preserve"> receipt variable.</w:t>
      </w:r>
      <w:r w:rsidR="00162548" w:rsidRPr="009070D8">
        <w:rPr>
          <w:rStyle w:val="EndnoteReference"/>
        </w:rPr>
        <w:endnoteReference w:id="25"/>
      </w:r>
      <w:r w:rsidR="00727E45" w:rsidRPr="009070D8">
        <w:t xml:space="preserve"> There are three</w:t>
      </w:r>
      <w:r w:rsidR="008D6DE0" w:rsidRPr="009070D8">
        <w:t xml:space="preserve"> alternative variables for the receipt of remittances</w:t>
      </w:r>
      <w:r w:rsidR="00727E45" w:rsidRPr="009070D8">
        <w:t>:</w:t>
      </w:r>
      <w:r w:rsidR="008D6DE0" w:rsidRPr="009070D8">
        <w:t xml:space="preserve"> </w:t>
      </w:r>
      <w:r w:rsidR="00727E45" w:rsidRPr="009070D8">
        <w:t xml:space="preserve">first </w:t>
      </w:r>
      <w:r w:rsidR="008D6DE0" w:rsidRPr="009070D8">
        <w:t>is a dummy variable for receipt of remittances</w:t>
      </w:r>
      <w:r w:rsidR="00727E45" w:rsidRPr="009070D8">
        <w:t xml:space="preserve"> (</w:t>
      </w:r>
      <w:r w:rsidR="00727E45" w:rsidRPr="009070D8">
        <w:rPr>
          <w:i/>
        </w:rPr>
        <w:t>hrem</w:t>
      </w:r>
      <w:r w:rsidR="00727E45" w:rsidRPr="009070D8">
        <w:rPr>
          <w:i/>
          <w:vertAlign w:val="subscript"/>
        </w:rPr>
        <w:t>i</w:t>
      </w:r>
      <w:r w:rsidR="00727E45" w:rsidRPr="009070D8">
        <w:t>)</w:t>
      </w:r>
      <w:r w:rsidR="008D6DE0" w:rsidRPr="009070D8">
        <w:t xml:space="preserve">; </w:t>
      </w:r>
      <w:r w:rsidR="00727E45" w:rsidRPr="009070D8">
        <w:t xml:space="preserve">second is </w:t>
      </w:r>
      <w:r w:rsidR="008D6DE0" w:rsidRPr="009070D8">
        <w:t xml:space="preserve">a continuous variable for the </w:t>
      </w:r>
      <w:r w:rsidR="00727E45" w:rsidRPr="009070D8">
        <w:t xml:space="preserve">average monthly </w:t>
      </w:r>
      <w:r w:rsidR="008D6DE0" w:rsidRPr="009070D8">
        <w:t xml:space="preserve">amount of remittances received </w:t>
      </w:r>
      <w:r w:rsidR="00727E45" w:rsidRPr="009070D8">
        <w:t>in a year (</w:t>
      </w:r>
      <w:r w:rsidR="00727E45" w:rsidRPr="009070D8">
        <w:rPr>
          <w:i/>
        </w:rPr>
        <w:t>hrema</w:t>
      </w:r>
      <w:r w:rsidR="00727E45" w:rsidRPr="009070D8">
        <w:rPr>
          <w:i/>
          <w:vertAlign w:val="subscript"/>
        </w:rPr>
        <w:t>i</w:t>
      </w:r>
      <w:r w:rsidR="00727E45" w:rsidRPr="009070D8">
        <w:t>); third is a variable for the amount of remittances per month relative to a household's budget (</w:t>
      </w:r>
      <w:r w:rsidR="00727E45" w:rsidRPr="009070D8">
        <w:rPr>
          <w:i/>
        </w:rPr>
        <w:t>hremarel</w:t>
      </w:r>
      <w:r w:rsidR="00727E45" w:rsidRPr="009070D8">
        <w:rPr>
          <w:i/>
          <w:vertAlign w:val="subscript"/>
        </w:rPr>
        <w:t>i</w:t>
      </w:r>
      <w:r w:rsidR="00727E45" w:rsidRPr="009070D8">
        <w:t>). Since the initial analysis has revealed that continuous variables (</w:t>
      </w:r>
      <w:r w:rsidR="00727E45" w:rsidRPr="009070D8">
        <w:rPr>
          <w:i/>
        </w:rPr>
        <w:t xml:space="preserve">hrema </w:t>
      </w:r>
      <w:r w:rsidR="00727E45" w:rsidRPr="009070D8">
        <w:t>and</w:t>
      </w:r>
      <w:r w:rsidR="00727E45" w:rsidRPr="009070D8">
        <w:rPr>
          <w:i/>
        </w:rPr>
        <w:t xml:space="preserve"> hremarel</w:t>
      </w:r>
      <w:r w:rsidR="00727E45" w:rsidRPr="009070D8">
        <w:t xml:space="preserve">) did not appear </w:t>
      </w:r>
      <w:r w:rsidR="003300B8">
        <w:t xml:space="preserve">to be statistically </w:t>
      </w:r>
      <w:r w:rsidR="00727E45" w:rsidRPr="009070D8">
        <w:t xml:space="preserve">significant, the dummy variable </w:t>
      </w:r>
      <w:r w:rsidR="00727E45" w:rsidRPr="009070D8">
        <w:rPr>
          <w:i/>
        </w:rPr>
        <w:t>hrem</w:t>
      </w:r>
      <w:r w:rsidR="00727E45" w:rsidRPr="009070D8">
        <w:t xml:space="preserve"> was used in further analysis. </w:t>
      </w:r>
      <w:r w:rsidR="00F44DD7">
        <w:t>The u</w:t>
      </w:r>
      <w:r w:rsidR="008D6DE0" w:rsidRPr="009070D8">
        <w:t>se of the dummy variable instead of the amount is justified by the experience reported in previous studies</w:t>
      </w:r>
      <w:r w:rsidR="00162548" w:rsidRPr="009070D8">
        <w:t>, which</w:t>
      </w:r>
      <w:r w:rsidR="00F44DD7">
        <w:t xml:space="preserve"> tends to</w:t>
      </w:r>
      <w:r w:rsidR="00162548" w:rsidRPr="009070D8">
        <w:t xml:space="preserve"> suggest</w:t>
      </w:r>
      <w:r w:rsidR="008D6DE0" w:rsidRPr="009070D8">
        <w:t xml:space="preserve"> that remittance-receiving households are likely to underreport the</w:t>
      </w:r>
      <w:r w:rsidR="00727E45" w:rsidRPr="009070D8">
        <w:t xml:space="preserve"> amount of remittances received</w:t>
      </w:r>
      <w:r w:rsidR="008D6DE0" w:rsidRPr="009070D8">
        <w:t>.</w:t>
      </w:r>
      <w:r w:rsidR="00162548" w:rsidRPr="009070D8">
        <w:rPr>
          <w:rStyle w:val="EndnoteReference"/>
        </w:rPr>
        <w:endnoteReference w:id="26"/>
      </w:r>
      <w:r w:rsidR="008D6DE0" w:rsidRPr="009070D8">
        <w:t xml:space="preserve"> </w:t>
      </w:r>
    </w:p>
    <w:p w14:paraId="06F804C8" w14:textId="40DD232F" w:rsidR="008D6DE0" w:rsidRPr="009070D8" w:rsidRDefault="008D6DE0" w:rsidP="00881B0B">
      <w:pPr>
        <w:spacing w:line="360" w:lineRule="auto"/>
        <w:ind w:firstLine="720"/>
        <w:jc w:val="both"/>
      </w:pPr>
      <w:r w:rsidRPr="009070D8">
        <w:t xml:space="preserve">The main argument of the </w:t>
      </w:r>
      <w:r w:rsidR="00716BFC">
        <w:t>‘</w:t>
      </w:r>
      <w:r w:rsidRPr="009070D8">
        <w:t>brain gain</w:t>
      </w:r>
      <w:r w:rsidR="00716BFC">
        <w:t>’</w:t>
      </w:r>
      <w:r w:rsidRPr="009070D8">
        <w:t xml:space="preserve"> literature regarding th</w:t>
      </w:r>
      <w:r w:rsidR="00162548" w:rsidRPr="009070D8">
        <w:t>e positive effect of remittance</w:t>
      </w:r>
      <w:r w:rsidRPr="009070D8">
        <w:t xml:space="preserve"> rec</w:t>
      </w:r>
      <w:r w:rsidR="00162548" w:rsidRPr="009070D8">
        <w:t>eipts on educational investment</w:t>
      </w:r>
      <w:r w:rsidRPr="009070D8">
        <w:t xml:space="preserve"> is that remittances have a positive effect via relaxation of liquidity constraints faced by households. However, this effect should not be expected for all households receiving remittances. The liquidity constraint is binding for low-income households only. Conversely, households at higher levels of income distribution may not face a liquidity constraint, in which case the receipt of remittances is not expected to change their education investment decisions. </w:t>
      </w:r>
      <w:r w:rsidR="00F44DD7">
        <w:t>In addition</w:t>
      </w:r>
      <w:r w:rsidRPr="009070D8">
        <w:t xml:space="preserve">, </w:t>
      </w:r>
      <w:r w:rsidR="00F44DD7">
        <w:t xml:space="preserve">any </w:t>
      </w:r>
      <w:r w:rsidRPr="009070D8">
        <w:t xml:space="preserve">receipt of remittances by households at the bottom of the income distribution might not change their education investment behaviour, as the amount of remittances received may not be sufficient to allow such investment. Remittances sent to such households are usually purely altruistically driven and are completely spent on </w:t>
      </w:r>
      <w:r w:rsidR="00162548" w:rsidRPr="009070D8">
        <w:t xml:space="preserve">basic needs and </w:t>
      </w:r>
      <w:r w:rsidRPr="009070D8">
        <w:t>current consumption.</w:t>
      </w:r>
      <w:r w:rsidR="00162548" w:rsidRPr="009070D8">
        <w:rPr>
          <w:rStyle w:val="EndnoteReference"/>
        </w:rPr>
        <w:endnoteReference w:id="27"/>
      </w:r>
      <w:r w:rsidRPr="009070D8">
        <w:t xml:space="preserve"> Therefore, the receipt of remittances is expected to have an impact on education investments only among households that are within a limited range of the income distribution; namely, those where the pre-remittances level of income is sufficient for current consumption and the receipt of remittances is thus an addition to income that enables education investments. Accordingly, the empirical model to be estimated includes a list of dummy variables for income distribution quintiles (</w:t>
      </w:r>
      <w:r w:rsidRPr="009070D8">
        <w:rPr>
          <w:i/>
        </w:rPr>
        <w:t>Σq</w:t>
      </w:r>
      <w:r w:rsidRPr="009070D8">
        <w:rPr>
          <w:i/>
          <w:vertAlign w:val="subscript"/>
        </w:rPr>
        <w:t>i</w:t>
      </w:r>
      <w:r w:rsidRPr="009070D8">
        <w:t xml:space="preserve">), as well as a set of interactions between the </w:t>
      </w:r>
      <w:r w:rsidR="0098383E">
        <w:t xml:space="preserve">receipt of </w:t>
      </w:r>
      <w:r w:rsidRPr="009070D8">
        <w:t>remittances and each consumption quintile (</w:t>
      </w:r>
      <w:r w:rsidRPr="009070D8">
        <w:rPr>
          <w:i/>
        </w:rPr>
        <w:t>Σq</w:t>
      </w:r>
      <w:r w:rsidRPr="009070D8">
        <w:rPr>
          <w:i/>
          <w:vertAlign w:val="subscript"/>
        </w:rPr>
        <w:t>i</w:t>
      </w:r>
      <w:r w:rsidRPr="009070D8">
        <w:rPr>
          <w:i/>
        </w:rPr>
        <w:t>hrem</w:t>
      </w:r>
      <w:r w:rsidRPr="009070D8">
        <w:t>). These variables capture the difference in the effect of remittances between households at different levels of the income distribution.</w:t>
      </w:r>
      <w:r w:rsidRPr="009070D8">
        <w:rPr>
          <w:rStyle w:val="EndnoteReference"/>
        </w:rPr>
        <w:endnoteReference w:id="28"/>
      </w:r>
      <w:r w:rsidRPr="009070D8">
        <w:t xml:space="preserve"> The strongest effect of remittances on education is expected for households that are in a specific quintile, where they are not rich (and still face liquidity constraint), but are not so poor as to be forced to spend all the remittances received on basic needs. This model specification is another </w:t>
      </w:r>
      <w:r w:rsidR="00162548" w:rsidRPr="009070D8">
        <w:t xml:space="preserve">original </w:t>
      </w:r>
      <w:r w:rsidRPr="009070D8">
        <w:t>contribution of this paper.</w:t>
      </w:r>
    </w:p>
    <w:p w14:paraId="45248E59" w14:textId="1BB548CA" w:rsidR="00896FD1" w:rsidRPr="009070D8" w:rsidRDefault="00045391" w:rsidP="00A37DC3">
      <w:pPr>
        <w:spacing w:line="360" w:lineRule="auto"/>
        <w:ind w:firstLine="720"/>
        <w:jc w:val="both"/>
      </w:pPr>
      <w:r w:rsidRPr="009070D8">
        <w:t xml:space="preserve">We </w:t>
      </w:r>
      <w:r w:rsidR="00FA7EAE">
        <w:t xml:space="preserve">also </w:t>
      </w:r>
      <w:r w:rsidRPr="009070D8">
        <w:t xml:space="preserve">included a set of control variables about </w:t>
      </w:r>
      <w:r w:rsidR="00896FD1" w:rsidRPr="009070D8">
        <w:t xml:space="preserve">the </w:t>
      </w:r>
      <w:r w:rsidRPr="009070D8">
        <w:t xml:space="preserve">household’s and household head’s characteristics that may affect </w:t>
      </w:r>
      <w:r w:rsidR="00896FD1" w:rsidRPr="009070D8">
        <w:t xml:space="preserve">a </w:t>
      </w:r>
      <w:r w:rsidRPr="009070D8">
        <w:t xml:space="preserve">child’s school enrolment. </w:t>
      </w:r>
      <w:r w:rsidR="008D6DE0" w:rsidRPr="009070D8">
        <w:t xml:space="preserve">The </w:t>
      </w:r>
      <w:r w:rsidR="007714C3" w:rsidRPr="009070D8">
        <w:t>household head's</w:t>
      </w:r>
      <w:r w:rsidR="008D6DE0" w:rsidRPr="009070D8">
        <w:t xml:space="preserve"> education level (</w:t>
      </w:r>
      <w:r w:rsidR="007714C3" w:rsidRPr="009070D8">
        <w:rPr>
          <w:i/>
        </w:rPr>
        <w:t>hh</w:t>
      </w:r>
      <w:r w:rsidR="008D6DE0" w:rsidRPr="009070D8">
        <w:rPr>
          <w:i/>
        </w:rPr>
        <w:t>edu</w:t>
      </w:r>
      <w:r w:rsidR="008D6DE0" w:rsidRPr="009070D8">
        <w:rPr>
          <w:i/>
          <w:vertAlign w:val="subscript"/>
        </w:rPr>
        <w:t>i</w:t>
      </w:r>
      <w:r w:rsidR="008D6DE0" w:rsidRPr="009070D8">
        <w:t>) is considered as a proxy for household wealth. Parents with higher education are expected to have a higher probability of wage employment and to earn higher wages than less</w:t>
      </w:r>
      <w:r w:rsidR="0098383E">
        <w:t>-</w:t>
      </w:r>
      <w:r w:rsidR="008D6DE0" w:rsidRPr="009070D8">
        <w:t>educated parents. Consequently, households with more</w:t>
      </w:r>
      <w:r w:rsidR="0098383E">
        <w:t>-</w:t>
      </w:r>
      <w:r w:rsidR="008D6DE0" w:rsidRPr="009070D8">
        <w:t xml:space="preserve">educated parents may be less likely to face liquidity constraints </w:t>
      </w:r>
      <w:r w:rsidR="008D6DE0" w:rsidRPr="009070D8">
        <w:lastRenderedPageBreak/>
        <w:t xml:space="preserve">and therefore </w:t>
      </w:r>
      <w:r w:rsidR="00F44DD7">
        <w:t xml:space="preserve">they are </w:t>
      </w:r>
      <w:r w:rsidR="008D6DE0" w:rsidRPr="009070D8">
        <w:t xml:space="preserve">more likely to invest in their </w:t>
      </w:r>
      <w:r w:rsidR="00E03E32" w:rsidRPr="009070D8">
        <w:t>children’s</w:t>
      </w:r>
      <w:r w:rsidR="008D6DE0" w:rsidRPr="009070D8">
        <w:t>’ education. As the majority of studies investigating poverty incidence and inequality between male</w:t>
      </w:r>
      <w:r w:rsidR="00896FD1" w:rsidRPr="009070D8">
        <w:t>- and female-</w:t>
      </w:r>
      <w:r w:rsidR="008D6DE0" w:rsidRPr="009070D8">
        <w:t>headed households in BiH</w:t>
      </w:r>
      <w:r w:rsidR="00896FD1" w:rsidRPr="009070D8">
        <w:rPr>
          <w:rStyle w:val="EndnoteReference"/>
        </w:rPr>
        <w:endnoteReference w:id="29"/>
      </w:r>
      <w:r w:rsidR="008D6DE0" w:rsidRPr="009070D8">
        <w:t xml:space="preserve"> suggest a positive rela</w:t>
      </w:r>
      <w:r w:rsidR="00896FD1" w:rsidRPr="009070D8">
        <w:t>tionship between being a female-</w:t>
      </w:r>
      <w:r w:rsidR="008D6DE0" w:rsidRPr="009070D8">
        <w:t>headed household and household income, a dummy variable for the gender of the household head (</w:t>
      </w:r>
      <w:r w:rsidR="008D6DE0" w:rsidRPr="009070D8">
        <w:rPr>
          <w:i/>
        </w:rPr>
        <w:t>hfh</w:t>
      </w:r>
      <w:r w:rsidR="008D6DE0" w:rsidRPr="009070D8">
        <w:rPr>
          <w:i/>
          <w:vertAlign w:val="subscript"/>
        </w:rPr>
        <w:t>i</w:t>
      </w:r>
      <w:r w:rsidR="008D6DE0" w:rsidRPr="009070D8">
        <w:t>) is included. The household size (</w:t>
      </w:r>
      <w:r w:rsidR="008D6DE0" w:rsidRPr="009070D8">
        <w:rPr>
          <w:i/>
        </w:rPr>
        <w:t>hhsize</w:t>
      </w:r>
      <w:r w:rsidR="008D6DE0" w:rsidRPr="009070D8">
        <w:rPr>
          <w:i/>
          <w:vertAlign w:val="subscript"/>
        </w:rPr>
        <w:t>i</w:t>
      </w:r>
      <w:r w:rsidR="008D6DE0" w:rsidRPr="009070D8">
        <w:t xml:space="preserve">) variable is expected to have a negative effect on investment in </w:t>
      </w:r>
      <w:r w:rsidR="00E03E32" w:rsidRPr="009070D8">
        <w:t>children’s</w:t>
      </w:r>
      <w:r w:rsidR="008D6DE0" w:rsidRPr="009070D8">
        <w:t>' education. The larger is the household, the lower is the household budget per capita and thus the stronger is the liquidity constraint, all else remaining equal. Fu</w:t>
      </w:r>
      <w:r w:rsidR="00896FD1" w:rsidRPr="009070D8">
        <w:t>rthermore, the number of school-</w:t>
      </w:r>
      <w:r w:rsidR="008D6DE0" w:rsidRPr="009070D8">
        <w:t>age children (</w:t>
      </w:r>
      <w:r w:rsidR="008D6DE0" w:rsidRPr="009070D8">
        <w:rPr>
          <w:i/>
        </w:rPr>
        <w:t>hnoc624</w:t>
      </w:r>
      <w:r w:rsidR="008D6DE0" w:rsidRPr="009070D8">
        <w:rPr>
          <w:i/>
          <w:w w:val="113"/>
          <w:vertAlign w:val="subscript"/>
        </w:rPr>
        <w:t>i</w:t>
      </w:r>
      <w:r w:rsidR="008D6DE0" w:rsidRPr="009070D8">
        <w:t>) also affects educational investments as the reservation income for education is lower per capita i</w:t>
      </w:r>
      <w:r w:rsidR="00896FD1" w:rsidRPr="009070D8">
        <w:t>n households having more school-</w:t>
      </w:r>
      <w:r w:rsidR="008D6DE0" w:rsidRPr="009070D8">
        <w:t xml:space="preserve">age children. A household’s </w:t>
      </w:r>
      <w:r w:rsidR="007714C3" w:rsidRPr="009070D8">
        <w:t>employment status</w:t>
      </w:r>
      <w:r w:rsidR="008D6DE0" w:rsidRPr="009070D8">
        <w:t xml:space="preserve"> (</w:t>
      </w:r>
      <w:r w:rsidR="008D6DE0" w:rsidRPr="009070D8">
        <w:rPr>
          <w:i/>
        </w:rPr>
        <w:t>h</w:t>
      </w:r>
      <w:r w:rsidR="007714C3" w:rsidRPr="009070D8">
        <w:rPr>
          <w:i/>
        </w:rPr>
        <w:t>hemp</w:t>
      </w:r>
      <w:r w:rsidR="008D6DE0" w:rsidRPr="009070D8">
        <w:rPr>
          <w:i/>
          <w:vertAlign w:val="subscript"/>
        </w:rPr>
        <w:t>i</w:t>
      </w:r>
      <w:r w:rsidR="008D6DE0" w:rsidRPr="009070D8">
        <w:t xml:space="preserve">) is </w:t>
      </w:r>
      <w:r w:rsidR="007714C3" w:rsidRPr="009070D8">
        <w:t>also included</w:t>
      </w:r>
      <w:r w:rsidR="008D6DE0" w:rsidRPr="009070D8">
        <w:t>. The type of area (</w:t>
      </w:r>
      <w:r w:rsidR="007714C3" w:rsidRPr="009070D8">
        <w:rPr>
          <w:i/>
        </w:rPr>
        <w:t>capital</w:t>
      </w:r>
      <w:r w:rsidR="008D6DE0" w:rsidRPr="009070D8">
        <w:rPr>
          <w:i/>
          <w:vertAlign w:val="subscript"/>
        </w:rPr>
        <w:t>i</w:t>
      </w:r>
      <w:r w:rsidR="008D6DE0" w:rsidRPr="009070D8">
        <w:t xml:space="preserve">) is considered to capture both the effect of cultural and infrastructural differences and the effect of economic differences. </w:t>
      </w:r>
      <w:r w:rsidR="00896FD1" w:rsidRPr="009070D8">
        <w:t>Since previous studies</w:t>
      </w:r>
      <w:r w:rsidR="00896FD1" w:rsidRPr="009070D8">
        <w:rPr>
          <w:rStyle w:val="EndnoteReference"/>
        </w:rPr>
        <w:endnoteReference w:id="30"/>
      </w:r>
      <w:r w:rsidR="007714C3" w:rsidRPr="009070D8">
        <w:t xml:space="preserve"> have shown that </w:t>
      </w:r>
      <w:r w:rsidR="005C51C4" w:rsidRPr="009070D8">
        <w:t xml:space="preserve">poverty is present even more in non-capital urban areas than in rural areas, the actual welfare gap in BiH is between people living in the capital city and the ones living in other areas. </w:t>
      </w:r>
      <w:r w:rsidR="000863A0">
        <w:t>A</w:t>
      </w:r>
      <w:r w:rsidR="008D6DE0" w:rsidRPr="009070D8">
        <w:t xml:space="preserve">ll else remaining equal, households living in rural areas are expected to invest less in the educational achievement of children. </w:t>
      </w:r>
    </w:p>
    <w:p w14:paraId="3C832921" w14:textId="77777777" w:rsidR="00A37DC3" w:rsidRPr="009070D8" w:rsidRDefault="00A37DC3" w:rsidP="00A37DC3">
      <w:pPr>
        <w:spacing w:line="360" w:lineRule="auto"/>
        <w:ind w:firstLine="720"/>
        <w:jc w:val="both"/>
      </w:pPr>
    </w:p>
    <w:p w14:paraId="2B2A67B0" w14:textId="68919DFB" w:rsidR="008D6DE0" w:rsidRPr="009070D8" w:rsidRDefault="008D6DE0" w:rsidP="00896FD1">
      <w:pPr>
        <w:pStyle w:val="Heading1"/>
        <w:keepLines/>
        <w:spacing w:before="0" w:after="0"/>
        <w:jc w:val="both"/>
        <w:rPr>
          <w:color w:val="auto"/>
        </w:rPr>
      </w:pPr>
      <w:r w:rsidRPr="009070D8">
        <w:rPr>
          <w:color w:val="auto"/>
        </w:rPr>
        <w:t>Results and discussion</w:t>
      </w:r>
    </w:p>
    <w:p w14:paraId="6FE07617" w14:textId="0DCE547B" w:rsidR="00896FD1" w:rsidRDefault="00B01EEB" w:rsidP="00896FD1">
      <w:pPr>
        <w:spacing w:line="360" w:lineRule="auto"/>
        <w:jc w:val="both"/>
      </w:pPr>
      <w:r>
        <w:t xml:space="preserve">The results of probit estimation of Equation (1) are reported in full in </w:t>
      </w:r>
      <w:r w:rsidR="0098383E">
        <w:t>Table 5</w:t>
      </w:r>
      <w:r>
        <w:t xml:space="preserve">. First, we comment briefly on our control variables. Then, we discuss the impact of remittances on school enrolment in more details. </w:t>
      </w:r>
      <w:r w:rsidR="0098383E">
        <w:t xml:space="preserve"> </w:t>
      </w:r>
    </w:p>
    <w:p w14:paraId="4E2AE2D3" w14:textId="77777777" w:rsidR="0098383E" w:rsidRPr="00BA13BD" w:rsidRDefault="0098383E" w:rsidP="00896FD1">
      <w:pPr>
        <w:spacing w:line="360" w:lineRule="auto"/>
        <w:jc w:val="both"/>
      </w:pPr>
    </w:p>
    <w:p w14:paraId="2854D6D7" w14:textId="4E66B12B" w:rsidR="0098383E" w:rsidRDefault="0098383E" w:rsidP="0098383E">
      <w:pPr>
        <w:jc w:val="center"/>
      </w:pPr>
      <w:r>
        <w:t>Table 5: Table with r</w:t>
      </w:r>
      <w:r w:rsidRPr="00BF1EF3">
        <w:t>esults of model estimations</w:t>
      </w:r>
    </w:p>
    <w:p w14:paraId="78E3032C" w14:textId="77777777" w:rsidR="0098383E" w:rsidRPr="00BF1EF3" w:rsidRDefault="0098383E" w:rsidP="0098383E">
      <w:pPr>
        <w:jc w:val="center"/>
      </w:pPr>
    </w:p>
    <w:p w14:paraId="0FE12EFA" w14:textId="77777777" w:rsidR="0098383E" w:rsidRDefault="0098383E" w:rsidP="0098383E">
      <w:pPr>
        <w:spacing w:line="360" w:lineRule="auto"/>
        <w:jc w:val="both"/>
        <w:rPr>
          <w:i/>
          <w:sz w:val="22"/>
        </w:rPr>
      </w:pPr>
      <w:r w:rsidRPr="00BF1EF3">
        <w:rPr>
          <w:i/>
          <w:sz w:val="22"/>
        </w:rPr>
        <w:t>Note: statistically significant at: *** 1% level, ** 5% level, and * 10% level of significance</w:t>
      </w:r>
    </w:p>
    <w:tbl>
      <w:tblPr>
        <w:tblW w:w="5000" w:type="pct"/>
        <w:tblBorders>
          <w:top w:val="single" w:sz="4" w:space="0" w:color="auto"/>
          <w:bottom w:val="single" w:sz="4" w:space="0" w:color="auto"/>
        </w:tblBorders>
        <w:tblLook w:val="04A0" w:firstRow="1" w:lastRow="0" w:firstColumn="1" w:lastColumn="0" w:noHBand="0" w:noVBand="1"/>
      </w:tblPr>
      <w:tblGrid>
        <w:gridCol w:w="6373"/>
        <w:gridCol w:w="1560"/>
        <w:gridCol w:w="1695"/>
      </w:tblGrid>
      <w:tr w:rsidR="0039162D" w:rsidRPr="008948B9" w14:paraId="590F6ECD" w14:textId="77777777" w:rsidTr="00FA5AFB">
        <w:trPr>
          <w:trHeight w:val="495"/>
        </w:trPr>
        <w:tc>
          <w:tcPr>
            <w:tcW w:w="3310" w:type="pct"/>
            <w:tcBorders>
              <w:top w:val="single" w:sz="4" w:space="0" w:color="auto"/>
              <w:left w:val="single" w:sz="4" w:space="0" w:color="auto"/>
              <w:bottom w:val="single" w:sz="4" w:space="0" w:color="auto"/>
              <w:right w:val="single" w:sz="4" w:space="0" w:color="auto"/>
            </w:tcBorders>
          </w:tcPr>
          <w:p w14:paraId="57828DAE" w14:textId="77777777" w:rsidR="0039162D" w:rsidRPr="008948B9" w:rsidRDefault="0039162D" w:rsidP="00FA5AFB">
            <w:pPr>
              <w:rPr>
                <w:b/>
                <w:bCs/>
                <w:color w:val="000000"/>
                <w:sz w:val="20"/>
                <w:szCs w:val="20"/>
              </w:rPr>
            </w:pPr>
            <w:r w:rsidRPr="008948B9">
              <w:rPr>
                <w:b/>
                <w:color w:val="000000"/>
                <w:sz w:val="20"/>
                <w:szCs w:val="20"/>
              </w:rPr>
              <w:t>Dependent</w:t>
            </w:r>
            <w:r w:rsidRPr="008948B9">
              <w:rPr>
                <w:b/>
                <w:bCs/>
                <w:color w:val="000000"/>
                <w:sz w:val="20"/>
                <w:szCs w:val="20"/>
              </w:rPr>
              <w:t xml:space="preserve"> variable </w:t>
            </w:r>
            <w:r w:rsidRPr="008948B9">
              <w:rPr>
                <w:b/>
                <w:sz w:val="20"/>
                <w:szCs w:val="20"/>
              </w:rPr>
              <w:t>is a dummy variable taking value of 1 if child is currently enrolled in education</w:t>
            </w:r>
          </w:p>
        </w:tc>
        <w:tc>
          <w:tcPr>
            <w:tcW w:w="810" w:type="pct"/>
            <w:tcBorders>
              <w:top w:val="single" w:sz="4" w:space="0" w:color="auto"/>
              <w:left w:val="single" w:sz="4" w:space="0" w:color="auto"/>
              <w:bottom w:val="single" w:sz="4" w:space="0" w:color="auto"/>
              <w:right w:val="single" w:sz="4" w:space="0" w:color="auto"/>
            </w:tcBorders>
          </w:tcPr>
          <w:p w14:paraId="4682284C" w14:textId="77777777" w:rsidR="0039162D" w:rsidRPr="008948B9" w:rsidRDefault="0039162D" w:rsidP="00FA5AFB">
            <w:pPr>
              <w:rPr>
                <w:b/>
                <w:bCs/>
                <w:color w:val="000000"/>
                <w:sz w:val="20"/>
                <w:szCs w:val="20"/>
              </w:rPr>
            </w:pPr>
            <w:r w:rsidRPr="008948B9">
              <w:rPr>
                <w:b/>
                <w:bCs/>
                <w:color w:val="000000"/>
                <w:sz w:val="20"/>
                <w:szCs w:val="20"/>
              </w:rPr>
              <w:t>Name</w:t>
            </w:r>
          </w:p>
        </w:tc>
        <w:tc>
          <w:tcPr>
            <w:tcW w:w="880" w:type="pct"/>
            <w:tcBorders>
              <w:top w:val="single" w:sz="4" w:space="0" w:color="auto"/>
              <w:left w:val="single" w:sz="4" w:space="0" w:color="auto"/>
              <w:bottom w:val="single" w:sz="4" w:space="0" w:color="auto"/>
              <w:right w:val="single" w:sz="4" w:space="0" w:color="auto"/>
            </w:tcBorders>
          </w:tcPr>
          <w:p w14:paraId="0A50CE85" w14:textId="77777777" w:rsidR="0039162D" w:rsidRPr="008948B9" w:rsidRDefault="0039162D" w:rsidP="00FA5AFB">
            <w:pPr>
              <w:jc w:val="center"/>
              <w:rPr>
                <w:b/>
                <w:color w:val="000000"/>
                <w:sz w:val="20"/>
                <w:szCs w:val="20"/>
              </w:rPr>
            </w:pPr>
            <w:r w:rsidRPr="008948B9">
              <w:rPr>
                <w:b/>
                <w:color w:val="000000"/>
                <w:sz w:val="20"/>
                <w:szCs w:val="20"/>
              </w:rPr>
              <w:t>Coefficient</w:t>
            </w:r>
          </w:p>
        </w:tc>
      </w:tr>
      <w:tr w:rsidR="0039162D" w:rsidRPr="00BF1EF3" w14:paraId="5AA2D426"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401A87F0" w14:textId="77777777" w:rsidR="0039162D" w:rsidRPr="00BF1EF3" w:rsidRDefault="0039162D" w:rsidP="00FA5AFB">
            <w:pPr>
              <w:tabs>
                <w:tab w:val="left" w:pos="10773"/>
              </w:tabs>
              <w:rPr>
                <w:sz w:val="20"/>
                <w:szCs w:val="20"/>
              </w:rPr>
            </w:pPr>
            <w:r w:rsidRPr="00BF1EF3">
              <w:rPr>
                <w:sz w:val="20"/>
                <w:szCs w:val="20"/>
              </w:rPr>
              <w:t>=1 if a household receives remittances</w:t>
            </w:r>
          </w:p>
        </w:tc>
        <w:tc>
          <w:tcPr>
            <w:tcW w:w="810" w:type="pct"/>
            <w:tcBorders>
              <w:top w:val="single" w:sz="4" w:space="0" w:color="auto"/>
              <w:left w:val="single" w:sz="4" w:space="0" w:color="auto"/>
              <w:bottom w:val="single" w:sz="4" w:space="0" w:color="auto"/>
              <w:right w:val="single" w:sz="4" w:space="0" w:color="auto"/>
            </w:tcBorders>
          </w:tcPr>
          <w:p w14:paraId="54DDD761" w14:textId="77777777" w:rsidR="0039162D" w:rsidRPr="00BF1EF3" w:rsidRDefault="0039162D" w:rsidP="00FA5AFB">
            <w:pPr>
              <w:rPr>
                <w:color w:val="000000"/>
                <w:sz w:val="20"/>
                <w:szCs w:val="20"/>
              </w:rPr>
            </w:pPr>
            <w:r w:rsidRPr="00BF1EF3">
              <w:rPr>
                <w:color w:val="000000"/>
                <w:sz w:val="20"/>
                <w:szCs w:val="20"/>
              </w:rPr>
              <w:t>hrem</w:t>
            </w:r>
          </w:p>
        </w:tc>
        <w:tc>
          <w:tcPr>
            <w:tcW w:w="880" w:type="pct"/>
            <w:tcBorders>
              <w:top w:val="single" w:sz="4" w:space="0" w:color="auto"/>
              <w:left w:val="single" w:sz="4" w:space="0" w:color="auto"/>
              <w:bottom w:val="single" w:sz="4" w:space="0" w:color="auto"/>
              <w:right w:val="single" w:sz="4" w:space="0" w:color="auto"/>
            </w:tcBorders>
            <w:noWrap/>
          </w:tcPr>
          <w:p w14:paraId="5D9C923B" w14:textId="77777777" w:rsidR="0039162D" w:rsidRPr="00BF1EF3" w:rsidRDefault="0039162D" w:rsidP="00FA5AFB">
            <w:pPr>
              <w:ind w:right="169"/>
              <w:jc w:val="right"/>
              <w:rPr>
                <w:color w:val="000000"/>
                <w:sz w:val="20"/>
                <w:szCs w:val="20"/>
              </w:rPr>
            </w:pPr>
            <w:r>
              <w:rPr>
                <w:color w:val="000000"/>
                <w:sz w:val="20"/>
                <w:szCs w:val="20"/>
              </w:rPr>
              <w:t>0.154</w:t>
            </w:r>
          </w:p>
        </w:tc>
      </w:tr>
      <w:tr w:rsidR="0039162D" w:rsidRPr="00BF1EF3" w14:paraId="4CDFAB5A"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33B1932B" w14:textId="77777777" w:rsidR="0039162D" w:rsidRPr="00BF1EF3" w:rsidRDefault="0039162D" w:rsidP="00FA5AFB">
            <w:pPr>
              <w:tabs>
                <w:tab w:val="left" w:pos="10773"/>
              </w:tabs>
              <w:rPr>
                <w:sz w:val="20"/>
                <w:szCs w:val="20"/>
              </w:rPr>
            </w:pPr>
            <w:r w:rsidRPr="00BF1EF3">
              <w:rPr>
                <w:sz w:val="20"/>
                <w:szCs w:val="20"/>
              </w:rPr>
              <w:t>Age of child</w:t>
            </w:r>
            <w:r>
              <w:rPr>
                <w:sz w:val="20"/>
                <w:szCs w:val="20"/>
              </w:rPr>
              <w:t xml:space="preserve"> (24 years is benchmark)</w:t>
            </w:r>
          </w:p>
        </w:tc>
        <w:tc>
          <w:tcPr>
            <w:tcW w:w="810" w:type="pct"/>
            <w:tcBorders>
              <w:top w:val="single" w:sz="4" w:space="0" w:color="auto"/>
              <w:left w:val="single" w:sz="4" w:space="0" w:color="auto"/>
              <w:bottom w:val="single" w:sz="4" w:space="0" w:color="auto"/>
              <w:right w:val="single" w:sz="4" w:space="0" w:color="auto"/>
            </w:tcBorders>
          </w:tcPr>
          <w:p w14:paraId="3E679889" w14:textId="77777777" w:rsidR="0039162D" w:rsidRPr="00BF1EF3" w:rsidRDefault="0039162D" w:rsidP="00FA5AFB">
            <w:pPr>
              <w:rPr>
                <w:color w:val="000000"/>
                <w:sz w:val="20"/>
                <w:szCs w:val="20"/>
              </w:rPr>
            </w:pPr>
            <w:r>
              <w:rPr>
                <w:color w:val="000000"/>
                <w:sz w:val="20"/>
                <w:szCs w:val="20"/>
              </w:rPr>
              <w:t>i.</w:t>
            </w:r>
            <w:r w:rsidRPr="00BF1EF3">
              <w:rPr>
                <w:color w:val="000000"/>
                <w:sz w:val="20"/>
                <w:szCs w:val="20"/>
              </w:rPr>
              <w:t>cage</w:t>
            </w:r>
          </w:p>
        </w:tc>
        <w:tc>
          <w:tcPr>
            <w:tcW w:w="880" w:type="pct"/>
            <w:tcBorders>
              <w:top w:val="single" w:sz="4" w:space="0" w:color="auto"/>
              <w:left w:val="single" w:sz="4" w:space="0" w:color="auto"/>
              <w:bottom w:val="single" w:sz="4" w:space="0" w:color="auto"/>
              <w:right w:val="single" w:sz="4" w:space="0" w:color="auto"/>
            </w:tcBorders>
            <w:noWrap/>
          </w:tcPr>
          <w:p w14:paraId="2753974A" w14:textId="77777777" w:rsidR="0039162D" w:rsidRPr="00BF1EF3" w:rsidRDefault="0039162D" w:rsidP="00FA5AFB">
            <w:pPr>
              <w:ind w:right="169"/>
              <w:jc w:val="right"/>
              <w:rPr>
                <w:color w:val="000000"/>
                <w:sz w:val="20"/>
                <w:szCs w:val="20"/>
              </w:rPr>
            </w:pPr>
            <w:r w:rsidRPr="00BF1EF3">
              <w:rPr>
                <w:color w:val="000000"/>
                <w:sz w:val="20"/>
                <w:szCs w:val="20"/>
              </w:rPr>
              <w:t>-1.311***</w:t>
            </w:r>
          </w:p>
        </w:tc>
      </w:tr>
      <w:tr w:rsidR="0039162D" w:rsidRPr="00BF1EF3" w14:paraId="6A35A053"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3BBD81C0" w14:textId="77777777" w:rsidR="0039162D" w:rsidRPr="00BF1EF3" w:rsidRDefault="0039162D" w:rsidP="00FA5AFB">
            <w:pPr>
              <w:tabs>
                <w:tab w:val="left" w:pos="10773"/>
              </w:tabs>
              <w:rPr>
                <w:sz w:val="20"/>
                <w:szCs w:val="20"/>
              </w:rPr>
            </w:pPr>
            <w:r>
              <w:rPr>
                <w:sz w:val="20"/>
                <w:szCs w:val="20"/>
              </w:rPr>
              <w:t xml:space="preserve">   Age 16</w:t>
            </w:r>
          </w:p>
        </w:tc>
        <w:tc>
          <w:tcPr>
            <w:tcW w:w="810" w:type="pct"/>
            <w:tcBorders>
              <w:top w:val="single" w:sz="4" w:space="0" w:color="auto"/>
              <w:left w:val="single" w:sz="4" w:space="0" w:color="auto"/>
              <w:bottom w:val="single" w:sz="4" w:space="0" w:color="auto"/>
              <w:right w:val="single" w:sz="4" w:space="0" w:color="auto"/>
            </w:tcBorders>
          </w:tcPr>
          <w:p w14:paraId="7027655C"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3268669F" w14:textId="77777777" w:rsidR="0039162D" w:rsidRPr="00BF1EF3" w:rsidRDefault="0039162D" w:rsidP="00FA5AFB">
            <w:pPr>
              <w:ind w:right="169"/>
              <w:jc w:val="right"/>
              <w:rPr>
                <w:color w:val="000000"/>
                <w:sz w:val="20"/>
                <w:szCs w:val="20"/>
              </w:rPr>
            </w:pPr>
            <w:r>
              <w:rPr>
                <w:color w:val="000000"/>
                <w:sz w:val="20"/>
                <w:szCs w:val="20"/>
              </w:rPr>
              <w:t>2.061</w:t>
            </w:r>
            <w:r w:rsidRPr="00BF1EF3">
              <w:rPr>
                <w:color w:val="000000"/>
                <w:sz w:val="20"/>
                <w:szCs w:val="20"/>
              </w:rPr>
              <w:t>***</w:t>
            </w:r>
          </w:p>
        </w:tc>
      </w:tr>
      <w:tr w:rsidR="0039162D" w:rsidRPr="00BF1EF3" w14:paraId="383B331C"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265483B2" w14:textId="77777777" w:rsidR="0039162D" w:rsidRDefault="0039162D" w:rsidP="00FA5AFB">
            <w:pPr>
              <w:tabs>
                <w:tab w:val="left" w:pos="10773"/>
              </w:tabs>
              <w:rPr>
                <w:sz w:val="20"/>
                <w:szCs w:val="20"/>
              </w:rPr>
            </w:pPr>
            <w:r>
              <w:rPr>
                <w:sz w:val="20"/>
                <w:szCs w:val="20"/>
              </w:rPr>
              <w:t xml:space="preserve">   Age 17</w:t>
            </w:r>
          </w:p>
        </w:tc>
        <w:tc>
          <w:tcPr>
            <w:tcW w:w="810" w:type="pct"/>
            <w:tcBorders>
              <w:top w:val="single" w:sz="4" w:space="0" w:color="auto"/>
              <w:left w:val="single" w:sz="4" w:space="0" w:color="auto"/>
              <w:bottom w:val="single" w:sz="4" w:space="0" w:color="auto"/>
              <w:right w:val="single" w:sz="4" w:space="0" w:color="auto"/>
            </w:tcBorders>
          </w:tcPr>
          <w:p w14:paraId="134CFA97"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0B362BCE" w14:textId="77777777" w:rsidR="0039162D" w:rsidRPr="00BF1EF3" w:rsidRDefault="0039162D" w:rsidP="00FA5AFB">
            <w:pPr>
              <w:ind w:right="169"/>
              <w:jc w:val="right"/>
              <w:rPr>
                <w:color w:val="000000"/>
                <w:sz w:val="20"/>
                <w:szCs w:val="20"/>
              </w:rPr>
            </w:pPr>
            <w:r>
              <w:rPr>
                <w:color w:val="000000"/>
                <w:sz w:val="20"/>
                <w:szCs w:val="20"/>
              </w:rPr>
              <w:t>2.011</w:t>
            </w:r>
            <w:r w:rsidRPr="00BF1EF3">
              <w:rPr>
                <w:color w:val="000000"/>
                <w:sz w:val="20"/>
                <w:szCs w:val="20"/>
              </w:rPr>
              <w:t>***</w:t>
            </w:r>
          </w:p>
        </w:tc>
      </w:tr>
      <w:tr w:rsidR="0039162D" w:rsidRPr="00BF1EF3" w14:paraId="4A92F1DE"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522498A1" w14:textId="77777777" w:rsidR="0039162D" w:rsidRPr="00BF1EF3" w:rsidRDefault="0039162D" w:rsidP="00FA5AFB">
            <w:pPr>
              <w:tabs>
                <w:tab w:val="left" w:pos="10773"/>
              </w:tabs>
              <w:rPr>
                <w:sz w:val="20"/>
                <w:szCs w:val="20"/>
              </w:rPr>
            </w:pPr>
            <w:r>
              <w:rPr>
                <w:sz w:val="20"/>
                <w:szCs w:val="20"/>
              </w:rPr>
              <w:t xml:space="preserve">   Age 18</w:t>
            </w:r>
          </w:p>
        </w:tc>
        <w:tc>
          <w:tcPr>
            <w:tcW w:w="810" w:type="pct"/>
            <w:tcBorders>
              <w:top w:val="single" w:sz="4" w:space="0" w:color="auto"/>
              <w:left w:val="single" w:sz="4" w:space="0" w:color="auto"/>
              <w:bottom w:val="single" w:sz="4" w:space="0" w:color="auto"/>
              <w:right w:val="single" w:sz="4" w:space="0" w:color="auto"/>
            </w:tcBorders>
          </w:tcPr>
          <w:p w14:paraId="61004210"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61F33707" w14:textId="77777777" w:rsidR="0039162D" w:rsidRPr="00BF1EF3" w:rsidRDefault="0039162D" w:rsidP="00FA5AFB">
            <w:pPr>
              <w:ind w:right="169"/>
              <w:jc w:val="right"/>
              <w:rPr>
                <w:color w:val="000000"/>
                <w:sz w:val="20"/>
                <w:szCs w:val="20"/>
              </w:rPr>
            </w:pPr>
            <w:r>
              <w:rPr>
                <w:color w:val="000000"/>
                <w:sz w:val="20"/>
                <w:szCs w:val="20"/>
              </w:rPr>
              <w:t>0.859</w:t>
            </w:r>
            <w:r w:rsidRPr="00BF1EF3">
              <w:rPr>
                <w:color w:val="000000"/>
                <w:sz w:val="20"/>
                <w:szCs w:val="20"/>
              </w:rPr>
              <w:t>***</w:t>
            </w:r>
          </w:p>
        </w:tc>
      </w:tr>
      <w:tr w:rsidR="0039162D" w:rsidRPr="00BF1EF3" w14:paraId="5A65E9E3"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0255A1D3" w14:textId="77777777" w:rsidR="0039162D" w:rsidRDefault="0039162D" w:rsidP="00FA5AFB">
            <w:pPr>
              <w:tabs>
                <w:tab w:val="left" w:pos="10773"/>
              </w:tabs>
              <w:rPr>
                <w:sz w:val="20"/>
                <w:szCs w:val="20"/>
              </w:rPr>
            </w:pPr>
            <w:r>
              <w:rPr>
                <w:sz w:val="20"/>
                <w:szCs w:val="20"/>
              </w:rPr>
              <w:t xml:space="preserve">   Age 19</w:t>
            </w:r>
          </w:p>
        </w:tc>
        <w:tc>
          <w:tcPr>
            <w:tcW w:w="810" w:type="pct"/>
            <w:tcBorders>
              <w:top w:val="single" w:sz="4" w:space="0" w:color="auto"/>
              <w:left w:val="single" w:sz="4" w:space="0" w:color="auto"/>
              <w:bottom w:val="single" w:sz="4" w:space="0" w:color="auto"/>
              <w:right w:val="single" w:sz="4" w:space="0" w:color="auto"/>
            </w:tcBorders>
          </w:tcPr>
          <w:p w14:paraId="2A2DDCC4"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3C7B1F20" w14:textId="77777777" w:rsidR="0039162D" w:rsidRPr="00BF1EF3" w:rsidRDefault="0039162D" w:rsidP="00FA5AFB">
            <w:pPr>
              <w:ind w:right="169"/>
              <w:jc w:val="right"/>
              <w:rPr>
                <w:color w:val="000000"/>
                <w:sz w:val="20"/>
                <w:szCs w:val="20"/>
              </w:rPr>
            </w:pPr>
            <w:r>
              <w:rPr>
                <w:color w:val="000000"/>
                <w:sz w:val="20"/>
                <w:szCs w:val="20"/>
              </w:rPr>
              <w:t>0.165</w:t>
            </w:r>
          </w:p>
        </w:tc>
      </w:tr>
      <w:tr w:rsidR="0039162D" w:rsidRPr="00BF1EF3" w14:paraId="5E5EF4EF"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12CA8C73" w14:textId="77777777" w:rsidR="0039162D" w:rsidRPr="00BF1EF3" w:rsidRDefault="0039162D" w:rsidP="00FA5AFB">
            <w:pPr>
              <w:tabs>
                <w:tab w:val="left" w:pos="10773"/>
              </w:tabs>
              <w:rPr>
                <w:sz w:val="20"/>
                <w:szCs w:val="20"/>
              </w:rPr>
            </w:pPr>
            <w:r>
              <w:rPr>
                <w:sz w:val="20"/>
                <w:szCs w:val="20"/>
              </w:rPr>
              <w:t xml:space="preserve">   </w:t>
            </w:r>
            <w:r w:rsidRPr="00BF1EF3">
              <w:rPr>
                <w:sz w:val="20"/>
                <w:szCs w:val="20"/>
              </w:rPr>
              <w:t xml:space="preserve">Age </w:t>
            </w:r>
            <w:r>
              <w:rPr>
                <w:sz w:val="20"/>
                <w:szCs w:val="20"/>
              </w:rPr>
              <w:t>20</w:t>
            </w:r>
          </w:p>
        </w:tc>
        <w:tc>
          <w:tcPr>
            <w:tcW w:w="810" w:type="pct"/>
            <w:tcBorders>
              <w:top w:val="single" w:sz="4" w:space="0" w:color="auto"/>
              <w:left w:val="single" w:sz="4" w:space="0" w:color="auto"/>
              <w:bottom w:val="single" w:sz="4" w:space="0" w:color="auto"/>
              <w:right w:val="single" w:sz="4" w:space="0" w:color="auto"/>
            </w:tcBorders>
          </w:tcPr>
          <w:p w14:paraId="7F7AC93A"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2486B1C7" w14:textId="77777777" w:rsidR="0039162D" w:rsidRPr="00BF1EF3" w:rsidRDefault="0039162D" w:rsidP="00FA5AFB">
            <w:pPr>
              <w:ind w:right="169"/>
              <w:jc w:val="right"/>
              <w:rPr>
                <w:color w:val="000000"/>
                <w:sz w:val="20"/>
                <w:szCs w:val="20"/>
              </w:rPr>
            </w:pPr>
            <w:r>
              <w:rPr>
                <w:color w:val="000000"/>
                <w:sz w:val="20"/>
                <w:szCs w:val="20"/>
              </w:rPr>
              <w:t>0.155</w:t>
            </w:r>
          </w:p>
        </w:tc>
      </w:tr>
      <w:tr w:rsidR="0039162D" w:rsidRPr="00BF1EF3" w14:paraId="542E24BD"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7BE76643" w14:textId="77777777" w:rsidR="0039162D" w:rsidRPr="00BF1EF3" w:rsidRDefault="0039162D" w:rsidP="00FA5AFB">
            <w:pPr>
              <w:tabs>
                <w:tab w:val="left" w:pos="10773"/>
              </w:tabs>
              <w:rPr>
                <w:sz w:val="20"/>
                <w:szCs w:val="20"/>
              </w:rPr>
            </w:pPr>
            <w:r>
              <w:rPr>
                <w:sz w:val="20"/>
                <w:szCs w:val="20"/>
              </w:rPr>
              <w:t xml:space="preserve">   </w:t>
            </w:r>
            <w:r w:rsidRPr="00BF1EF3">
              <w:rPr>
                <w:sz w:val="20"/>
                <w:szCs w:val="20"/>
              </w:rPr>
              <w:t xml:space="preserve">Age </w:t>
            </w:r>
            <w:r>
              <w:rPr>
                <w:sz w:val="20"/>
                <w:szCs w:val="20"/>
              </w:rPr>
              <w:t>21</w:t>
            </w:r>
          </w:p>
        </w:tc>
        <w:tc>
          <w:tcPr>
            <w:tcW w:w="810" w:type="pct"/>
            <w:tcBorders>
              <w:top w:val="single" w:sz="4" w:space="0" w:color="auto"/>
              <w:left w:val="single" w:sz="4" w:space="0" w:color="auto"/>
              <w:bottom w:val="single" w:sz="4" w:space="0" w:color="auto"/>
              <w:right w:val="single" w:sz="4" w:space="0" w:color="auto"/>
            </w:tcBorders>
          </w:tcPr>
          <w:p w14:paraId="774B18B0"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16FF1DFD" w14:textId="77777777" w:rsidR="0039162D" w:rsidRPr="00BF1EF3" w:rsidRDefault="0039162D" w:rsidP="00FA5AFB">
            <w:pPr>
              <w:ind w:right="169"/>
              <w:jc w:val="right"/>
              <w:rPr>
                <w:color w:val="000000"/>
                <w:sz w:val="20"/>
                <w:szCs w:val="20"/>
              </w:rPr>
            </w:pPr>
            <w:r>
              <w:rPr>
                <w:color w:val="000000"/>
                <w:sz w:val="20"/>
                <w:szCs w:val="20"/>
              </w:rPr>
              <w:t>-0.232</w:t>
            </w:r>
          </w:p>
        </w:tc>
      </w:tr>
      <w:tr w:rsidR="0039162D" w:rsidRPr="00BF1EF3" w14:paraId="1F80F868"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0944387C" w14:textId="77777777" w:rsidR="0039162D" w:rsidRPr="00BF1EF3" w:rsidRDefault="0039162D" w:rsidP="00FA5AFB">
            <w:pPr>
              <w:tabs>
                <w:tab w:val="left" w:pos="10773"/>
              </w:tabs>
              <w:rPr>
                <w:sz w:val="20"/>
                <w:szCs w:val="20"/>
              </w:rPr>
            </w:pPr>
            <w:r>
              <w:rPr>
                <w:sz w:val="20"/>
                <w:szCs w:val="20"/>
              </w:rPr>
              <w:t xml:space="preserve">   </w:t>
            </w:r>
            <w:r w:rsidRPr="00BF1EF3">
              <w:rPr>
                <w:sz w:val="20"/>
                <w:szCs w:val="20"/>
              </w:rPr>
              <w:t xml:space="preserve">Age </w:t>
            </w:r>
            <w:r>
              <w:rPr>
                <w:sz w:val="20"/>
                <w:szCs w:val="20"/>
              </w:rPr>
              <w:t>22</w:t>
            </w:r>
          </w:p>
        </w:tc>
        <w:tc>
          <w:tcPr>
            <w:tcW w:w="810" w:type="pct"/>
            <w:tcBorders>
              <w:top w:val="single" w:sz="4" w:space="0" w:color="auto"/>
              <w:left w:val="single" w:sz="4" w:space="0" w:color="auto"/>
              <w:bottom w:val="single" w:sz="4" w:space="0" w:color="auto"/>
              <w:right w:val="single" w:sz="4" w:space="0" w:color="auto"/>
            </w:tcBorders>
          </w:tcPr>
          <w:p w14:paraId="1937AE03"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081B6F14" w14:textId="77777777" w:rsidR="0039162D" w:rsidRPr="00BF1EF3" w:rsidRDefault="0039162D" w:rsidP="00FA5AFB">
            <w:pPr>
              <w:ind w:right="169"/>
              <w:jc w:val="right"/>
              <w:rPr>
                <w:color w:val="000000"/>
                <w:sz w:val="20"/>
                <w:szCs w:val="20"/>
              </w:rPr>
            </w:pPr>
            <w:r>
              <w:rPr>
                <w:color w:val="000000"/>
                <w:sz w:val="20"/>
                <w:szCs w:val="20"/>
              </w:rPr>
              <w:t>-0.106</w:t>
            </w:r>
          </w:p>
        </w:tc>
      </w:tr>
      <w:tr w:rsidR="0039162D" w:rsidRPr="00BF1EF3" w14:paraId="0CE3B123"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31C672B7" w14:textId="77777777" w:rsidR="0039162D" w:rsidRPr="00BF1EF3" w:rsidRDefault="0039162D" w:rsidP="00FA5AFB">
            <w:pPr>
              <w:tabs>
                <w:tab w:val="left" w:pos="10773"/>
              </w:tabs>
              <w:rPr>
                <w:sz w:val="20"/>
                <w:szCs w:val="20"/>
              </w:rPr>
            </w:pPr>
            <w:r>
              <w:rPr>
                <w:sz w:val="20"/>
                <w:szCs w:val="20"/>
              </w:rPr>
              <w:t xml:space="preserve">   </w:t>
            </w:r>
            <w:r w:rsidRPr="00BF1EF3">
              <w:rPr>
                <w:sz w:val="20"/>
                <w:szCs w:val="20"/>
              </w:rPr>
              <w:t xml:space="preserve">Age </w:t>
            </w:r>
            <w:r>
              <w:rPr>
                <w:sz w:val="20"/>
                <w:szCs w:val="20"/>
              </w:rPr>
              <w:t>23</w:t>
            </w:r>
          </w:p>
        </w:tc>
        <w:tc>
          <w:tcPr>
            <w:tcW w:w="810" w:type="pct"/>
            <w:tcBorders>
              <w:top w:val="single" w:sz="4" w:space="0" w:color="auto"/>
              <w:left w:val="single" w:sz="4" w:space="0" w:color="auto"/>
              <w:bottom w:val="single" w:sz="4" w:space="0" w:color="auto"/>
              <w:right w:val="single" w:sz="4" w:space="0" w:color="auto"/>
            </w:tcBorders>
          </w:tcPr>
          <w:p w14:paraId="252BB484"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18B90439" w14:textId="77777777" w:rsidR="0039162D" w:rsidRPr="00BF1EF3" w:rsidRDefault="0039162D" w:rsidP="00FA5AFB">
            <w:pPr>
              <w:ind w:right="169"/>
              <w:jc w:val="right"/>
              <w:rPr>
                <w:color w:val="000000"/>
                <w:sz w:val="20"/>
                <w:szCs w:val="20"/>
              </w:rPr>
            </w:pPr>
            <w:r>
              <w:rPr>
                <w:color w:val="000000"/>
                <w:sz w:val="20"/>
                <w:szCs w:val="20"/>
              </w:rPr>
              <w:t>-0.001</w:t>
            </w:r>
          </w:p>
        </w:tc>
      </w:tr>
      <w:tr w:rsidR="0039162D" w:rsidRPr="00BF1EF3" w14:paraId="2B7DE8E8"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160F488F" w14:textId="77777777" w:rsidR="0039162D" w:rsidRPr="00BF1EF3" w:rsidRDefault="0039162D" w:rsidP="00FA5AFB">
            <w:pPr>
              <w:tabs>
                <w:tab w:val="left" w:pos="10773"/>
              </w:tabs>
              <w:rPr>
                <w:sz w:val="20"/>
                <w:szCs w:val="20"/>
              </w:rPr>
            </w:pPr>
            <w:r w:rsidRPr="00BF1EF3">
              <w:rPr>
                <w:sz w:val="20"/>
                <w:szCs w:val="20"/>
              </w:rPr>
              <w:t>=1 if child is female</w:t>
            </w:r>
          </w:p>
        </w:tc>
        <w:tc>
          <w:tcPr>
            <w:tcW w:w="810" w:type="pct"/>
            <w:tcBorders>
              <w:top w:val="single" w:sz="4" w:space="0" w:color="auto"/>
              <w:left w:val="single" w:sz="4" w:space="0" w:color="auto"/>
              <w:bottom w:val="single" w:sz="4" w:space="0" w:color="auto"/>
              <w:right w:val="single" w:sz="4" w:space="0" w:color="auto"/>
            </w:tcBorders>
          </w:tcPr>
          <w:p w14:paraId="635F5C4E" w14:textId="77777777" w:rsidR="0039162D" w:rsidRPr="00BF1EF3" w:rsidRDefault="0039162D" w:rsidP="00FA5AFB">
            <w:pPr>
              <w:rPr>
                <w:color w:val="000000"/>
                <w:sz w:val="20"/>
                <w:szCs w:val="20"/>
              </w:rPr>
            </w:pPr>
            <w:r w:rsidRPr="00BF1EF3">
              <w:rPr>
                <w:color w:val="000000"/>
                <w:sz w:val="20"/>
                <w:szCs w:val="20"/>
              </w:rPr>
              <w:t>cfemale</w:t>
            </w:r>
          </w:p>
        </w:tc>
        <w:tc>
          <w:tcPr>
            <w:tcW w:w="880" w:type="pct"/>
            <w:tcBorders>
              <w:top w:val="single" w:sz="4" w:space="0" w:color="auto"/>
              <w:left w:val="single" w:sz="4" w:space="0" w:color="auto"/>
              <w:bottom w:val="single" w:sz="4" w:space="0" w:color="auto"/>
              <w:right w:val="single" w:sz="4" w:space="0" w:color="auto"/>
            </w:tcBorders>
            <w:noWrap/>
          </w:tcPr>
          <w:p w14:paraId="5C650BAE" w14:textId="77777777" w:rsidR="0039162D" w:rsidRPr="00BF1EF3" w:rsidRDefault="0039162D" w:rsidP="00FA5AFB">
            <w:pPr>
              <w:ind w:right="169"/>
              <w:jc w:val="right"/>
              <w:rPr>
                <w:color w:val="000000"/>
                <w:sz w:val="20"/>
                <w:szCs w:val="20"/>
              </w:rPr>
            </w:pPr>
            <w:r>
              <w:rPr>
                <w:color w:val="000000"/>
                <w:sz w:val="20"/>
                <w:szCs w:val="20"/>
              </w:rPr>
              <w:t>0.362</w:t>
            </w:r>
            <w:r w:rsidRPr="00BF1EF3">
              <w:rPr>
                <w:color w:val="000000"/>
                <w:sz w:val="20"/>
                <w:szCs w:val="20"/>
              </w:rPr>
              <w:t>***</w:t>
            </w:r>
          </w:p>
        </w:tc>
      </w:tr>
      <w:tr w:rsidR="0039162D" w:rsidRPr="00BF1EF3" w14:paraId="75D7EACF"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185CC5D4" w14:textId="77777777" w:rsidR="0039162D" w:rsidRPr="00BF1EF3" w:rsidRDefault="0039162D" w:rsidP="00FA5AFB">
            <w:pPr>
              <w:rPr>
                <w:color w:val="000000"/>
                <w:sz w:val="20"/>
                <w:szCs w:val="20"/>
              </w:rPr>
            </w:pPr>
            <w:r w:rsidRPr="00BF1EF3">
              <w:rPr>
                <w:color w:val="000000"/>
                <w:sz w:val="20"/>
                <w:szCs w:val="20"/>
              </w:rPr>
              <w:t>=1 if household owns a house</w:t>
            </w:r>
          </w:p>
        </w:tc>
        <w:tc>
          <w:tcPr>
            <w:tcW w:w="810" w:type="pct"/>
            <w:tcBorders>
              <w:top w:val="single" w:sz="4" w:space="0" w:color="auto"/>
              <w:left w:val="single" w:sz="4" w:space="0" w:color="auto"/>
              <w:bottom w:val="single" w:sz="4" w:space="0" w:color="auto"/>
              <w:right w:val="single" w:sz="4" w:space="0" w:color="auto"/>
            </w:tcBorders>
          </w:tcPr>
          <w:p w14:paraId="3A1E1CAC" w14:textId="77777777" w:rsidR="0039162D" w:rsidRPr="00BF1EF3" w:rsidRDefault="0039162D" w:rsidP="00FA5AFB">
            <w:pPr>
              <w:rPr>
                <w:color w:val="000000"/>
                <w:sz w:val="20"/>
                <w:szCs w:val="20"/>
              </w:rPr>
            </w:pPr>
            <w:r w:rsidRPr="00BF1EF3">
              <w:rPr>
                <w:color w:val="000000"/>
                <w:sz w:val="20"/>
                <w:szCs w:val="20"/>
              </w:rPr>
              <w:t>houseown</w:t>
            </w:r>
          </w:p>
        </w:tc>
        <w:tc>
          <w:tcPr>
            <w:tcW w:w="880" w:type="pct"/>
            <w:tcBorders>
              <w:top w:val="single" w:sz="4" w:space="0" w:color="auto"/>
              <w:left w:val="single" w:sz="4" w:space="0" w:color="auto"/>
              <w:bottom w:val="single" w:sz="4" w:space="0" w:color="auto"/>
              <w:right w:val="single" w:sz="4" w:space="0" w:color="auto"/>
            </w:tcBorders>
            <w:noWrap/>
          </w:tcPr>
          <w:p w14:paraId="303ED757" w14:textId="77777777" w:rsidR="0039162D" w:rsidRPr="00BF1EF3" w:rsidRDefault="0039162D" w:rsidP="00FA5AFB">
            <w:pPr>
              <w:ind w:right="169"/>
              <w:jc w:val="right"/>
              <w:rPr>
                <w:color w:val="000000"/>
                <w:sz w:val="20"/>
                <w:szCs w:val="20"/>
              </w:rPr>
            </w:pPr>
            <w:r>
              <w:rPr>
                <w:color w:val="000000"/>
                <w:sz w:val="20"/>
                <w:szCs w:val="20"/>
              </w:rPr>
              <w:t>-0.294</w:t>
            </w:r>
            <w:r w:rsidRPr="00BF1EF3">
              <w:rPr>
                <w:color w:val="000000"/>
                <w:sz w:val="20"/>
                <w:szCs w:val="20"/>
              </w:rPr>
              <w:t>**</w:t>
            </w:r>
            <w:r>
              <w:rPr>
                <w:color w:val="000000"/>
                <w:sz w:val="20"/>
                <w:szCs w:val="20"/>
              </w:rPr>
              <w:t xml:space="preserve"> </w:t>
            </w:r>
          </w:p>
        </w:tc>
      </w:tr>
      <w:tr w:rsidR="0039162D" w:rsidRPr="00BF1EF3" w14:paraId="2BB15CF7"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77580EF7" w14:textId="77777777" w:rsidR="0039162D" w:rsidRPr="00BF1EF3" w:rsidRDefault="0039162D" w:rsidP="00FA5AFB">
            <w:pPr>
              <w:rPr>
                <w:color w:val="000000"/>
                <w:sz w:val="20"/>
                <w:szCs w:val="20"/>
              </w:rPr>
            </w:pPr>
            <w:r w:rsidRPr="00BF1EF3">
              <w:rPr>
                <w:color w:val="000000"/>
                <w:sz w:val="20"/>
                <w:szCs w:val="20"/>
              </w:rPr>
              <w:lastRenderedPageBreak/>
              <w:t>=1 if household owns a phone</w:t>
            </w:r>
          </w:p>
        </w:tc>
        <w:tc>
          <w:tcPr>
            <w:tcW w:w="810" w:type="pct"/>
            <w:tcBorders>
              <w:top w:val="single" w:sz="4" w:space="0" w:color="auto"/>
              <w:left w:val="single" w:sz="4" w:space="0" w:color="auto"/>
              <w:bottom w:val="single" w:sz="4" w:space="0" w:color="auto"/>
              <w:right w:val="single" w:sz="4" w:space="0" w:color="auto"/>
            </w:tcBorders>
          </w:tcPr>
          <w:p w14:paraId="08431F08" w14:textId="77777777" w:rsidR="0039162D" w:rsidRPr="00BF1EF3" w:rsidRDefault="0039162D" w:rsidP="00FA5AFB">
            <w:pPr>
              <w:rPr>
                <w:color w:val="000000"/>
                <w:sz w:val="20"/>
                <w:szCs w:val="20"/>
              </w:rPr>
            </w:pPr>
            <w:r w:rsidRPr="00BF1EF3">
              <w:rPr>
                <w:color w:val="000000"/>
                <w:sz w:val="20"/>
                <w:szCs w:val="20"/>
              </w:rPr>
              <w:t>own_phone</w:t>
            </w:r>
          </w:p>
        </w:tc>
        <w:tc>
          <w:tcPr>
            <w:tcW w:w="880" w:type="pct"/>
            <w:tcBorders>
              <w:top w:val="single" w:sz="4" w:space="0" w:color="auto"/>
              <w:left w:val="single" w:sz="4" w:space="0" w:color="auto"/>
              <w:bottom w:val="single" w:sz="4" w:space="0" w:color="auto"/>
              <w:right w:val="single" w:sz="4" w:space="0" w:color="auto"/>
            </w:tcBorders>
            <w:noWrap/>
          </w:tcPr>
          <w:p w14:paraId="120A2EC8" w14:textId="77777777" w:rsidR="0039162D" w:rsidRPr="00BF1EF3" w:rsidRDefault="0039162D" w:rsidP="00FA5AFB">
            <w:pPr>
              <w:ind w:right="169"/>
              <w:jc w:val="right"/>
              <w:rPr>
                <w:color w:val="000000"/>
                <w:sz w:val="20"/>
                <w:szCs w:val="20"/>
              </w:rPr>
            </w:pPr>
            <w:r>
              <w:rPr>
                <w:color w:val="000000"/>
                <w:sz w:val="20"/>
                <w:szCs w:val="20"/>
              </w:rPr>
              <w:t>0.322</w:t>
            </w:r>
            <w:r w:rsidRPr="00BF1EF3">
              <w:rPr>
                <w:color w:val="000000"/>
                <w:sz w:val="20"/>
                <w:szCs w:val="20"/>
              </w:rPr>
              <w:t>**</w:t>
            </w:r>
          </w:p>
        </w:tc>
      </w:tr>
      <w:tr w:rsidR="0039162D" w:rsidRPr="00BF1EF3" w14:paraId="66870DFE"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4E482CF2" w14:textId="77777777" w:rsidR="0039162D" w:rsidRPr="00BF1EF3" w:rsidRDefault="0039162D" w:rsidP="00FA5AFB">
            <w:pPr>
              <w:rPr>
                <w:sz w:val="20"/>
                <w:szCs w:val="20"/>
              </w:rPr>
            </w:pPr>
            <w:r w:rsidRPr="00BF1EF3">
              <w:rPr>
                <w:sz w:val="20"/>
                <w:szCs w:val="20"/>
              </w:rPr>
              <w:t>=1 if household head has primary education</w:t>
            </w:r>
          </w:p>
        </w:tc>
        <w:tc>
          <w:tcPr>
            <w:tcW w:w="810" w:type="pct"/>
            <w:tcBorders>
              <w:top w:val="single" w:sz="4" w:space="0" w:color="auto"/>
              <w:left w:val="single" w:sz="4" w:space="0" w:color="auto"/>
              <w:bottom w:val="single" w:sz="4" w:space="0" w:color="auto"/>
              <w:right w:val="single" w:sz="4" w:space="0" w:color="auto"/>
            </w:tcBorders>
          </w:tcPr>
          <w:p w14:paraId="41F1291D" w14:textId="77777777" w:rsidR="0039162D" w:rsidRPr="00BF1EF3" w:rsidRDefault="0039162D" w:rsidP="00FA5AFB">
            <w:pPr>
              <w:rPr>
                <w:color w:val="000000"/>
                <w:sz w:val="20"/>
                <w:szCs w:val="20"/>
              </w:rPr>
            </w:pPr>
            <w:r w:rsidRPr="00BF1EF3">
              <w:rPr>
                <w:color w:val="000000"/>
                <w:sz w:val="20"/>
                <w:szCs w:val="20"/>
              </w:rPr>
              <w:t>hhprim</w:t>
            </w:r>
          </w:p>
        </w:tc>
        <w:tc>
          <w:tcPr>
            <w:tcW w:w="880" w:type="pct"/>
            <w:tcBorders>
              <w:top w:val="single" w:sz="4" w:space="0" w:color="auto"/>
              <w:left w:val="single" w:sz="4" w:space="0" w:color="auto"/>
              <w:bottom w:val="single" w:sz="4" w:space="0" w:color="auto"/>
              <w:right w:val="single" w:sz="4" w:space="0" w:color="auto"/>
            </w:tcBorders>
            <w:noWrap/>
          </w:tcPr>
          <w:p w14:paraId="5BC31846" w14:textId="77777777" w:rsidR="0039162D" w:rsidRPr="00BF1EF3" w:rsidRDefault="0039162D" w:rsidP="00FA5AFB">
            <w:pPr>
              <w:ind w:right="169"/>
              <w:jc w:val="right"/>
              <w:rPr>
                <w:color w:val="000000"/>
                <w:sz w:val="20"/>
                <w:szCs w:val="20"/>
              </w:rPr>
            </w:pPr>
            <w:r w:rsidRPr="00BF1EF3">
              <w:rPr>
                <w:color w:val="000000"/>
                <w:sz w:val="20"/>
                <w:szCs w:val="20"/>
              </w:rPr>
              <w:t>0.</w:t>
            </w:r>
            <w:r>
              <w:rPr>
                <w:color w:val="000000"/>
                <w:sz w:val="20"/>
                <w:szCs w:val="20"/>
              </w:rPr>
              <w:t>281*</w:t>
            </w:r>
          </w:p>
        </w:tc>
      </w:tr>
      <w:tr w:rsidR="0039162D" w:rsidRPr="00BF1EF3" w14:paraId="3E2E3BD5"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6630BDEF" w14:textId="77777777" w:rsidR="0039162D" w:rsidRPr="00BF1EF3" w:rsidRDefault="0039162D" w:rsidP="00FA5AFB">
            <w:pPr>
              <w:rPr>
                <w:sz w:val="20"/>
                <w:szCs w:val="20"/>
              </w:rPr>
            </w:pPr>
            <w:r w:rsidRPr="00BF1EF3">
              <w:rPr>
                <w:sz w:val="20"/>
                <w:szCs w:val="20"/>
              </w:rPr>
              <w:t>=1 if household head has secondary education</w:t>
            </w:r>
          </w:p>
        </w:tc>
        <w:tc>
          <w:tcPr>
            <w:tcW w:w="810" w:type="pct"/>
            <w:tcBorders>
              <w:top w:val="single" w:sz="4" w:space="0" w:color="auto"/>
              <w:left w:val="single" w:sz="4" w:space="0" w:color="auto"/>
              <w:bottom w:val="single" w:sz="4" w:space="0" w:color="auto"/>
              <w:right w:val="single" w:sz="4" w:space="0" w:color="auto"/>
            </w:tcBorders>
          </w:tcPr>
          <w:p w14:paraId="76F372E8" w14:textId="77777777" w:rsidR="0039162D" w:rsidRPr="00BF1EF3" w:rsidRDefault="0039162D" w:rsidP="00FA5AFB">
            <w:pPr>
              <w:rPr>
                <w:color w:val="000000"/>
                <w:sz w:val="20"/>
                <w:szCs w:val="20"/>
              </w:rPr>
            </w:pPr>
            <w:r w:rsidRPr="00BF1EF3">
              <w:rPr>
                <w:color w:val="000000"/>
                <w:sz w:val="20"/>
                <w:szCs w:val="20"/>
              </w:rPr>
              <w:t>hhsec</w:t>
            </w:r>
          </w:p>
        </w:tc>
        <w:tc>
          <w:tcPr>
            <w:tcW w:w="880" w:type="pct"/>
            <w:tcBorders>
              <w:top w:val="single" w:sz="4" w:space="0" w:color="auto"/>
              <w:left w:val="single" w:sz="4" w:space="0" w:color="auto"/>
              <w:bottom w:val="single" w:sz="4" w:space="0" w:color="auto"/>
              <w:right w:val="single" w:sz="4" w:space="0" w:color="auto"/>
            </w:tcBorders>
            <w:noWrap/>
          </w:tcPr>
          <w:p w14:paraId="748C1C7F" w14:textId="77777777" w:rsidR="0039162D" w:rsidRPr="00BF1EF3" w:rsidRDefault="0039162D" w:rsidP="00FA5AFB">
            <w:pPr>
              <w:ind w:right="169"/>
              <w:jc w:val="right"/>
              <w:rPr>
                <w:color w:val="000000"/>
                <w:sz w:val="20"/>
                <w:szCs w:val="20"/>
              </w:rPr>
            </w:pPr>
            <w:r>
              <w:rPr>
                <w:color w:val="000000"/>
                <w:sz w:val="20"/>
                <w:szCs w:val="20"/>
              </w:rPr>
              <w:t>0.704</w:t>
            </w:r>
            <w:r w:rsidRPr="00BF1EF3">
              <w:rPr>
                <w:color w:val="000000"/>
                <w:sz w:val="20"/>
                <w:szCs w:val="20"/>
              </w:rPr>
              <w:t>***</w:t>
            </w:r>
          </w:p>
        </w:tc>
      </w:tr>
      <w:tr w:rsidR="0039162D" w:rsidRPr="00BF1EF3" w14:paraId="739C7BD3"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0EBA326C" w14:textId="77777777" w:rsidR="0039162D" w:rsidRPr="00BF1EF3" w:rsidRDefault="0039162D" w:rsidP="00FA5AFB">
            <w:pPr>
              <w:rPr>
                <w:sz w:val="20"/>
                <w:szCs w:val="20"/>
              </w:rPr>
            </w:pPr>
            <w:r w:rsidRPr="00BF1EF3">
              <w:rPr>
                <w:sz w:val="20"/>
                <w:szCs w:val="20"/>
              </w:rPr>
              <w:t>=1 if household head has tertiary education</w:t>
            </w:r>
          </w:p>
        </w:tc>
        <w:tc>
          <w:tcPr>
            <w:tcW w:w="810" w:type="pct"/>
            <w:tcBorders>
              <w:top w:val="single" w:sz="4" w:space="0" w:color="auto"/>
              <w:left w:val="single" w:sz="4" w:space="0" w:color="auto"/>
              <w:bottom w:val="single" w:sz="4" w:space="0" w:color="auto"/>
              <w:right w:val="single" w:sz="4" w:space="0" w:color="auto"/>
            </w:tcBorders>
          </w:tcPr>
          <w:p w14:paraId="182D1D1F" w14:textId="77777777" w:rsidR="0039162D" w:rsidRPr="00BF1EF3" w:rsidRDefault="0039162D" w:rsidP="00FA5AFB">
            <w:pPr>
              <w:rPr>
                <w:color w:val="000000"/>
                <w:sz w:val="20"/>
                <w:szCs w:val="20"/>
              </w:rPr>
            </w:pPr>
            <w:r w:rsidRPr="00BF1EF3">
              <w:rPr>
                <w:color w:val="000000"/>
                <w:sz w:val="20"/>
                <w:szCs w:val="20"/>
              </w:rPr>
              <w:t>hhtert</w:t>
            </w:r>
          </w:p>
        </w:tc>
        <w:tc>
          <w:tcPr>
            <w:tcW w:w="880" w:type="pct"/>
            <w:tcBorders>
              <w:top w:val="single" w:sz="4" w:space="0" w:color="auto"/>
              <w:left w:val="single" w:sz="4" w:space="0" w:color="auto"/>
              <w:bottom w:val="single" w:sz="4" w:space="0" w:color="auto"/>
              <w:right w:val="single" w:sz="4" w:space="0" w:color="auto"/>
            </w:tcBorders>
            <w:noWrap/>
          </w:tcPr>
          <w:p w14:paraId="15C2F778" w14:textId="77777777" w:rsidR="0039162D" w:rsidRPr="00BF1EF3" w:rsidRDefault="0039162D" w:rsidP="00FA5AFB">
            <w:pPr>
              <w:ind w:right="169"/>
              <w:jc w:val="right"/>
              <w:rPr>
                <w:color w:val="000000"/>
                <w:sz w:val="20"/>
                <w:szCs w:val="20"/>
              </w:rPr>
            </w:pPr>
            <w:r>
              <w:rPr>
                <w:color w:val="000000"/>
                <w:sz w:val="20"/>
                <w:szCs w:val="20"/>
              </w:rPr>
              <w:t>1</w:t>
            </w:r>
            <w:r w:rsidRPr="00BF1EF3">
              <w:rPr>
                <w:color w:val="000000"/>
                <w:sz w:val="20"/>
                <w:szCs w:val="20"/>
              </w:rPr>
              <w:t>.</w:t>
            </w:r>
            <w:r>
              <w:rPr>
                <w:color w:val="000000"/>
                <w:sz w:val="20"/>
                <w:szCs w:val="20"/>
              </w:rPr>
              <w:t>126</w:t>
            </w:r>
            <w:r w:rsidRPr="00BF1EF3">
              <w:rPr>
                <w:color w:val="000000"/>
                <w:sz w:val="20"/>
                <w:szCs w:val="20"/>
              </w:rPr>
              <w:t>***</w:t>
            </w:r>
          </w:p>
        </w:tc>
      </w:tr>
      <w:tr w:rsidR="0039162D" w:rsidRPr="00BF1EF3" w14:paraId="7E21F1BB"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5547478F" w14:textId="77777777" w:rsidR="0039162D" w:rsidRPr="00BF1EF3" w:rsidRDefault="0039162D" w:rsidP="00FA5AFB">
            <w:pPr>
              <w:rPr>
                <w:sz w:val="20"/>
                <w:szCs w:val="20"/>
              </w:rPr>
            </w:pPr>
            <w:r w:rsidRPr="00BF1EF3">
              <w:rPr>
                <w:sz w:val="20"/>
                <w:szCs w:val="20"/>
              </w:rPr>
              <w:t>Age of household head</w:t>
            </w:r>
          </w:p>
        </w:tc>
        <w:tc>
          <w:tcPr>
            <w:tcW w:w="810" w:type="pct"/>
            <w:tcBorders>
              <w:top w:val="single" w:sz="4" w:space="0" w:color="auto"/>
              <w:left w:val="single" w:sz="4" w:space="0" w:color="auto"/>
              <w:bottom w:val="single" w:sz="4" w:space="0" w:color="auto"/>
              <w:right w:val="single" w:sz="4" w:space="0" w:color="auto"/>
            </w:tcBorders>
          </w:tcPr>
          <w:p w14:paraId="2A91272C" w14:textId="77777777" w:rsidR="0039162D" w:rsidRPr="00BF1EF3" w:rsidRDefault="0039162D" w:rsidP="00FA5AFB">
            <w:pPr>
              <w:rPr>
                <w:color w:val="000000"/>
                <w:sz w:val="20"/>
                <w:szCs w:val="20"/>
              </w:rPr>
            </w:pPr>
            <w:r w:rsidRPr="00BF1EF3">
              <w:rPr>
                <w:color w:val="000000"/>
                <w:sz w:val="20"/>
                <w:szCs w:val="20"/>
              </w:rPr>
              <w:t>hhage</w:t>
            </w:r>
          </w:p>
        </w:tc>
        <w:tc>
          <w:tcPr>
            <w:tcW w:w="880" w:type="pct"/>
            <w:tcBorders>
              <w:top w:val="single" w:sz="4" w:space="0" w:color="auto"/>
              <w:left w:val="single" w:sz="4" w:space="0" w:color="auto"/>
              <w:bottom w:val="single" w:sz="4" w:space="0" w:color="auto"/>
              <w:right w:val="single" w:sz="4" w:space="0" w:color="auto"/>
            </w:tcBorders>
            <w:noWrap/>
          </w:tcPr>
          <w:p w14:paraId="1D987DE1" w14:textId="77777777" w:rsidR="0039162D" w:rsidRPr="00BF1EF3" w:rsidRDefault="0039162D" w:rsidP="00FA5AFB">
            <w:pPr>
              <w:ind w:right="169"/>
              <w:jc w:val="right"/>
              <w:rPr>
                <w:color w:val="000000"/>
                <w:sz w:val="20"/>
                <w:szCs w:val="20"/>
              </w:rPr>
            </w:pPr>
            <w:r>
              <w:rPr>
                <w:color w:val="000000"/>
                <w:sz w:val="20"/>
                <w:szCs w:val="20"/>
              </w:rPr>
              <w:t>0.025</w:t>
            </w:r>
            <w:r w:rsidRPr="00BF1EF3">
              <w:rPr>
                <w:color w:val="000000"/>
                <w:sz w:val="20"/>
                <w:szCs w:val="20"/>
              </w:rPr>
              <w:t>***</w:t>
            </w:r>
          </w:p>
        </w:tc>
      </w:tr>
      <w:tr w:rsidR="0039162D" w:rsidRPr="00BF1EF3" w14:paraId="344307EE" w14:textId="77777777" w:rsidTr="00FA5AFB">
        <w:trPr>
          <w:trHeight w:val="329"/>
        </w:trPr>
        <w:tc>
          <w:tcPr>
            <w:tcW w:w="3310" w:type="pct"/>
            <w:tcBorders>
              <w:top w:val="single" w:sz="4" w:space="0" w:color="auto"/>
              <w:left w:val="single" w:sz="4" w:space="0" w:color="auto"/>
              <w:bottom w:val="single" w:sz="4" w:space="0" w:color="auto"/>
              <w:right w:val="single" w:sz="4" w:space="0" w:color="auto"/>
            </w:tcBorders>
          </w:tcPr>
          <w:p w14:paraId="7743A0B2" w14:textId="77777777" w:rsidR="0039162D" w:rsidRPr="00BF1EF3" w:rsidRDefault="0039162D" w:rsidP="00FA5AFB">
            <w:pPr>
              <w:rPr>
                <w:color w:val="000000"/>
                <w:sz w:val="20"/>
                <w:szCs w:val="20"/>
              </w:rPr>
            </w:pPr>
            <w:r w:rsidRPr="00BF1EF3">
              <w:rPr>
                <w:sz w:val="20"/>
                <w:szCs w:val="20"/>
              </w:rPr>
              <w:t>=1 if household head is employee</w:t>
            </w:r>
          </w:p>
        </w:tc>
        <w:tc>
          <w:tcPr>
            <w:tcW w:w="810" w:type="pct"/>
            <w:tcBorders>
              <w:top w:val="single" w:sz="4" w:space="0" w:color="auto"/>
              <w:left w:val="single" w:sz="4" w:space="0" w:color="auto"/>
              <w:bottom w:val="single" w:sz="4" w:space="0" w:color="auto"/>
              <w:right w:val="single" w:sz="4" w:space="0" w:color="auto"/>
            </w:tcBorders>
          </w:tcPr>
          <w:p w14:paraId="7878BFFA" w14:textId="77777777" w:rsidR="0039162D" w:rsidRPr="00BF1EF3" w:rsidRDefault="0039162D" w:rsidP="00FA5AFB">
            <w:pPr>
              <w:rPr>
                <w:color w:val="000000"/>
                <w:sz w:val="20"/>
                <w:szCs w:val="20"/>
              </w:rPr>
            </w:pPr>
            <w:r w:rsidRPr="00BF1EF3">
              <w:rPr>
                <w:color w:val="000000"/>
                <w:sz w:val="20"/>
                <w:szCs w:val="20"/>
              </w:rPr>
              <w:t>hemp</w:t>
            </w:r>
          </w:p>
        </w:tc>
        <w:tc>
          <w:tcPr>
            <w:tcW w:w="880" w:type="pct"/>
            <w:tcBorders>
              <w:top w:val="single" w:sz="4" w:space="0" w:color="auto"/>
              <w:left w:val="single" w:sz="4" w:space="0" w:color="auto"/>
              <w:bottom w:val="single" w:sz="4" w:space="0" w:color="auto"/>
              <w:right w:val="single" w:sz="4" w:space="0" w:color="auto"/>
            </w:tcBorders>
            <w:noWrap/>
          </w:tcPr>
          <w:p w14:paraId="4B69C8A4" w14:textId="77777777" w:rsidR="0039162D" w:rsidRPr="00BF1EF3" w:rsidRDefault="0039162D" w:rsidP="00FA5AFB">
            <w:pPr>
              <w:ind w:right="169"/>
              <w:jc w:val="right"/>
              <w:rPr>
                <w:color w:val="000000"/>
                <w:sz w:val="20"/>
                <w:szCs w:val="20"/>
              </w:rPr>
            </w:pPr>
            <w:r>
              <w:rPr>
                <w:color w:val="000000"/>
                <w:sz w:val="20"/>
                <w:szCs w:val="20"/>
              </w:rPr>
              <w:t>-</w:t>
            </w:r>
            <w:r w:rsidRPr="00BF1EF3">
              <w:rPr>
                <w:color w:val="000000"/>
                <w:sz w:val="20"/>
                <w:szCs w:val="20"/>
              </w:rPr>
              <w:t>1</w:t>
            </w:r>
            <w:r>
              <w:rPr>
                <w:color w:val="000000"/>
                <w:sz w:val="20"/>
                <w:szCs w:val="20"/>
              </w:rPr>
              <w:t>.</w:t>
            </w:r>
            <w:r w:rsidRPr="00BF1EF3">
              <w:rPr>
                <w:color w:val="000000"/>
                <w:sz w:val="20"/>
                <w:szCs w:val="20"/>
              </w:rPr>
              <w:t>4</w:t>
            </w:r>
            <w:r>
              <w:rPr>
                <w:color w:val="000000"/>
                <w:sz w:val="20"/>
                <w:szCs w:val="20"/>
              </w:rPr>
              <w:t>55</w:t>
            </w:r>
            <w:r w:rsidRPr="00BF1EF3">
              <w:rPr>
                <w:color w:val="000000"/>
                <w:sz w:val="20"/>
                <w:szCs w:val="20"/>
              </w:rPr>
              <w:t>***</w:t>
            </w:r>
          </w:p>
        </w:tc>
      </w:tr>
      <w:tr w:rsidR="0039162D" w:rsidRPr="00BF1EF3" w14:paraId="0A7F69A3"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0A9412D3" w14:textId="77777777" w:rsidR="0039162D" w:rsidRPr="00BF1EF3" w:rsidRDefault="0039162D" w:rsidP="00FA5AFB">
            <w:pPr>
              <w:rPr>
                <w:sz w:val="20"/>
                <w:szCs w:val="20"/>
              </w:rPr>
            </w:pPr>
            <w:r w:rsidRPr="00BF1EF3">
              <w:rPr>
                <w:sz w:val="20"/>
                <w:szCs w:val="20"/>
              </w:rPr>
              <w:t>Household  size</w:t>
            </w:r>
          </w:p>
        </w:tc>
        <w:tc>
          <w:tcPr>
            <w:tcW w:w="810" w:type="pct"/>
            <w:tcBorders>
              <w:top w:val="single" w:sz="4" w:space="0" w:color="auto"/>
              <w:left w:val="single" w:sz="4" w:space="0" w:color="auto"/>
              <w:bottom w:val="single" w:sz="4" w:space="0" w:color="auto"/>
              <w:right w:val="single" w:sz="4" w:space="0" w:color="auto"/>
            </w:tcBorders>
          </w:tcPr>
          <w:p w14:paraId="6DA2E890" w14:textId="77777777" w:rsidR="0039162D" w:rsidRPr="00BF1EF3" w:rsidRDefault="0039162D" w:rsidP="00FA5AFB">
            <w:pPr>
              <w:rPr>
                <w:color w:val="000000"/>
                <w:sz w:val="20"/>
                <w:szCs w:val="20"/>
              </w:rPr>
            </w:pPr>
            <w:r w:rsidRPr="00BF1EF3">
              <w:rPr>
                <w:color w:val="000000"/>
                <w:sz w:val="20"/>
                <w:szCs w:val="20"/>
              </w:rPr>
              <w:t>hhsize</w:t>
            </w:r>
          </w:p>
        </w:tc>
        <w:tc>
          <w:tcPr>
            <w:tcW w:w="880" w:type="pct"/>
            <w:tcBorders>
              <w:top w:val="single" w:sz="4" w:space="0" w:color="auto"/>
              <w:left w:val="single" w:sz="4" w:space="0" w:color="auto"/>
              <w:bottom w:val="single" w:sz="4" w:space="0" w:color="auto"/>
              <w:right w:val="single" w:sz="4" w:space="0" w:color="auto"/>
            </w:tcBorders>
            <w:noWrap/>
          </w:tcPr>
          <w:p w14:paraId="1DC0DA32" w14:textId="77777777" w:rsidR="0039162D" w:rsidRPr="00BF1EF3" w:rsidRDefault="0039162D" w:rsidP="00FA5AFB">
            <w:pPr>
              <w:ind w:right="169"/>
              <w:jc w:val="right"/>
              <w:rPr>
                <w:color w:val="000000"/>
                <w:sz w:val="20"/>
                <w:szCs w:val="20"/>
              </w:rPr>
            </w:pPr>
            <w:r w:rsidRPr="00BF1EF3">
              <w:rPr>
                <w:color w:val="000000"/>
                <w:sz w:val="20"/>
                <w:szCs w:val="20"/>
              </w:rPr>
              <w:t>-0.</w:t>
            </w:r>
            <w:r>
              <w:rPr>
                <w:color w:val="000000"/>
                <w:sz w:val="20"/>
                <w:szCs w:val="20"/>
              </w:rPr>
              <w:t>247</w:t>
            </w:r>
            <w:r w:rsidRPr="00BF1EF3">
              <w:rPr>
                <w:color w:val="000000"/>
                <w:sz w:val="20"/>
                <w:szCs w:val="20"/>
              </w:rPr>
              <w:t>***</w:t>
            </w:r>
          </w:p>
        </w:tc>
      </w:tr>
      <w:tr w:rsidR="0039162D" w:rsidRPr="00BF1EF3" w14:paraId="2C2EF11C"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550451E7" w14:textId="77777777" w:rsidR="0039162D" w:rsidRPr="00BF1EF3" w:rsidRDefault="0039162D" w:rsidP="00FA5AFB">
            <w:pPr>
              <w:rPr>
                <w:sz w:val="20"/>
                <w:szCs w:val="20"/>
              </w:rPr>
            </w:pPr>
            <w:r w:rsidRPr="00BF1EF3">
              <w:rPr>
                <w:sz w:val="20"/>
                <w:szCs w:val="20"/>
              </w:rPr>
              <w:t>=1 if household lives in the capital city</w:t>
            </w:r>
          </w:p>
        </w:tc>
        <w:tc>
          <w:tcPr>
            <w:tcW w:w="810" w:type="pct"/>
            <w:tcBorders>
              <w:top w:val="single" w:sz="4" w:space="0" w:color="auto"/>
              <w:left w:val="single" w:sz="4" w:space="0" w:color="auto"/>
              <w:bottom w:val="single" w:sz="4" w:space="0" w:color="auto"/>
              <w:right w:val="single" w:sz="4" w:space="0" w:color="auto"/>
            </w:tcBorders>
          </w:tcPr>
          <w:p w14:paraId="21C6F3E5" w14:textId="77777777" w:rsidR="0039162D" w:rsidRPr="00BF1EF3" w:rsidRDefault="0039162D" w:rsidP="00FA5AFB">
            <w:pPr>
              <w:rPr>
                <w:color w:val="000000"/>
                <w:sz w:val="20"/>
                <w:szCs w:val="20"/>
              </w:rPr>
            </w:pPr>
            <w:r w:rsidRPr="00BF1EF3">
              <w:rPr>
                <w:color w:val="000000"/>
                <w:sz w:val="20"/>
                <w:szCs w:val="20"/>
              </w:rPr>
              <w:t>capital</w:t>
            </w:r>
          </w:p>
        </w:tc>
        <w:tc>
          <w:tcPr>
            <w:tcW w:w="880" w:type="pct"/>
            <w:tcBorders>
              <w:top w:val="single" w:sz="4" w:space="0" w:color="auto"/>
              <w:left w:val="single" w:sz="4" w:space="0" w:color="auto"/>
              <w:bottom w:val="single" w:sz="4" w:space="0" w:color="auto"/>
              <w:right w:val="single" w:sz="4" w:space="0" w:color="auto"/>
            </w:tcBorders>
            <w:noWrap/>
          </w:tcPr>
          <w:p w14:paraId="68875E06" w14:textId="77777777" w:rsidR="0039162D" w:rsidRPr="00BF1EF3" w:rsidRDefault="0039162D" w:rsidP="00FA5AFB">
            <w:pPr>
              <w:ind w:right="169"/>
              <w:jc w:val="right"/>
              <w:rPr>
                <w:color w:val="000000"/>
                <w:sz w:val="20"/>
                <w:szCs w:val="20"/>
              </w:rPr>
            </w:pPr>
            <w:r w:rsidRPr="00BF1EF3">
              <w:rPr>
                <w:color w:val="000000"/>
                <w:sz w:val="20"/>
                <w:szCs w:val="20"/>
              </w:rPr>
              <w:t>0.</w:t>
            </w:r>
            <w:r>
              <w:rPr>
                <w:color w:val="000000"/>
                <w:sz w:val="20"/>
                <w:szCs w:val="20"/>
              </w:rPr>
              <w:t>463</w:t>
            </w:r>
            <w:r w:rsidRPr="00BF1EF3">
              <w:rPr>
                <w:color w:val="000000"/>
                <w:sz w:val="20"/>
                <w:szCs w:val="20"/>
              </w:rPr>
              <w:t>***</w:t>
            </w:r>
          </w:p>
        </w:tc>
      </w:tr>
      <w:tr w:rsidR="0039162D" w:rsidRPr="00BF1EF3" w14:paraId="21469E65"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1FE48C5A" w14:textId="77777777" w:rsidR="0039162D" w:rsidRPr="00BF1EF3" w:rsidRDefault="0039162D" w:rsidP="00FA5AFB">
            <w:pPr>
              <w:rPr>
                <w:sz w:val="20"/>
                <w:szCs w:val="20"/>
              </w:rPr>
            </w:pPr>
            <w:r w:rsidRPr="00BF1EF3">
              <w:rPr>
                <w:sz w:val="20"/>
                <w:szCs w:val="20"/>
              </w:rPr>
              <w:t>=1 if household head is</w:t>
            </w:r>
            <w:r>
              <w:rPr>
                <w:sz w:val="20"/>
                <w:szCs w:val="20"/>
              </w:rPr>
              <w:t xml:space="preserve"> married</w:t>
            </w:r>
          </w:p>
        </w:tc>
        <w:tc>
          <w:tcPr>
            <w:tcW w:w="810" w:type="pct"/>
            <w:tcBorders>
              <w:top w:val="single" w:sz="4" w:space="0" w:color="auto"/>
              <w:left w:val="single" w:sz="4" w:space="0" w:color="auto"/>
              <w:bottom w:val="single" w:sz="4" w:space="0" w:color="auto"/>
              <w:right w:val="single" w:sz="4" w:space="0" w:color="auto"/>
            </w:tcBorders>
          </w:tcPr>
          <w:p w14:paraId="1DE90F9F" w14:textId="77777777" w:rsidR="0039162D" w:rsidRPr="00BF1EF3" w:rsidRDefault="0039162D" w:rsidP="00FA5AFB">
            <w:pPr>
              <w:rPr>
                <w:color w:val="000000"/>
                <w:sz w:val="20"/>
                <w:szCs w:val="20"/>
              </w:rPr>
            </w:pPr>
            <w:r>
              <w:rPr>
                <w:color w:val="000000"/>
                <w:sz w:val="20"/>
                <w:szCs w:val="20"/>
              </w:rPr>
              <w:t>hhmarried</w:t>
            </w:r>
          </w:p>
        </w:tc>
        <w:tc>
          <w:tcPr>
            <w:tcW w:w="880" w:type="pct"/>
            <w:tcBorders>
              <w:top w:val="single" w:sz="4" w:space="0" w:color="auto"/>
              <w:left w:val="single" w:sz="4" w:space="0" w:color="auto"/>
              <w:bottom w:val="single" w:sz="4" w:space="0" w:color="auto"/>
              <w:right w:val="single" w:sz="4" w:space="0" w:color="auto"/>
            </w:tcBorders>
            <w:noWrap/>
          </w:tcPr>
          <w:p w14:paraId="1108FFB6" w14:textId="77777777" w:rsidR="0039162D" w:rsidRPr="00BF1EF3" w:rsidRDefault="0039162D" w:rsidP="00FA5AFB">
            <w:pPr>
              <w:ind w:right="169"/>
              <w:jc w:val="right"/>
              <w:rPr>
                <w:color w:val="000000"/>
                <w:sz w:val="20"/>
                <w:szCs w:val="20"/>
              </w:rPr>
            </w:pPr>
            <w:r>
              <w:rPr>
                <w:color w:val="000000"/>
                <w:sz w:val="20"/>
                <w:szCs w:val="20"/>
              </w:rPr>
              <w:t>-0.142</w:t>
            </w:r>
          </w:p>
        </w:tc>
      </w:tr>
      <w:tr w:rsidR="0039162D" w:rsidRPr="00BF1EF3" w14:paraId="720F7FA5"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2D3741CA" w14:textId="77777777" w:rsidR="0039162D" w:rsidRPr="00BF1EF3" w:rsidRDefault="0039162D" w:rsidP="00FA5AFB">
            <w:pPr>
              <w:rPr>
                <w:sz w:val="20"/>
                <w:szCs w:val="20"/>
              </w:rPr>
            </w:pPr>
            <w:r w:rsidRPr="00BF1EF3">
              <w:rPr>
                <w:sz w:val="20"/>
                <w:szCs w:val="20"/>
              </w:rPr>
              <w:t>Quintile 2</w:t>
            </w:r>
          </w:p>
        </w:tc>
        <w:tc>
          <w:tcPr>
            <w:tcW w:w="810" w:type="pct"/>
            <w:tcBorders>
              <w:top w:val="single" w:sz="4" w:space="0" w:color="auto"/>
              <w:left w:val="single" w:sz="4" w:space="0" w:color="auto"/>
              <w:bottom w:val="single" w:sz="4" w:space="0" w:color="auto"/>
              <w:right w:val="single" w:sz="4" w:space="0" w:color="auto"/>
            </w:tcBorders>
          </w:tcPr>
          <w:p w14:paraId="3BE3A598" w14:textId="77777777" w:rsidR="0039162D" w:rsidRPr="00BF1EF3" w:rsidRDefault="0039162D" w:rsidP="00FA5AFB">
            <w:pPr>
              <w:rPr>
                <w:color w:val="000000"/>
                <w:sz w:val="20"/>
                <w:szCs w:val="20"/>
              </w:rPr>
            </w:pPr>
            <w:r w:rsidRPr="00BF1EF3">
              <w:rPr>
                <w:color w:val="000000"/>
                <w:sz w:val="20"/>
                <w:szCs w:val="20"/>
              </w:rPr>
              <w:t>q2</w:t>
            </w:r>
          </w:p>
        </w:tc>
        <w:tc>
          <w:tcPr>
            <w:tcW w:w="880" w:type="pct"/>
            <w:tcBorders>
              <w:top w:val="single" w:sz="4" w:space="0" w:color="auto"/>
              <w:left w:val="single" w:sz="4" w:space="0" w:color="auto"/>
              <w:bottom w:val="single" w:sz="4" w:space="0" w:color="auto"/>
              <w:right w:val="single" w:sz="4" w:space="0" w:color="auto"/>
            </w:tcBorders>
            <w:noWrap/>
          </w:tcPr>
          <w:p w14:paraId="27548F70" w14:textId="77777777" w:rsidR="0039162D" w:rsidRPr="00BF1EF3" w:rsidRDefault="0039162D" w:rsidP="00FA5AFB">
            <w:pPr>
              <w:ind w:right="169"/>
              <w:jc w:val="right"/>
              <w:rPr>
                <w:color w:val="000000"/>
                <w:sz w:val="20"/>
                <w:szCs w:val="20"/>
              </w:rPr>
            </w:pPr>
            <w:r>
              <w:rPr>
                <w:color w:val="000000"/>
                <w:sz w:val="20"/>
                <w:szCs w:val="20"/>
              </w:rPr>
              <w:t>-0.04</w:t>
            </w:r>
            <w:r w:rsidRPr="00BF1EF3">
              <w:rPr>
                <w:color w:val="000000"/>
                <w:sz w:val="20"/>
                <w:szCs w:val="20"/>
              </w:rPr>
              <w:t>5</w:t>
            </w:r>
          </w:p>
        </w:tc>
      </w:tr>
      <w:tr w:rsidR="0039162D" w:rsidRPr="00BF1EF3" w14:paraId="6DADDEF2"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57A0D37A" w14:textId="77777777" w:rsidR="0039162D" w:rsidRPr="00BF1EF3" w:rsidRDefault="0039162D" w:rsidP="00FA5AFB">
            <w:pPr>
              <w:rPr>
                <w:sz w:val="20"/>
                <w:szCs w:val="20"/>
              </w:rPr>
            </w:pPr>
            <w:r w:rsidRPr="00BF1EF3">
              <w:rPr>
                <w:sz w:val="20"/>
                <w:szCs w:val="20"/>
              </w:rPr>
              <w:t>Quintile 3</w:t>
            </w:r>
          </w:p>
        </w:tc>
        <w:tc>
          <w:tcPr>
            <w:tcW w:w="810" w:type="pct"/>
            <w:tcBorders>
              <w:top w:val="single" w:sz="4" w:space="0" w:color="auto"/>
              <w:left w:val="single" w:sz="4" w:space="0" w:color="auto"/>
              <w:bottom w:val="single" w:sz="4" w:space="0" w:color="auto"/>
              <w:right w:val="single" w:sz="4" w:space="0" w:color="auto"/>
            </w:tcBorders>
          </w:tcPr>
          <w:p w14:paraId="4FDDD6F2" w14:textId="77777777" w:rsidR="0039162D" w:rsidRPr="00BF1EF3" w:rsidRDefault="0039162D" w:rsidP="00FA5AFB">
            <w:pPr>
              <w:rPr>
                <w:color w:val="000000"/>
                <w:sz w:val="20"/>
                <w:szCs w:val="20"/>
              </w:rPr>
            </w:pPr>
            <w:r w:rsidRPr="00BF1EF3">
              <w:rPr>
                <w:color w:val="000000"/>
                <w:sz w:val="20"/>
                <w:szCs w:val="20"/>
              </w:rPr>
              <w:t>q3</w:t>
            </w:r>
          </w:p>
        </w:tc>
        <w:tc>
          <w:tcPr>
            <w:tcW w:w="880" w:type="pct"/>
            <w:tcBorders>
              <w:top w:val="single" w:sz="4" w:space="0" w:color="auto"/>
              <w:left w:val="single" w:sz="4" w:space="0" w:color="auto"/>
              <w:bottom w:val="single" w:sz="4" w:space="0" w:color="auto"/>
              <w:right w:val="single" w:sz="4" w:space="0" w:color="auto"/>
            </w:tcBorders>
            <w:noWrap/>
          </w:tcPr>
          <w:p w14:paraId="0C8BE3C6" w14:textId="77777777" w:rsidR="0039162D" w:rsidRPr="00BF1EF3" w:rsidRDefault="0039162D" w:rsidP="00FA5AFB">
            <w:pPr>
              <w:ind w:right="169"/>
              <w:jc w:val="right"/>
              <w:rPr>
                <w:color w:val="000000"/>
                <w:sz w:val="20"/>
                <w:szCs w:val="20"/>
              </w:rPr>
            </w:pPr>
            <w:r w:rsidRPr="00BF1EF3">
              <w:rPr>
                <w:color w:val="000000"/>
                <w:sz w:val="20"/>
                <w:szCs w:val="20"/>
              </w:rPr>
              <w:t>0.0</w:t>
            </w:r>
            <w:r>
              <w:rPr>
                <w:color w:val="000000"/>
                <w:sz w:val="20"/>
                <w:szCs w:val="20"/>
              </w:rPr>
              <w:t>32</w:t>
            </w:r>
          </w:p>
        </w:tc>
      </w:tr>
      <w:tr w:rsidR="0039162D" w:rsidRPr="00BF1EF3" w14:paraId="512419AB"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424ED6B6" w14:textId="77777777" w:rsidR="0039162D" w:rsidRPr="00BF1EF3" w:rsidRDefault="0039162D" w:rsidP="00FA5AFB">
            <w:pPr>
              <w:rPr>
                <w:sz w:val="20"/>
                <w:szCs w:val="20"/>
              </w:rPr>
            </w:pPr>
            <w:r w:rsidRPr="00BF1EF3">
              <w:rPr>
                <w:sz w:val="20"/>
                <w:szCs w:val="20"/>
              </w:rPr>
              <w:t>Quintile 4</w:t>
            </w:r>
          </w:p>
        </w:tc>
        <w:tc>
          <w:tcPr>
            <w:tcW w:w="810" w:type="pct"/>
            <w:tcBorders>
              <w:top w:val="single" w:sz="4" w:space="0" w:color="auto"/>
              <w:left w:val="single" w:sz="4" w:space="0" w:color="auto"/>
              <w:bottom w:val="single" w:sz="4" w:space="0" w:color="auto"/>
              <w:right w:val="single" w:sz="4" w:space="0" w:color="auto"/>
            </w:tcBorders>
          </w:tcPr>
          <w:p w14:paraId="658FD410" w14:textId="77777777" w:rsidR="0039162D" w:rsidRPr="00BF1EF3" w:rsidRDefault="0039162D" w:rsidP="00FA5AFB">
            <w:pPr>
              <w:rPr>
                <w:color w:val="000000"/>
                <w:sz w:val="20"/>
                <w:szCs w:val="20"/>
              </w:rPr>
            </w:pPr>
            <w:r w:rsidRPr="00BF1EF3">
              <w:rPr>
                <w:color w:val="000000"/>
                <w:sz w:val="20"/>
                <w:szCs w:val="20"/>
              </w:rPr>
              <w:t>q4</w:t>
            </w:r>
          </w:p>
        </w:tc>
        <w:tc>
          <w:tcPr>
            <w:tcW w:w="880" w:type="pct"/>
            <w:tcBorders>
              <w:top w:val="single" w:sz="4" w:space="0" w:color="auto"/>
              <w:left w:val="single" w:sz="4" w:space="0" w:color="auto"/>
              <w:bottom w:val="single" w:sz="4" w:space="0" w:color="auto"/>
              <w:right w:val="single" w:sz="4" w:space="0" w:color="auto"/>
            </w:tcBorders>
            <w:noWrap/>
          </w:tcPr>
          <w:p w14:paraId="59C762BF" w14:textId="77777777" w:rsidR="0039162D" w:rsidRPr="00BF1EF3" w:rsidRDefault="0039162D" w:rsidP="00FA5AFB">
            <w:pPr>
              <w:ind w:right="169"/>
              <w:jc w:val="right"/>
              <w:rPr>
                <w:color w:val="000000"/>
                <w:sz w:val="20"/>
                <w:szCs w:val="20"/>
              </w:rPr>
            </w:pPr>
            <w:r>
              <w:rPr>
                <w:color w:val="000000"/>
                <w:sz w:val="20"/>
                <w:szCs w:val="20"/>
              </w:rPr>
              <w:t>0.</w:t>
            </w:r>
            <w:r w:rsidRPr="00BF1EF3">
              <w:rPr>
                <w:color w:val="000000"/>
                <w:sz w:val="20"/>
                <w:szCs w:val="20"/>
              </w:rPr>
              <w:t>6</w:t>
            </w:r>
            <w:r>
              <w:rPr>
                <w:color w:val="000000"/>
                <w:sz w:val="20"/>
                <w:szCs w:val="20"/>
              </w:rPr>
              <w:t>05</w:t>
            </w:r>
            <w:r w:rsidRPr="00BF1EF3">
              <w:rPr>
                <w:color w:val="000000"/>
                <w:sz w:val="20"/>
                <w:szCs w:val="20"/>
              </w:rPr>
              <w:t>***</w:t>
            </w:r>
          </w:p>
        </w:tc>
      </w:tr>
      <w:tr w:rsidR="0039162D" w:rsidRPr="00BF1EF3" w14:paraId="10CF90A8"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70F99E9E" w14:textId="77777777" w:rsidR="0039162D" w:rsidRPr="00BF1EF3" w:rsidRDefault="0039162D" w:rsidP="00FA5AFB">
            <w:pPr>
              <w:rPr>
                <w:sz w:val="20"/>
                <w:szCs w:val="20"/>
              </w:rPr>
            </w:pPr>
            <w:r w:rsidRPr="00BF1EF3">
              <w:rPr>
                <w:sz w:val="20"/>
                <w:szCs w:val="20"/>
              </w:rPr>
              <w:t>Quintile 5</w:t>
            </w:r>
          </w:p>
        </w:tc>
        <w:tc>
          <w:tcPr>
            <w:tcW w:w="810" w:type="pct"/>
            <w:tcBorders>
              <w:top w:val="single" w:sz="4" w:space="0" w:color="auto"/>
              <w:left w:val="single" w:sz="4" w:space="0" w:color="auto"/>
              <w:bottom w:val="single" w:sz="4" w:space="0" w:color="auto"/>
              <w:right w:val="single" w:sz="4" w:space="0" w:color="auto"/>
            </w:tcBorders>
          </w:tcPr>
          <w:p w14:paraId="33470A03" w14:textId="77777777" w:rsidR="0039162D" w:rsidRPr="00BF1EF3" w:rsidRDefault="0039162D" w:rsidP="00FA5AFB">
            <w:pPr>
              <w:rPr>
                <w:color w:val="000000"/>
                <w:sz w:val="20"/>
                <w:szCs w:val="20"/>
              </w:rPr>
            </w:pPr>
            <w:r w:rsidRPr="00BF1EF3">
              <w:rPr>
                <w:color w:val="000000"/>
                <w:sz w:val="20"/>
                <w:szCs w:val="20"/>
              </w:rPr>
              <w:t>q5</w:t>
            </w:r>
          </w:p>
        </w:tc>
        <w:tc>
          <w:tcPr>
            <w:tcW w:w="880" w:type="pct"/>
            <w:tcBorders>
              <w:top w:val="single" w:sz="4" w:space="0" w:color="auto"/>
              <w:left w:val="single" w:sz="4" w:space="0" w:color="auto"/>
              <w:bottom w:val="single" w:sz="4" w:space="0" w:color="auto"/>
              <w:right w:val="single" w:sz="4" w:space="0" w:color="auto"/>
            </w:tcBorders>
            <w:noWrap/>
          </w:tcPr>
          <w:p w14:paraId="4757DD3F" w14:textId="77777777" w:rsidR="0039162D" w:rsidRPr="00BF1EF3" w:rsidRDefault="0039162D" w:rsidP="00FA5AFB">
            <w:pPr>
              <w:ind w:right="169"/>
              <w:jc w:val="right"/>
              <w:rPr>
                <w:color w:val="000000"/>
                <w:sz w:val="20"/>
                <w:szCs w:val="20"/>
              </w:rPr>
            </w:pPr>
            <w:r w:rsidRPr="00BF1EF3">
              <w:rPr>
                <w:color w:val="000000"/>
                <w:sz w:val="20"/>
                <w:szCs w:val="20"/>
              </w:rPr>
              <w:t>0.</w:t>
            </w:r>
            <w:r>
              <w:rPr>
                <w:color w:val="000000"/>
                <w:sz w:val="20"/>
                <w:szCs w:val="20"/>
              </w:rPr>
              <w:t>550</w:t>
            </w:r>
            <w:r w:rsidRPr="00BF1EF3">
              <w:rPr>
                <w:color w:val="000000"/>
                <w:sz w:val="20"/>
                <w:szCs w:val="20"/>
              </w:rPr>
              <w:t>***</w:t>
            </w:r>
          </w:p>
        </w:tc>
      </w:tr>
      <w:tr w:rsidR="0039162D" w:rsidRPr="00BF1EF3" w14:paraId="12B94180"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05ED3D8C" w14:textId="77777777" w:rsidR="0039162D" w:rsidRPr="00BF1EF3" w:rsidRDefault="0039162D" w:rsidP="00FA5AFB">
            <w:pPr>
              <w:rPr>
                <w:sz w:val="20"/>
                <w:szCs w:val="20"/>
              </w:rPr>
            </w:pPr>
            <w:r w:rsidRPr="00BF1EF3">
              <w:rPr>
                <w:sz w:val="20"/>
                <w:szCs w:val="20"/>
              </w:rPr>
              <w:t>Quintile 1 x hrem</w:t>
            </w:r>
          </w:p>
        </w:tc>
        <w:tc>
          <w:tcPr>
            <w:tcW w:w="810" w:type="pct"/>
            <w:tcBorders>
              <w:top w:val="single" w:sz="4" w:space="0" w:color="auto"/>
              <w:left w:val="single" w:sz="4" w:space="0" w:color="auto"/>
              <w:bottom w:val="single" w:sz="4" w:space="0" w:color="auto"/>
              <w:right w:val="single" w:sz="4" w:space="0" w:color="auto"/>
            </w:tcBorders>
          </w:tcPr>
          <w:p w14:paraId="795EE664" w14:textId="77777777" w:rsidR="0039162D" w:rsidRPr="00BF1EF3" w:rsidRDefault="0039162D" w:rsidP="00FA5AFB">
            <w:pPr>
              <w:rPr>
                <w:color w:val="000000"/>
                <w:sz w:val="20"/>
                <w:szCs w:val="20"/>
              </w:rPr>
            </w:pPr>
            <w:r w:rsidRPr="00BF1EF3">
              <w:rPr>
                <w:color w:val="000000"/>
                <w:sz w:val="20"/>
                <w:szCs w:val="20"/>
              </w:rPr>
              <w:t>q1xhrem</w:t>
            </w:r>
          </w:p>
        </w:tc>
        <w:tc>
          <w:tcPr>
            <w:tcW w:w="880" w:type="pct"/>
            <w:tcBorders>
              <w:top w:val="single" w:sz="4" w:space="0" w:color="auto"/>
              <w:left w:val="single" w:sz="4" w:space="0" w:color="auto"/>
              <w:bottom w:val="single" w:sz="4" w:space="0" w:color="auto"/>
              <w:right w:val="single" w:sz="4" w:space="0" w:color="auto"/>
            </w:tcBorders>
            <w:noWrap/>
          </w:tcPr>
          <w:p w14:paraId="48B995EB" w14:textId="77777777" w:rsidR="0039162D" w:rsidRPr="00BF1EF3" w:rsidRDefault="0039162D" w:rsidP="00FA5AFB">
            <w:pPr>
              <w:ind w:right="169"/>
              <w:jc w:val="right"/>
              <w:rPr>
                <w:color w:val="000000"/>
                <w:sz w:val="20"/>
                <w:szCs w:val="20"/>
              </w:rPr>
            </w:pPr>
          </w:p>
        </w:tc>
      </w:tr>
      <w:tr w:rsidR="0039162D" w:rsidRPr="00BF1EF3" w14:paraId="26A5A610"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681278E8" w14:textId="77777777" w:rsidR="0039162D" w:rsidRPr="00BF1EF3" w:rsidRDefault="0039162D" w:rsidP="00FA5AFB">
            <w:pPr>
              <w:rPr>
                <w:sz w:val="20"/>
                <w:szCs w:val="20"/>
              </w:rPr>
            </w:pPr>
            <w:r w:rsidRPr="00BF1EF3">
              <w:rPr>
                <w:sz w:val="20"/>
                <w:szCs w:val="20"/>
              </w:rPr>
              <w:t>Quintile 2 x hrem</w:t>
            </w:r>
          </w:p>
        </w:tc>
        <w:tc>
          <w:tcPr>
            <w:tcW w:w="810" w:type="pct"/>
            <w:tcBorders>
              <w:top w:val="single" w:sz="4" w:space="0" w:color="auto"/>
              <w:left w:val="single" w:sz="4" w:space="0" w:color="auto"/>
              <w:bottom w:val="single" w:sz="4" w:space="0" w:color="auto"/>
              <w:right w:val="single" w:sz="4" w:space="0" w:color="auto"/>
            </w:tcBorders>
          </w:tcPr>
          <w:p w14:paraId="27B538F8" w14:textId="77777777" w:rsidR="0039162D" w:rsidRPr="00BF1EF3" w:rsidRDefault="0039162D" w:rsidP="00FA5AFB">
            <w:pPr>
              <w:rPr>
                <w:color w:val="000000"/>
                <w:sz w:val="20"/>
                <w:szCs w:val="20"/>
              </w:rPr>
            </w:pPr>
            <w:r w:rsidRPr="00BF1EF3">
              <w:rPr>
                <w:color w:val="000000"/>
                <w:sz w:val="20"/>
                <w:szCs w:val="20"/>
              </w:rPr>
              <w:t>q2xhrem</w:t>
            </w:r>
          </w:p>
        </w:tc>
        <w:tc>
          <w:tcPr>
            <w:tcW w:w="880" w:type="pct"/>
            <w:tcBorders>
              <w:top w:val="single" w:sz="4" w:space="0" w:color="auto"/>
              <w:left w:val="single" w:sz="4" w:space="0" w:color="auto"/>
              <w:bottom w:val="single" w:sz="4" w:space="0" w:color="auto"/>
              <w:right w:val="single" w:sz="4" w:space="0" w:color="auto"/>
            </w:tcBorders>
            <w:noWrap/>
          </w:tcPr>
          <w:p w14:paraId="6E575004" w14:textId="77777777" w:rsidR="0039162D" w:rsidRPr="00BF1EF3" w:rsidRDefault="0039162D" w:rsidP="00FA5AFB">
            <w:pPr>
              <w:ind w:right="169"/>
              <w:jc w:val="right"/>
              <w:rPr>
                <w:color w:val="000000"/>
                <w:sz w:val="20"/>
                <w:szCs w:val="20"/>
              </w:rPr>
            </w:pPr>
            <w:r>
              <w:rPr>
                <w:color w:val="000000"/>
                <w:sz w:val="20"/>
                <w:szCs w:val="20"/>
              </w:rPr>
              <w:t>-</w:t>
            </w:r>
            <w:r w:rsidRPr="00BF1EF3">
              <w:rPr>
                <w:color w:val="000000"/>
                <w:sz w:val="20"/>
                <w:szCs w:val="20"/>
              </w:rPr>
              <w:t>0.</w:t>
            </w:r>
            <w:r>
              <w:rPr>
                <w:color w:val="000000"/>
                <w:sz w:val="20"/>
                <w:szCs w:val="20"/>
              </w:rPr>
              <w:t>454</w:t>
            </w:r>
          </w:p>
        </w:tc>
      </w:tr>
      <w:tr w:rsidR="0039162D" w:rsidRPr="00BF1EF3" w14:paraId="62FA5758"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3BE069FC" w14:textId="77777777" w:rsidR="0039162D" w:rsidRPr="00BF1EF3" w:rsidRDefault="0039162D" w:rsidP="00FA5AFB">
            <w:pPr>
              <w:rPr>
                <w:sz w:val="20"/>
                <w:szCs w:val="20"/>
              </w:rPr>
            </w:pPr>
            <w:r w:rsidRPr="00BF1EF3">
              <w:rPr>
                <w:sz w:val="20"/>
                <w:szCs w:val="20"/>
              </w:rPr>
              <w:t>Quintile 3 x hrem</w:t>
            </w:r>
          </w:p>
        </w:tc>
        <w:tc>
          <w:tcPr>
            <w:tcW w:w="810" w:type="pct"/>
            <w:tcBorders>
              <w:top w:val="single" w:sz="4" w:space="0" w:color="auto"/>
              <w:left w:val="single" w:sz="4" w:space="0" w:color="auto"/>
              <w:bottom w:val="single" w:sz="4" w:space="0" w:color="auto"/>
              <w:right w:val="single" w:sz="4" w:space="0" w:color="auto"/>
            </w:tcBorders>
          </w:tcPr>
          <w:p w14:paraId="2B4ECEE7" w14:textId="77777777" w:rsidR="0039162D" w:rsidRPr="00BF1EF3" w:rsidRDefault="0039162D" w:rsidP="00FA5AFB">
            <w:pPr>
              <w:rPr>
                <w:color w:val="000000"/>
                <w:sz w:val="20"/>
                <w:szCs w:val="20"/>
              </w:rPr>
            </w:pPr>
            <w:r w:rsidRPr="00BF1EF3">
              <w:rPr>
                <w:color w:val="000000"/>
                <w:sz w:val="20"/>
                <w:szCs w:val="20"/>
              </w:rPr>
              <w:t>q3xhrem</w:t>
            </w:r>
          </w:p>
        </w:tc>
        <w:tc>
          <w:tcPr>
            <w:tcW w:w="880" w:type="pct"/>
            <w:tcBorders>
              <w:top w:val="single" w:sz="4" w:space="0" w:color="auto"/>
              <w:left w:val="single" w:sz="4" w:space="0" w:color="auto"/>
              <w:bottom w:val="single" w:sz="4" w:space="0" w:color="auto"/>
              <w:right w:val="single" w:sz="4" w:space="0" w:color="auto"/>
            </w:tcBorders>
            <w:noWrap/>
          </w:tcPr>
          <w:p w14:paraId="09642C0B" w14:textId="77777777" w:rsidR="0039162D" w:rsidRPr="00BF1EF3" w:rsidRDefault="0039162D" w:rsidP="00FA5AFB">
            <w:pPr>
              <w:ind w:right="169"/>
              <w:jc w:val="right"/>
              <w:rPr>
                <w:color w:val="000000"/>
                <w:sz w:val="20"/>
                <w:szCs w:val="20"/>
              </w:rPr>
            </w:pPr>
            <w:r>
              <w:rPr>
                <w:color w:val="000000"/>
                <w:sz w:val="20"/>
                <w:szCs w:val="20"/>
              </w:rPr>
              <w:t>-0.163</w:t>
            </w:r>
          </w:p>
        </w:tc>
      </w:tr>
      <w:tr w:rsidR="0039162D" w:rsidRPr="00BF1EF3" w14:paraId="106CCDB6"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38F5B165" w14:textId="77777777" w:rsidR="0039162D" w:rsidRPr="00BF1EF3" w:rsidRDefault="0039162D" w:rsidP="00FA5AFB">
            <w:pPr>
              <w:rPr>
                <w:sz w:val="20"/>
                <w:szCs w:val="20"/>
              </w:rPr>
            </w:pPr>
            <w:r w:rsidRPr="00BF1EF3">
              <w:rPr>
                <w:sz w:val="20"/>
                <w:szCs w:val="20"/>
              </w:rPr>
              <w:t>Quintile 4 x hrem</w:t>
            </w:r>
          </w:p>
        </w:tc>
        <w:tc>
          <w:tcPr>
            <w:tcW w:w="810" w:type="pct"/>
            <w:tcBorders>
              <w:top w:val="single" w:sz="4" w:space="0" w:color="auto"/>
              <w:left w:val="single" w:sz="4" w:space="0" w:color="auto"/>
              <w:bottom w:val="single" w:sz="4" w:space="0" w:color="auto"/>
              <w:right w:val="single" w:sz="4" w:space="0" w:color="auto"/>
            </w:tcBorders>
          </w:tcPr>
          <w:p w14:paraId="44A35525" w14:textId="77777777" w:rsidR="0039162D" w:rsidRPr="00BF1EF3" w:rsidRDefault="0039162D" w:rsidP="00FA5AFB">
            <w:pPr>
              <w:rPr>
                <w:color w:val="000000"/>
                <w:sz w:val="20"/>
                <w:szCs w:val="20"/>
              </w:rPr>
            </w:pPr>
            <w:r w:rsidRPr="00BF1EF3">
              <w:rPr>
                <w:color w:val="000000"/>
                <w:sz w:val="20"/>
                <w:szCs w:val="20"/>
              </w:rPr>
              <w:t>q4xhrem</w:t>
            </w:r>
          </w:p>
        </w:tc>
        <w:tc>
          <w:tcPr>
            <w:tcW w:w="880" w:type="pct"/>
            <w:tcBorders>
              <w:top w:val="single" w:sz="4" w:space="0" w:color="auto"/>
              <w:left w:val="single" w:sz="4" w:space="0" w:color="auto"/>
              <w:bottom w:val="single" w:sz="4" w:space="0" w:color="auto"/>
              <w:right w:val="single" w:sz="4" w:space="0" w:color="auto"/>
            </w:tcBorders>
            <w:noWrap/>
          </w:tcPr>
          <w:p w14:paraId="49064408" w14:textId="77777777" w:rsidR="0039162D" w:rsidRPr="00BF1EF3" w:rsidRDefault="0039162D" w:rsidP="00FA5AFB">
            <w:pPr>
              <w:ind w:right="169"/>
              <w:jc w:val="right"/>
              <w:rPr>
                <w:color w:val="000000"/>
                <w:sz w:val="20"/>
                <w:szCs w:val="20"/>
              </w:rPr>
            </w:pPr>
            <w:r>
              <w:rPr>
                <w:color w:val="000000"/>
                <w:sz w:val="20"/>
                <w:szCs w:val="20"/>
              </w:rPr>
              <w:t>0.687</w:t>
            </w:r>
          </w:p>
        </w:tc>
      </w:tr>
      <w:tr w:rsidR="0039162D" w:rsidRPr="00BF1EF3" w14:paraId="24BC0E78"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391C7AB0" w14:textId="77777777" w:rsidR="0039162D" w:rsidRPr="00BF1EF3" w:rsidRDefault="0039162D" w:rsidP="00FA5AFB">
            <w:pPr>
              <w:rPr>
                <w:sz w:val="20"/>
                <w:szCs w:val="20"/>
              </w:rPr>
            </w:pPr>
            <w:r w:rsidRPr="00BF1EF3">
              <w:rPr>
                <w:sz w:val="20"/>
                <w:szCs w:val="20"/>
              </w:rPr>
              <w:t>Quintile 5 x hrem</w:t>
            </w:r>
          </w:p>
        </w:tc>
        <w:tc>
          <w:tcPr>
            <w:tcW w:w="810" w:type="pct"/>
            <w:tcBorders>
              <w:top w:val="single" w:sz="4" w:space="0" w:color="auto"/>
              <w:left w:val="single" w:sz="4" w:space="0" w:color="auto"/>
              <w:bottom w:val="single" w:sz="4" w:space="0" w:color="auto"/>
              <w:right w:val="single" w:sz="4" w:space="0" w:color="auto"/>
            </w:tcBorders>
          </w:tcPr>
          <w:p w14:paraId="149B74ED" w14:textId="77777777" w:rsidR="0039162D" w:rsidRPr="00BF1EF3" w:rsidRDefault="0039162D" w:rsidP="00FA5AFB">
            <w:pPr>
              <w:rPr>
                <w:color w:val="000000"/>
                <w:sz w:val="20"/>
                <w:szCs w:val="20"/>
              </w:rPr>
            </w:pPr>
            <w:r w:rsidRPr="00BF1EF3">
              <w:rPr>
                <w:color w:val="000000"/>
                <w:sz w:val="20"/>
                <w:szCs w:val="20"/>
              </w:rPr>
              <w:t>q5xhrem</w:t>
            </w:r>
          </w:p>
        </w:tc>
        <w:tc>
          <w:tcPr>
            <w:tcW w:w="880" w:type="pct"/>
            <w:tcBorders>
              <w:top w:val="single" w:sz="4" w:space="0" w:color="auto"/>
              <w:left w:val="single" w:sz="4" w:space="0" w:color="auto"/>
              <w:bottom w:val="single" w:sz="4" w:space="0" w:color="auto"/>
              <w:right w:val="single" w:sz="4" w:space="0" w:color="auto"/>
            </w:tcBorders>
            <w:noWrap/>
          </w:tcPr>
          <w:p w14:paraId="2AE16A69" w14:textId="77777777" w:rsidR="0039162D" w:rsidRPr="00BF1EF3" w:rsidRDefault="0039162D" w:rsidP="00FA5AFB">
            <w:pPr>
              <w:ind w:right="169"/>
              <w:jc w:val="right"/>
              <w:rPr>
                <w:color w:val="000000"/>
                <w:sz w:val="20"/>
                <w:szCs w:val="20"/>
              </w:rPr>
            </w:pPr>
            <w:r>
              <w:rPr>
                <w:color w:val="000000"/>
                <w:sz w:val="20"/>
                <w:szCs w:val="20"/>
              </w:rPr>
              <w:t>1.227</w:t>
            </w:r>
          </w:p>
        </w:tc>
      </w:tr>
      <w:tr w:rsidR="0039162D" w:rsidRPr="00BF1EF3" w14:paraId="1F3F6F92"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5D83E0A4" w14:textId="77777777" w:rsidR="0039162D" w:rsidRPr="00BF1EF3" w:rsidRDefault="0039162D" w:rsidP="00FA5AFB">
            <w:pPr>
              <w:rPr>
                <w:sz w:val="20"/>
                <w:szCs w:val="20"/>
              </w:rPr>
            </w:pPr>
          </w:p>
        </w:tc>
        <w:tc>
          <w:tcPr>
            <w:tcW w:w="810" w:type="pct"/>
            <w:tcBorders>
              <w:top w:val="single" w:sz="4" w:space="0" w:color="auto"/>
              <w:left w:val="single" w:sz="4" w:space="0" w:color="auto"/>
              <w:bottom w:val="single" w:sz="4" w:space="0" w:color="auto"/>
              <w:right w:val="single" w:sz="4" w:space="0" w:color="auto"/>
            </w:tcBorders>
          </w:tcPr>
          <w:p w14:paraId="274DE59F"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726EC9C5" w14:textId="77777777" w:rsidR="0039162D" w:rsidRPr="00BF1EF3" w:rsidRDefault="0039162D" w:rsidP="00FA5AFB">
            <w:pPr>
              <w:ind w:right="169"/>
              <w:jc w:val="right"/>
              <w:rPr>
                <w:color w:val="000000"/>
                <w:sz w:val="20"/>
                <w:szCs w:val="20"/>
              </w:rPr>
            </w:pPr>
          </w:p>
        </w:tc>
      </w:tr>
      <w:tr w:rsidR="0039162D" w:rsidRPr="00BF1EF3" w14:paraId="01187997"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5FA8082F" w14:textId="77777777" w:rsidR="0039162D" w:rsidRPr="00BF1EF3" w:rsidRDefault="0039162D" w:rsidP="00FA5AFB">
            <w:pPr>
              <w:rPr>
                <w:sz w:val="20"/>
                <w:szCs w:val="20"/>
              </w:rPr>
            </w:pPr>
            <w:r w:rsidRPr="00BF1EF3">
              <w:rPr>
                <w:sz w:val="20"/>
                <w:szCs w:val="20"/>
              </w:rPr>
              <w:t>Number of observations</w:t>
            </w:r>
          </w:p>
        </w:tc>
        <w:tc>
          <w:tcPr>
            <w:tcW w:w="810" w:type="pct"/>
            <w:tcBorders>
              <w:top w:val="single" w:sz="4" w:space="0" w:color="auto"/>
              <w:left w:val="single" w:sz="4" w:space="0" w:color="auto"/>
              <w:bottom w:val="single" w:sz="4" w:space="0" w:color="auto"/>
              <w:right w:val="single" w:sz="4" w:space="0" w:color="auto"/>
            </w:tcBorders>
          </w:tcPr>
          <w:p w14:paraId="4C4ECC3D"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05FE1FD9" w14:textId="77777777" w:rsidR="0039162D" w:rsidRPr="00BF1EF3" w:rsidRDefault="0039162D" w:rsidP="00FA5AFB">
            <w:pPr>
              <w:ind w:right="169"/>
              <w:jc w:val="right"/>
              <w:rPr>
                <w:color w:val="000000"/>
                <w:sz w:val="20"/>
                <w:szCs w:val="20"/>
              </w:rPr>
            </w:pPr>
            <w:r w:rsidRPr="00BF1EF3">
              <w:rPr>
                <w:color w:val="000000"/>
                <w:sz w:val="20"/>
                <w:szCs w:val="20"/>
              </w:rPr>
              <w:t>1,</w:t>
            </w:r>
            <w:r>
              <w:rPr>
                <w:color w:val="000000"/>
                <w:sz w:val="20"/>
                <w:szCs w:val="20"/>
              </w:rPr>
              <w:t>070</w:t>
            </w:r>
          </w:p>
        </w:tc>
      </w:tr>
      <w:tr w:rsidR="0039162D" w:rsidRPr="00BF1EF3" w14:paraId="4193A5E5"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22FD3A59" w14:textId="77777777" w:rsidR="0039162D" w:rsidRPr="00BF1EF3" w:rsidRDefault="0039162D" w:rsidP="00FA5AFB">
            <w:pPr>
              <w:rPr>
                <w:sz w:val="20"/>
                <w:szCs w:val="20"/>
              </w:rPr>
            </w:pPr>
            <w:r w:rsidRPr="00BF1EF3">
              <w:rPr>
                <w:sz w:val="20"/>
                <w:szCs w:val="20"/>
              </w:rPr>
              <w:t>Pseudo R</w:t>
            </w:r>
            <w:r w:rsidRPr="00BF1EF3">
              <w:rPr>
                <w:sz w:val="20"/>
                <w:szCs w:val="20"/>
                <w:vertAlign w:val="superscript"/>
              </w:rPr>
              <w:t>2</w:t>
            </w:r>
          </w:p>
        </w:tc>
        <w:tc>
          <w:tcPr>
            <w:tcW w:w="810" w:type="pct"/>
            <w:tcBorders>
              <w:top w:val="single" w:sz="4" w:space="0" w:color="auto"/>
              <w:left w:val="single" w:sz="4" w:space="0" w:color="auto"/>
              <w:bottom w:val="single" w:sz="4" w:space="0" w:color="auto"/>
              <w:right w:val="single" w:sz="4" w:space="0" w:color="auto"/>
            </w:tcBorders>
          </w:tcPr>
          <w:p w14:paraId="67B42D6A"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063F32FC" w14:textId="77777777" w:rsidR="0039162D" w:rsidRPr="00BF1EF3" w:rsidRDefault="0039162D" w:rsidP="00FA5AFB">
            <w:pPr>
              <w:ind w:right="169"/>
              <w:jc w:val="right"/>
              <w:rPr>
                <w:color w:val="000000"/>
                <w:sz w:val="20"/>
                <w:szCs w:val="20"/>
              </w:rPr>
            </w:pPr>
            <w:r w:rsidRPr="00BF1EF3">
              <w:rPr>
                <w:color w:val="000000"/>
                <w:sz w:val="20"/>
                <w:szCs w:val="20"/>
              </w:rPr>
              <w:t>0.4</w:t>
            </w:r>
            <w:r>
              <w:rPr>
                <w:color w:val="000000"/>
                <w:sz w:val="20"/>
                <w:szCs w:val="20"/>
              </w:rPr>
              <w:t>12</w:t>
            </w:r>
          </w:p>
        </w:tc>
      </w:tr>
      <w:tr w:rsidR="0039162D" w:rsidRPr="00BF1EF3" w14:paraId="723ADD94"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58500C72" w14:textId="77777777" w:rsidR="0039162D" w:rsidRPr="00BF1EF3" w:rsidRDefault="0039162D" w:rsidP="00FA5AFB">
            <w:pPr>
              <w:rPr>
                <w:sz w:val="20"/>
                <w:szCs w:val="20"/>
              </w:rPr>
            </w:pPr>
            <w:r w:rsidRPr="00BF1EF3">
              <w:rPr>
                <w:sz w:val="20"/>
                <w:szCs w:val="20"/>
              </w:rPr>
              <w:t>Pearson chi2(1130)</w:t>
            </w:r>
          </w:p>
        </w:tc>
        <w:tc>
          <w:tcPr>
            <w:tcW w:w="810" w:type="pct"/>
            <w:tcBorders>
              <w:top w:val="single" w:sz="4" w:space="0" w:color="auto"/>
              <w:left w:val="single" w:sz="4" w:space="0" w:color="auto"/>
              <w:bottom w:val="single" w:sz="4" w:space="0" w:color="auto"/>
              <w:right w:val="single" w:sz="4" w:space="0" w:color="auto"/>
            </w:tcBorders>
          </w:tcPr>
          <w:p w14:paraId="11FA4B7B"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4A2E6DE6" w14:textId="77777777" w:rsidR="0039162D" w:rsidRPr="00BF1EF3" w:rsidRDefault="0039162D" w:rsidP="00FA5AFB">
            <w:pPr>
              <w:ind w:right="169"/>
              <w:jc w:val="right"/>
              <w:rPr>
                <w:color w:val="000000"/>
                <w:sz w:val="20"/>
                <w:szCs w:val="20"/>
              </w:rPr>
            </w:pPr>
            <w:r>
              <w:rPr>
                <w:color w:val="000000"/>
                <w:sz w:val="20"/>
                <w:szCs w:val="20"/>
              </w:rPr>
              <w:t>609.86</w:t>
            </w:r>
          </w:p>
        </w:tc>
      </w:tr>
      <w:tr w:rsidR="0039162D" w:rsidRPr="00BF1EF3" w14:paraId="0EB2DBF3"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57536C7A" w14:textId="77777777" w:rsidR="0039162D" w:rsidRPr="00BF1EF3" w:rsidRDefault="0039162D" w:rsidP="00FA5AFB">
            <w:pPr>
              <w:rPr>
                <w:sz w:val="20"/>
                <w:szCs w:val="20"/>
              </w:rPr>
            </w:pPr>
            <w:r w:rsidRPr="00BF1EF3">
              <w:rPr>
                <w:sz w:val="20"/>
                <w:szCs w:val="20"/>
              </w:rPr>
              <w:t>Prob&gt;chi</w:t>
            </w:r>
            <w:r w:rsidRPr="00BF1EF3">
              <w:rPr>
                <w:sz w:val="20"/>
                <w:szCs w:val="20"/>
                <w:vertAlign w:val="superscript"/>
              </w:rPr>
              <w:t>2</w:t>
            </w:r>
          </w:p>
        </w:tc>
        <w:tc>
          <w:tcPr>
            <w:tcW w:w="810" w:type="pct"/>
            <w:tcBorders>
              <w:top w:val="single" w:sz="4" w:space="0" w:color="auto"/>
              <w:left w:val="single" w:sz="4" w:space="0" w:color="auto"/>
              <w:bottom w:val="single" w:sz="4" w:space="0" w:color="auto"/>
              <w:right w:val="single" w:sz="4" w:space="0" w:color="auto"/>
            </w:tcBorders>
          </w:tcPr>
          <w:p w14:paraId="36756BF2"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51BB04C5" w14:textId="77777777" w:rsidR="0039162D" w:rsidRPr="00BF1EF3" w:rsidRDefault="0039162D" w:rsidP="00FA5AFB">
            <w:pPr>
              <w:ind w:right="169"/>
              <w:jc w:val="right"/>
              <w:rPr>
                <w:color w:val="000000"/>
                <w:sz w:val="20"/>
                <w:szCs w:val="20"/>
              </w:rPr>
            </w:pPr>
            <w:r w:rsidRPr="00BF1EF3">
              <w:rPr>
                <w:color w:val="000000"/>
                <w:sz w:val="20"/>
                <w:szCs w:val="20"/>
              </w:rPr>
              <w:t>0.000</w:t>
            </w:r>
          </w:p>
        </w:tc>
      </w:tr>
      <w:tr w:rsidR="0039162D" w:rsidRPr="00BF1EF3" w14:paraId="6804868A" w14:textId="77777777" w:rsidTr="00FA5AFB">
        <w:trPr>
          <w:trHeight w:val="300"/>
        </w:trPr>
        <w:tc>
          <w:tcPr>
            <w:tcW w:w="3310" w:type="pct"/>
            <w:tcBorders>
              <w:top w:val="single" w:sz="4" w:space="0" w:color="auto"/>
              <w:left w:val="single" w:sz="4" w:space="0" w:color="auto"/>
              <w:bottom w:val="single" w:sz="4" w:space="0" w:color="auto"/>
              <w:right w:val="single" w:sz="4" w:space="0" w:color="auto"/>
            </w:tcBorders>
          </w:tcPr>
          <w:p w14:paraId="7EACBFB5" w14:textId="77777777" w:rsidR="0039162D" w:rsidRPr="00BF1EF3" w:rsidRDefault="0039162D" w:rsidP="00FA5AFB">
            <w:pPr>
              <w:rPr>
                <w:sz w:val="20"/>
                <w:szCs w:val="20"/>
              </w:rPr>
            </w:pPr>
            <w:r w:rsidRPr="00BF1EF3">
              <w:rPr>
                <w:sz w:val="20"/>
                <w:szCs w:val="20"/>
              </w:rPr>
              <w:t>Correctly classified (%)</w:t>
            </w:r>
          </w:p>
        </w:tc>
        <w:tc>
          <w:tcPr>
            <w:tcW w:w="810" w:type="pct"/>
            <w:tcBorders>
              <w:top w:val="single" w:sz="4" w:space="0" w:color="auto"/>
              <w:left w:val="single" w:sz="4" w:space="0" w:color="auto"/>
              <w:bottom w:val="single" w:sz="4" w:space="0" w:color="auto"/>
              <w:right w:val="single" w:sz="4" w:space="0" w:color="auto"/>
            </w:tcBorders>
          </w:tcPr>
          <w:p w14:paraId="44437911" w14:textId="77777777" w:rsidR="0039162D" w:rsidRPr="00BF1EF3" w:rsidRDefault="0039162D" w:rsidP="00FA5AFB">
            <w:pPr>
              <w:rPr>
                <w:color w:val="000000"/>
                <w:sz w:val="20"/>
                <w:szCs w:val="20"/>
              </w:rPr>
            </w:pPr>
          </w:p>
        </w:tc>
        <w:tc>
          <w:tcPr>
            <w:tcW w:w="880" w:type="pct"/>
            <w:tcBorders>
              <w:top w:val="single" w:sz="4" w:space="0" w:color="auto"/>
              <w:left w:val="single" w:sz="4" w:space="0" w:color="auto"/>
              <w:bottom w:val="single" w:sz="4" w:space="0" w:color="auto"/>
              <w:right w:val="single" w:sz="4" w:space="0" w:color="auto"/>
            </w:tcBorders>
            <w:noWrap/>
          </w:tcPr>
          <w:p w14:paraId="6B8853D2" w14:textId="77777777" w:rsidR="0039162D" w:rsidRPr="00BF1EF3" w:rsidRDefault="0039162D" w:rsidP="00FA5AFB">
            <w:pPr>
              <w:ind w:right="169"/>
              <w:jc w:val="right"/>
              <w:rPr>
                <w:color w:val="000000"/>
                <w:sz w:val="20"/>
                <w:szCs w:val="20"/>
              </w:rPr>
            </w:pPr>
            <w:r>
              <w:rPr>
                <w:color w:val="000000"/>
                <w:sz w:val="20"/>
                <w:szCs w:val="20"/>
              </w:rPr>
              <w:t>82</w:t>
            </w:r>
            <w:r w:rsidRPr="00BF1EF3">
              <w:rPr>
                <w:color w:val="000000"/>
                <w:sz w:val="20"/>
                <w:szCs w:val="20"/>
              </w:rPr>
              <w:t>.</w:t>
            </w:r>
            <w:r>
              <w:rPr>
                <w:color w:val="000000"/>
                <w:sz w:val="20"/>
                <w:szCs w:val="20"/>
              </w:rPr>
              <w:t>0</w:t>
            </w:r>
            <w:r w:rsidRPr="00BF1EF3">
              <w:rPr>
                <w:color w:val="000000"/>
                <w:sz w:val="20"/>
                <w:szCs w:val="20"/>
              </w:rPr>
              <w:t>6</w:t>
            </w:r>
          </w:p>
        </w:tc>
      </w:tr>
    </w:tbl>
    <w:p w14:paraId="55A28985" w14:textId="77777777" w:rsidR="0039162D" w:rsidRPr="00BF1EF3" w:rsidRDefault="0039162D" w:rsidP="0098383E">
      <w:pPr>
        <w:spacing w:line="360" w:lineRule="auto"/>
        <w:jc w:val="both"/>
        <w:rPr>
          <w:i/>
          <w:sz w:val="22"/>
        </w:rPr>
      </w:pPr>
    </w:p>
    <w:p w14:paraId="4CD3EAC9" w14:textId="77777777" w:rsidR="0098383E" w:rsidRPr="008858CE" w:rsidRDefault="0098383E" w:rsidP="0098383E">
      <w:pPr>
        <w:spacing w:line="360" w:lineRule="auto"/>
        <w:jc w:val="both"/>
        <w:rPr>
          <w:sz w:val="22"/>
        </w:rPr>
      </w:pPr>
      <w:r w:rsidRPr="00BF1EF3">
        <w:rPr>
          <w:sz w:val="22"/>
        </w:rPr>
        <w:t>Source: Own calculations</w:t>
      </w:r>
    </w:p>
    <w:p w14:paraId="3CE3157F" w14:textId="77777777" w:rsidR="0098383E" w:rsidRDefault="0098383E" w:rsidP="0098383E">
      <w:pPr>
        <w:spacing w:line="360" w:lineRule="auto"/>
        <w:ind w:firstLine="709"/>
        <w:jc w:val="both"/>
      </w:pPr>
    </w:p>
    <w:p w14:paraId="174362A0" w14:textId="38454C0C" w:rsidR="0093762E" w:rsidRPr="004E7BEA" w:rsidRDefault="008D6DE0" w:rsidP="0098383E">
      <w:pPr>
        <w:spacing w:line="360" w:lineRule="auto"/>
        <w:ind w:firstLine="709"/>
        <w:jc w:val="both"/>
      </w:pPr>
      <w:r w:rsidRPr="009070D8">
        <w:t>T</w:t>
      </w:r>
      <w:r w:rsidR="00B01EEB">
        <w:t xml:space="preserve">he </w:t>
      </w:r>
      <w:r w:rsidRPr="009070D8">
        <w:t>main demographic factors influencing enrolment are the age of the child, gender and the economic situ</w:t>
      </w:r>
      <w:r w:rsidR="00D324F3" w:rsidRPr="009070D8">
        <w:t>ation of the household.</w:t>
      </w:r>
      <w:r w:rsidR="00767891" w:rsidRPr="009070D8">
        <w:t xml:space="preserve"> </w:t>
      </w:r>
      <w:r w:rsidR="00B01EEB">
        <w:t>Compared to children age</w:t>
      </w:r>
      <w:r w:rsidR="0098383E">
        <w:t>d</w:t>
      </w:r>
      <w:r w:rsidR="00B01EEB">
        <w:t xml:space="preserve"> 24 (the omitted category), children of secondary school age (16-18) are much more likely to be enrolled, while those of tertiary age (19-23) are equally likely to be enrolled</w:t>
      </w:r>
      <w:r w:rsidR="00100C86" w:rsidRPr="009070D8">
        <w:t>.</w:t>
      </w:r>
      <w:r w:rsidR="00D324F3" w:rsidRPr="009070D8">
        <w:t xml:space="preserve"> The posi</w:t>
      </w:r>
      <w:r w:rsidRPr="009070D8">
        <w:t>tive sign of the gender dummy</w:t>
      </w:r>
      <w:r w:rsidR="004E7BEA">
        <w:t xml:space="preserve"> (</w:t>
      </w:r>
      <w:r w:rsidR="004E7BEA" w:rsidRPr="004E7BEA">
        <w:rPr>
          <w:i/>
        </w:rPr>
        <w:t>female</w:t>
      </w:r>
      <w:r w:rsidR="004E7BEA">
        <w:t>)</w:t>
      </w:r>
      <w:r w:rsidRPr="009070D8">
        <w:t xml:space="preserve"> in the estimates from the survey</w:t>
      </w:r>
      <w:r w:rsidRPr="009070D8">
        <w:rPr>
          <w:i/>
        </w:rPr>
        <w:t xml:space="preserve"> </w:t>
      </w:r>
      <w:r w:rsidRPr="009070D8">
        <w:t xml:space="preserve">suggests that </w:t>
      </w:r>
      <w:r w:rsidR="004E7BEA">
        <w:t>girls</w:t>
      </w:r>
      <w:r w:rsidRPr="009070D8">
        <w:t xml:space="preserve"> are </w:t>
      </w:r>
      <w:r w:rsidR="004E7BEA">
        <w:t>more</w:t>
      </w:r>
      <w:r w:rsidRPr="009070D8">
        <w:t xml:space="preserve"> likely to be enrolled in school, </w:t>
      </w:r>
      <w:r w:rsidRPr="009070D8">
        <w:rPr>
          <w:i/>
        </w:rPr>
        <w:t>ceteris paribus</w:t>
      </w:r>
      <w:r w:rsidRPr="009070D8">
        <w:t xml:space="preserve">, than are </w:t>
      </w:r>
      <w:r w:rsidR="004E7BEA">
        <w:t>boys</w:t>
      </w:r>
      <w:r w:rsidRPr="009070D8">
        <w:t>. This is consistent with the fact that female persons from the sample (age 15 to 24) face much less favourable labour market conditions,</w:t>
      </w:r>
      <w:r w:rsidRPr="009070D8">
        <w:rPr>
          <w:rStyle w:val="EndnoteReference"/>
        </w:rPr>
        <w:endnoteReference w:id="31"/>
      </w:r>
      <w:r w:rsidRPr="009070D8">
        <w:t xml:space="preserve"> thus employment opportunities have less of a diverting influence on </w:t>
      </w:r>
      <w:r w:rsidR="00D324F3" w:rsidRPr="009070D8">
        <w:t xml:space="preserve">their enrolment choice. </w:t>
      </w:r>
      <w:r w:rsidR="00896FD1" w:rsidRPr="009070D8">
        <w:t>The p</w:t>
      </w:r>
      <w:r w:rsidR="00DA1EE0" w:rsidRPr="009070D8">
        <w:t>ositive effect</w:t>
      </w:r>
      <w:r w:rsidR="004E7BEA">
        <w:t>s</w:t>
      </w:r>
      <w:r w:rsidR="00DA1EE0" w:rsidRPr="009070D8">
        <w:t xml:space="preserve"> of parental education</w:t>
      </w:r>
      <w:r w:rsidR="004E7BEA">
        <w:t xml:space="preserve"> </w:t>
      </w:r>
      <w:r w:rsidR="00DA1EE0" w:rsidRPr="009070D8">
        <w:t>after primary level</w:t>
      </w:r>
      <w:r w:rsidR="004E7BEA">
        <w:t xml:space="preserve"> (estimated by the two variables </w:t>
      </w:r>
      <w:r w:rsidR="004E7BEA" w:rsidRPr="004E7BEA">
        <w:rPr>
          <w:i/>
        </w:rPr>
        <w:t>hhsec</w:t>
      </w:r>
      <w:r w:rsidR="004E7BEA">
        <w:t xml:space="preserve"> and </w:t>
      </w:r>
      <w:r w:rsidR="004E7BEA" w:rsidRPr="004E7BEA">
        <w:rPr>
          <w:i/>
        </w:rPr>
        <w:t>hhtert</w:t>
      </w:r>
      <w:r w:rsidR="004E7BEA">
        <w:t>) are</w:t>
      </w:r>
      <w:r w:rsidR="00DA1EE0" w:rsidRPr="009070D8">
        <w:t xml:space="preserve"> also in line with theoretical predictions and previous studies. </w:t>
      </w:r>
      <w:r w:rsidR="00896FD1" w:rsidRPr="009070D8">
        <w:t>The n</w:t>
      </w:r>
      <w:r w:rsidR="009B056D" w:rsidRPr="009070D8">
        <w:t xml:space="preserve">egative effect of a household’s size </w:t>
      </w:r>
      <w:r w:rsidR="004E7BEA">
        <w:t xml:space="preserve">on pupil enrolment </w:t>
      </w:r>
      <w:r w:rsidR="009B056D" w:rsidRPr="009070D8">
        <w:t xml:space="preserve">may capture the effect of </w:t>
      </w:r>
      <w:r w:rsidR="00710674" w:rsidRPr="009070D8">
        <w:t xml:space="preserve">intra-household allocation of income, where a child’s education competes with other needs. </w:t>
      </w:r>
      <w:r w:rsidR="004E7BEA">
        <w:t>In addition,</w:t>
      </w:r>
      <w:r w:rsidR="00F77911">
        <w:t xml:space="preserve"> residence in the capital city and owning a phone</w:t>
      </w:r>
      <w:r w:rsidR="004E7BEA">
        <w:t xml:space="preserve"> are also </w:t>
      </w:r>
      <w:r w:rsidR="00F77911">
        <w:t>statistically significant and</w:t>
      </w:r>
      <w:r w:rsidR="0098383E">
        <w:t xml:space="preserve"> positively associated with enr</w:t>
      </w:r>
      <w:r w:rsidR="00F77911">
        <w:t xml:space="preserve">olment. </w:t>
      </w:r>
      <w:r w:rsidR="004E7BEA">
        <w:t xml:space="preserve">The apparently perverse effect of house ownership on </w:t>
      </w:r>
      <w:r w:rsidR="004E7BEA">
        <w:lastRenderedPageBreak/>
        <w:t>enrolment may reflect the p</w:t>
      </w:r>
      <w:r w:rsidR="00F77911">
        <w:t>redominance of house owners in the</w:t>
      </w:r>
      <w:r w:rsidR="004E7BEA">
        <w:t xml:space="preserve"> sample (82%</w:t>
      </w:r>
      <w:r w:rsidR="00F77911">
        <w:t>), and – with the ex</w:t>
      </w:r>
      <w:r w:rsidR="0098383E">
        <w:t>cept</w:t>
      </w:r>
      <w:r w:rsidR="00F77911">
        <w:t xml:space="preserve">ion of quintile 5 (97%) </w:t>
      </w:r>
      <w:r w:rsidR="0098383E">
        <w:t>–</w:t>
      </w:r>
      <w:r w:rsidR="00F77911">
        <w:t xml:space="preserve"> their relatively equal distribution across income quintiles (Q1 – 78%, Q2 – 72%, Q3 – 76%, Q4 – 86%). </w:t>
      </w:r>
    </w:p>
    <w:p w14:paraId="37707198" w14:textId="68BB833B" w:rsidR="00F103CB" w:rsidRPr="005D32C6" w:rsidRDefault="00F103CB" w:rsidP="0098383E">
      <w:pPr>
        <w:spacing w:line="360" w:lineRule="auto"/>
        <w:ind w:firstLine="709"/>
        <w:jc w:val="both"/>
      </w:pPr>
      <w:r w:rsidRPr="00F103CB">
        <w:t xml:space="preserve">The estimated coefficients from </w:t>
      </w:r>
      <w:r w:rsidR="0098383E">
        <w:t xml:space="preserve">the </w:t>
      </w:r>
      <w:r w:rsidRPr="00F103CB">
        <w:t xml:space="preserve">probit regression do not have any intuitively appealing quantitative interpretation. For the control variables discussed above, it is sufficient to comment on their qualitative effect. Conversely, for our variables of interest we need to provide </w:t>
      </w:r>
      <w:r w:rsidR="0098383E">
        <w:t xml:space="preserve">some </w:t>
      </w:r>
      <w:r w:rsidRPr="00F103CB">
        <w:t xml:space="preserve">quantitative interpretation. In other words, we need to know not just whether our estimates are statistically significant and of one or other sign, but also whether they reveal practically </w:t>
      </w:r>
      <w:r w:rsidR="0098383E">
        <w:t xml:space="preserve">and logically </w:t>
      </w:r>
      <w:r w:rsidRPr="00F103CB">
        <w:t>significant effects. To this end, for households in each income quintile we compare the marginal effects of receiving remittances compared to not receiving remittances.</w:t>
      </w:r>
      <w:r>
        <w:rPr>
          <w:rStyle w:val="EndnoteReference"/>
        </w:rPr>
        <w:endnoteReference w:id="32"/>
      </w:r>
      <w:r w:rsidRPr="00F103CB">
        <w:t xml:space="preserve"> Figure 1 reports these comparisons, which are given in terms of the probabilities of enrolment (e.g. an estimate of +0.2 is to be interpreted as a remittances effect increasing the pr</w:t>
      </w:r>
      <w:r>
        <w:t>obability of enrolment by 20%).</w:t>
      </w:r>
      <w:r w:rsidRPr="00F103CB">
        <w:t xml:space="preserve">  </w:t>
      </w:r>
    </w:p>
    <w:p w14:paraId="00A6DEB1" w14:textId="77777777" w:rsidR="00BA13BD" w:rsidRDefault="00BA13BD" w:rsidP="00896FD1">
      <w:pPr>
        <w:spacing w:line="360" w:lineRule="auto"/>
        <w:jc w:val="both"/>
      </w:pPr>
    </w:p>
    <w:p w14:paraId="2F8B7543" w14:textId="77A39B46" w:rsidR="00D62310" w:rsidRPr="00B00D2D" w:rsidRDefault="00D62310" w:rsidP="00896FD1">
      <w:pPr>
        <w:spacing w:line="360" w:lineRule="auto"/>
        <w:jc w:val="both"/>
      </w:pPr>
      <w:r>
        <w:t>Figure 1. Difference in the m</w:t>
      </w:r>
      <w:r w:rsidRPr="00F103CB">
        <w:t xml:space="preserve">arginal effects </w:t>
      </w:r>
      <w:r>
        <w:t>of</w:t>
      </w:r>
      <w:r w:rsidRPr="00F103CB">
        <w:t xml:space="preserve"> receiving remittances compared to </w:t>
      </w:r>
      <w:r>
        <w:t>m</w:t>
      </w:r>
      <w:r w:rsidRPr="00F103CB">
        <w:t xml:space="preserve">arginal effects </w:t>
      </w:r>
      <w:r>
        <w:t xml:space="preserve">of </w:t>
      </w:r>
      <w:r w:rsidRPr="00F103CB">
        <w:t>not receiving remittances</w:t>
      </w:r>
    </w:p>
    <w:p w14:paraId="50EECB4C" w14:textId="58438BEA" w:rsidR="005D32C6" w:rsidRDefault="00B00D2D" w:rsidP="00896FD1">
      <w:pPr>
        <w:spacing w:line="360" w:lineRule="auto"/>
        <w:jc w:val="both"/>
      </w:pPr>
      <w:r w:rsidRPr="00B00D2D">
        <w:rPr>
          <w:noProof/>
          <w:lang w:eastAsia="en-GB"/>
        </w:rPr>
        <w:drawing>
          <wp:inline distT="0" distB="0" distL="0" distR="0" wp14:anchorId="325B6ECC" wp14:editId="78B649F8">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3657600"/>
                    </a:xfrm>
                    <a:prstGeom prst="rect">
                      <a:avLst/>
                    </a:prstGeom>
                  </pic:spPr>
                </pic:pic>
              </a:graphicData>
            </a:graphic>
          </wp:inline>
        </w:drawing>
      </w:r>
    </w:p>
    <w:p w14:paraId="10192FA9" w14:textId="77777777" w:rsidR="005D32C6" w:rsidRDefault="005D32C6" w:rsidP="00896FD1">
      <w:pPr>
        <w:spacing w:line="360" w:lineRule="auto"/>
        <w:jc w:val="both"/>
      </w:pPr>
    </w:p>
    <w:p w14:paraId="1DA2487D" w14:textId="18DF6274" w:rsidR="00D62310" w:rsidRDefault="00D62310" w:rsidP="0098383E">
      <w:pPr>
        <w:spacing w:line="360" w:lineRule="auto"/>
        <w:ind w:firstLine="709"/>
        <w:jc w:val="both"/>
      </w:pPr>
      <w:r>
        <w:t>Figure 1 shows that, as we hypothesi</w:t>
      </w:r>
      <w:r w:rsidR="0098383E">
        <w:t>z</w:t>
      </w:r>
      <w:r>
        <w:t xml:space="preserve">ed, at the lower income quintiles (1, 2 and 3) there is no enrolment effect of remittances; not only are the estimated differences tiny, but each of them lack statistical significance (in each case, confidence intervals are almost symmetric around zero). In </w:t>
      </w:r>
      <w:r>
        <w:lastRenderedPageBreak/>
        <w:t xml:space="preserve">contrast, households receiving remittances in income quintile 4 are 18% more likely to </w:t>
      </w:r>
      <w:r w:rsidR="001743CB">
        <w:t>enrol their children in education (p=0.063, i.e. borderline at the conventional 5% level of significance). Likewise, consistent with our hypothesi</w:t>
      </w:r>
      <w:r w:rsidR="00975B29">
        <w:t>z</w:t>
      </w:r>
      <w:r w:rsidR="001743CB">
        <w:t xml:space="preserve">ed effects, </w:t>
      </w:r>
      <w:r w:rsidR="007D421F">
        <w:t xml:space="preserve">the evidence for </w:t>
      </w:r>
      <w:r w:rsidR="00975B29">
        <w:t xml:space="preserve">a </w:t>
      </w:r>
      <w:r w:rsidR="00BE2391">
        <w:t>remittance effect in the highest income quintile</w:t>
      </w:r>
      <w:r w:rsidR="007D421F">
        <w:t xml:space="preserve"> is </w:t>
      </w:r>
      <w:r w:rsidR="001743CB">
        <w:t>statistically weaker (p=0.120, i.e. somewhat beyond the conventionally acceptable threshold for statistical significance)</w:t>
      </w:r>
      <w:r w:rsidR="00BE2391">
        <w:t xml:space="preserve"> which</w:t>
      </w:r>
      <w:r w:rsidR="00975B29">
        <w:t>,</w:t>
      </w:r>
      <w:r w:rsidR="00BE2391">
        <w:t xml:space="preserve"> </w:t>
      </w:r>
      <w:r w:rsidR="00975B29">
        <w:t xml:space="preserve">if </w:t>
      </w:r>
      <w:r w:rsidR="00BE2391">
        <w:t>interpreted strictly</w:t>
      </w:r>
      <w:r w:rsidR="00975B29">
        <w:t>,</w:t>
      </w:r>
      <w:r w:rsidR="00BE2391">
        <w:t xml:space="preserve"> indicates that the effect is not significantly different from zero.</w:t>
      </w:r>
    </w:p>
    <w:p w14:paraId="316886EE" w14:textId="0E33AAC4" w:rsidR="001743CB" w:rsidRPr="001743CB" w:rsidRDefault="00BE2391" w:rsidP="00975B29">
      <w:pPr>
        <w:spacing w:line="360" w:lineRule="auto"/>
        <w:ind w:firstLine="709"/>
        <w:jc w:val="both"/>
      </w:pPr>
      <w:r w:rsidRPr="00BE2391">
        <w:t>Of course, the statistical significance of econometric est</w:t>
      </w:r>
      <w:r w:rsidR="00975B29">
        <w:t>im</w:t>
      </w:r>
      <w:r w:rsidRPr="00BE2391">
        <w:t>ates is to be interpreted in the light of sample size. The number</w:t>
      </w:r>
      <w:r w:rsidR="00975B29">
        <w:t>s</w:t>
      </w:r>
      <w:r w:rsidRPr="00BE2391">
        <w:t xml:space="preserve"> of households receiving remittances in income quintiles 1, 2, 3 and 4 </w:t>
      </w:r>
      <w:r w:rsidR="00975B29">
        <w:t>are</w:t>
      </w:r>
      <w:r w:rsidRPr="00BE2391">
        <w:t xml:space="preserve">, respectively, 48, 28, 18 and 20. Hence, the lack of statistical significance of the tiny remittance effects for quintiles 1, 2 and 3 compared to the significance level of the large quintile 4 effect is not an artefact of the different numbers of observations supporting the estimates. Accordingly, we argue that the contrast between our estimated effects for quintiles 1, 2 and 3 and our estimated effects for quintile 4 is valid. Conversely, our sample includes only five households receiving remittances in income quintile 5. This makes it likely that the relatively imprecise estimate of the remittance effect on school enrolment for the highest income quintile reflects </w:t>
      </w:r>
      <w:r w:rsidR="00975B29">
        <w:t xml:space="preserve">a </w:t>
      </w:r>
      <w:r w:rsidRPr="00BE2391">
        <w:t>very limited sample size. We conclude that our hypothesi</w:t>
      </w:r>
      <w:r w:rsidR="00975B29">
        <w:t>z</w:t>
      </w:r>
      <w:r w:rsidRPr="00BE2391">
        <w:t xml:space="preserve">ed variation of remittance effects on enrolment by income receives strong support from </w:t>
      </w:r>
      <w:r w:rsidR="00975B29">
        <w:t xml:space="preserve">the </w:t>
      </w:r>
      <w:r w:rsidRPr="00BE2391">
        <w:t xml:space="preserve">comparison between the zero effects for quintiles 1, 2 and 3 and the large effect for quintile 4, but less robust support from </w:t>
      </w:r>
      <w:r w:rsidR="00975B29">
        <w:t xml:space="preserve">a </w:t>
      </w:r>
      <w:r w:rsidRPr="00BE2391">
        <w:t>comparison of the quintile 4 and quintile 5 effects.</w:t>
      </w:r>
    </w:p>
    <w:p w14:paraId="5B8F593C" w14:textId="1587E34B" w:rsidR="00D938BE" w:rsidRPr="009070D8" w:rsidRDefault="00106452" w:rsidP="00AC2638">
      <w:pPr>
        <w:spacing w:line="360" w:lineRule="auto"/>
        <w:ind w:firstLine="708"/>
        <w:jc w:val="both"/>
      </w:pPr>
      <w:r>
        <w:t>These</w:t>
      </w:r>
      <w:r w:rsidR="008D6DE0" w:rsidRPr="009070D8">
        <w:t xml:space="preserve"> outcome</w:t>
      </w:r>
      <w:r>
        <w:t>s</w:t>
      </w:r>
      <w:r w:rsidR="008D6DE0" w:rsidRPr="009070D8">
        <w:t xml:space="preserve"> </w:t>
      </w:r>
      <w:r>
        <w:t>are</w:t>
      </w:r>
      <w:r w:rsidR="008D6DE0" w:rsidRPr="009070D8">
        <w:t xml:space="preserve"> </w:t>
      </w:r>
      <w:r w:rsidR="00975B29">
        <w:t xml:space="preserve">broadly </w:t>
      </w:r>
      <w:r>
        <w:t>consistent</w:t>
      </w:r>
      <w:r w:rsidR="008D6DE0" w:rsidRPr="009070D8">
        <w:t xml:space="preserve"> with the presence of </w:t>
      </w:r>
      <w:r>
        <w:t xml:space="preserve">differential </w:t>
      </w:r>
      <w:r w:rsidR="008D6DE0" w:rsidRPr="009070D8">
        <w:t>liquidity constraint</w:t>
      </w:r>
      <w:r>
        <w:t>s</w:t>
      </w:r>
      <w:r w:rsidR="008D6DE0" w:rsidRPr="009070D8">
        <w:t xml:space="preserve"> at different levels of income, as explained above. Statistical insignificance </w:t>
      </w:r>
      <w:r>
        <w:t>and the small size of the differences in the m</w:t>
      </w:r>
      <w:r w:rsidRPr="00F103CB">
        <w:t xml:space="preserve">arginal effects </w:t>
      </w:r>
      <w:r>
        <w:t>of</w:t>
      </w:r>
      <w:r w:rsidRPr="00F103CB">
        <w:t xml:space="preserve"> receiving remittances compared to </w:t>
      </w:r>
      <w:r w:rsidR="00D93A9E">
        <w:t xml:space="preserve">the </w:t>
      </w:r>
      <w:r>
        <w:t>m</w:t>
      </w:r>
      <w:r w:rsidRPr="00F103CB">
        <w:t xml:space="preserve">arginal effects </w:t>
      </w:r>
      <w:r>
        <w:t xml:space="preserve">of </w:t>
      </w:r>
      <w:r w:rsidRPr="00F103CB">
        <w:t>not receiving remittances</w:t>
      </w:r>
      <w:r w:rsidRPr="009070D8">
        <w:t xml:space="preserve"> </w:t>
      </w:r>
      <w:r>
        <w:t xml:space="preserve">in the </w:t>
      </w:r>
      <w:r w:rsidR="008D6DE0" w:rsidRPr="009070D8">
        <w:t xml:space="preserve">first </w:t>
      </w:r>
      <w:r>
        <w:t>to</w:t>
      </w:r>
      <w:r w:rsidR="00EF1678" w:rsidRPr="009070D8">
        <w:t xml:space="preserve"> </w:t>
      </w:r>
      <w:r>
        <w:t>third income</w:t>
      </w:r>
      <w:r w:rsidR="00EF1678" w:rsidRPr="009070D8">
        <w:t xml:space="preserve"> quint</w:t>
      </w:r>
      <w:r w:rsidR="008D6DE0" w:rsidRPr="009070D8">
        <w:t>ile</w:t>
      </w:r>
      <w:r>
        <w:t>s</w:t>
      </w:r>
      <w:r w:rsidR="008D6DE0" w:rsidRPr="009070D8">
        <w:t xml:space="preserve"> </w:t>
      </w:r>
      <w:r>
        <w:t>suggest</w:t>
      </w:r>
      <w:r w:rsidR="008D6DE0" w:rsidRPr="009070D8">
        <w:t xml:space="preserve"> that remittances are not sufficiently strong to remove</w:t>
      </w:r>
      <w:r w:rsidR="00896FD1" w:rsidRPr="009070D8">
        <w:t xml:space="preserve"> </w:t>
      </w:r>
      <w:r w:rsidR="008D6DE0" w:rsidRPr="009070D8">
        <w:t>liquidity constraint</w:t>
      </w:r>
      <w:r w:rsidR="00D93A9E">
        <w:t>s</w:t>
      </w:r>
      <w:r w:rsidR="008D6DE0" w:rsidRPr="009070D8">
        <w:t xml:space="preserve"> </w:t>
      </w:r>
      <w:r w:rsidR="00D93A9E">
        <w:t>from</w:t>
      </w:r>
      <w:r w:rsidR="008D6DE0" w:rsidRPr="009070D8">
        <w:t xml:space="preserve"> households</w:t>
      </w:r>
      <w:r w:rsidR="00EF1678" w:rsidRPr="009070D8">
        <w:t xml:space="preserve"> </w:t>
      </w:r>
      <w:r w:rsidR="00975B29">
        <w:t xml:space="preserve">with a </w:t>
      </w:r>
      <w:r w:rsidR="00EF1678" w:rsidRPr="009070D8">
        <w:t>below average income</w:t>
      </w:r>
      <w:r w:rsidR="008D6DE0" w:rsidRPr="009070D8">
        <w:t xml:space="preserve">. </w:t>
      </w:r>
      <w:r>
        <w:t>Moreover</w:t>
      </w:r>
      <w:r w:rsidR="008D6DE0" w:rsidRPr="009070D8">
        <w:t>, s</w:t>
      </w:r>
      <w:r>
        <w:t xml:space="preserve">tatistical </w:t>
      </w:r>
      <w:r w:rsidR="008D6DE0" w:rsidRPr="009070D8">
        <w:t xml:space="preserve">significance of the </w:t>
      </w:r>
      <w:r w:rsidR="00BC48B3">
        <w:t xml:space="preserve">large </w:t>
      </w:r>
      <w:r>
        <w:t>difference in the m</w:t>
      </w:r>
      <w:r w:rsidR="00BC48B3">
        <w:t xml:space="preserve">arginal effect </w:t>
      </w:r>
      <w:r>
        <w:t>of</w:t>
      </w:r>
      <w:r w:rsidRPr="00F103CB">
        <w:t xml:space="preserve"> receiving remittances compared to </w:t>
      </w:r>
      <w:r w:rsidR="00BC48B3">
        <w:t xml:space="preserve">the </w:t>
      </w:r>
      <w:r>
        <w:t>m</w:t>
      </w:r>
      <w:r w:rsidR="00BC48B3">
        <w:t>arginal effect</w:t>
      </w:r>
      <w:r w:rsidRPr="00F103CB">
        <w:t xml:space="preserve"> </w:t>
      </w:r>
      <w:r>
        <w:t xml:space="preserve">of </w:t>
      </w:r>
      <w:r w:rsidRPr="00F103CB">
        <w:t>not receiving remittances</w:t>
      </w:r>
      <w:r w:rsidRPr="009070D8">
        <w:t xml:space="preserve"> </w:t>
      </w:r>
      <w:r>
        <w:t>in the</w:t>
      </w:r>
      <w:r w:rsidRPr="009070D8">
        <w:t xml:space="preserve"> </w:t>
      </w:r>
      <w:r>
        <w:t>fourth quintile show</w:t>
      </w:r>
      <w:r w:rsidR="00975B29">
        <w:t>s</w:t>
      </w:r>
      <w:r>
        <w:t xml:space="preserve"> that</w:t>
      </w:r>
      <w:r w:rsidR="00975B29">
        <w:t>,</w:t>
      </w:r>
      <w:r>
        <w:t xml:space="preserve"> </w:t>
      </w:r>
      <w:r w:rsidR="008D6DE0" w:rsidRPr="009070D8">
        <w:t xml:space="preserve">for </w:t>
      </w:r>
      <w:r w:rsidR="00EF1678" w:rsidRPr="009070D8">
        <w:t xml:space="preserve">relatively </w:t>
      </w:r>
      <w:r w:rsidR="008D6DE0" w:rsidRPr="009070D8">
        <w:t>rich</w:t>
      </w:r>
      <w:r w:rsidR="00EF1678" w:rsidRPr="009070D8">
        <w:t>er</w:t>
      </w:r>
      <w:r w:rsidR="008D6DE0" w:rsidRPr="009070D8">
        <w:t xml:space="preserve"> households</w:t>
      </w:r>
      <w:r w:rsidR="00975B29">
        <w:t>,</w:t>
      </w:r>
      <w:r>
        <w:t xml:space="preserve"> remittances make a substantial difference in a child’s probability of enrolment</w:t>
      </w:r>
      <w:r w:rsidR="008D6DE0" w:rsidRPr="009070D8">
        <w:t xml:space="preserve">. </w:t>
      </w:r>
      <w:r>
        <w:t xml:space="preserve">However, for the highest income households in quintile 5, we find weak evidence that </w:t>
      </w:r>
      <w:r w:rsidR="00997CA7">
        <w:t xml:space="preserve">liquidity constraint </w:t>
      </w:r>
      <w:r w:rsidR="00890F5F">
        <w:t>may not be a</w:t>
      </w:r>
      <w:r w:rsidR="00997CA7">
        <w:t xml:space="preserve"> binding </w:t>
      </w:r>
      <w:r w:rsidR="00E97E50">
        <w:t>influence</w:t>
      </w:r>
      <w:r w:rsidR="00997CA7">
        <w:t xml:space="preserve"> on school enrolment, so remittances make no difference.</w:t>
      </w:r>
    </w:p>
    <w:p w14:paraId="299A0129" w14:textId="77777777" w:rsidR="00AC2638" w:rsidRPr="009070D8" w:rsidRDefault="00AC2638" w:rsidP="00AC2638">
      <w:pPr>
        <w:spacing w:line="360" w:lineRule="auto"/>
        <w:ind w:firstLine="708"/>
        <w:jc w:val="both"/>
      </w:pPr>
    </w:p>
    <w:p w14:paraId="30B21919" w14:textId="09A85CE0" w:rsidR="00574F6A" w:rsidRPr="009070D8" w:rsidRDefault="00D01A39" w:rsidP="00991699">
      <w:pPr>
        <w:tabs>
          <w:tab w:val="left" w:pos="709"/>
        </w:tabs>
        <w:spacing w:line="360" w:lineRule="auto"/>
        <w:jc w:val="both"/>
        <w:rPr>
          <w:b/>
          <w:sz w:val="28"/>
        </w:rPr>
      </w:pPr>
      <w:r w:rsidRPr="009070D8">
        <w:rPr>
          <w:b/>
          <w:sz w:val="28"/>
        </w:rPr>
        <w:t>Conclu</w:t>
      </w:r>
      <w:r w:rsidR="00B96ED0" w:rsidRPr="009070D8">
        <w:rPr>
          <w:b/>
          <w:sz w:val="28"/>
        </w:rPr>
        <w:t>sions</w:t>
      </w:r>
    </w:p>
    <w:p w14:paraId="48BFB0B8" w14:textId="1894CC71" w:rsidR="0091313A" w:rsidRPr="009070D8" w:rsidRDefault="00F35BF7" w:rsidP="00991699">
      <w:pPr>
        <w:spacing w:line="360" w:lineRule="auto"/>
        <w:jc w:val="both"/>
      </w:pPr>
      <w:r w:rsidRPr="009070D8">
        <w:t>Th</w:t>
      </w:r>
      <w:r w:rsidR="00294F7A" w:rsidRPr="009070D8">
        <w:t>is</w:t>
      </w:r>
      <w:r w:rsidRPr="009070D8">
        <w:t xml:space="preserve"> paper present</w:t>
      </w:r>
      <w:r w:rsidR="00294F7A" w:rsidRPr="009070D8">
        <w:t>s</w:t>
      </w:r>
      <w:r w:rsidRPr="009070D8">
        <w:t xml:space="preserve"> empirical evidence </w:t>
      </w:r>
      <w:r w:rsidR="00294F7A" w:rsidRPr="009070D8">
        <w:t>regarding</w:t>
      </w:r>
      <w:r w:rsidRPr="009070D8">
        <w:t xml:space="preserve"> the </w:t>
      </w:r>
      <w:r w:rsidR="00F448DD" w:rsidRPr="009070D8">
        <w:t>effect</w:t>
      </w:r>
      <w:r w:rsidRPr="009070D8">
        <w:t xml:space="preserve"> of remittance receipts on enrolment into secondary and tertiary education in Bosnia-Herzegovina. </w:t>
      </w:r>
      <w:r w:rsidR="0091313A" w:rsidRPr="009070D8">
        <w:t xml:space="preserve">The </w:t>
      </w:r>
      <w:r w:rsidR="004A5E32" w:rsidRPr="009070D8">
        <w:t>approach</w:t>
      </w:r>
      <w:r w:rsidR="0091313A" w:rsidRPr="009070D8">
        <w:t xml:space="preserve"> provides an empirical contribution to the literature by </w:t>
      </w:r>
      <w:r w:rsidR="004177EA" w:rsidRPr="009070D8">
        <w:t xml:space="preserve">using data in which the migration decision is exogenous, consequently </w:t>
      </w:r>
      <w:r w:rsidR="004177EA" w:rsidRPr="009070D8">
        <w:lastRenderedPageBreak/>
        <w:t xml:space="preserve">producing </w:t>
      </w:r>
      <w:r w:rsidR="0053399E" w:rsidRPr="009070D8">
        <w:t>empirical</w:t>
      </w:r>
      <w:r w:rsidR="004177EA" w:rsidRPr="009070D8">
        <w:t xml:space="preserve"> results by estimating </w:t>
      </w:r>
      <w:r w:rsidR="00A51427">
        <w:t>a</w:t>
      </w:r>
      <w:r w:rsidR="004177EA" w:rsidRPr="009070D8">
        <w:t xml:space="preserve"> model free of the difficulties confronting instrumental </w:t>
      </w:r>
      <w:r w:rsidR="0053399E" w:rsidRPr="009070D8">
        <w:t>variables</w:t>
      </w:r>
      <w:r w:rsidR="004177EA" w:rsidRPr="009070D8">
        <w:t xml:space="preserve"> estimation. Moreover, th</w:t>
      </w:r>
      <w:r w:rsidR="00A51427">
        <w:t>e model specification introduces</w:t>
      </w:r>
      <w:r w:rsidR="004177EA" w:rsidRPr="009070D8">
        <w:t xml:space="preserve"> a new way of localizing the liquidity constraint effect </w:t>
      </w:r>
      <w:r w:rsidR="00975B29">
        <w:t>by</w:t>
      </w:r>
      <w:r w:rsidR="004177EA" w:rsidRPr="009070D8">
        <w:t xml:space="preserve"> income quintiles. </w:t>
      </w:r>
    </w:p>
    <w:p w14:paraId="6E45E38D" w14:textId="6ED07550" w:rsidR="00F40C1F" w:rsidRPr="009070D8" w:rsidRDefault="00A34FA6" w:rsidP="00896FD1">
      <w:pPr>
        <w:spacing w:line="360" w:lineRule="auto"/>
        <w:ind w:firstLine="708"/>
        <w:jc w:val="both"/>
      </w:pPr>
      <w:r w:rsidRPr="009070D8">
        <w:t xml:space="preserve">The </w:t>
      </w:r>
      <w:r w:rsidR="0053399E" w:rsidRPr="009070D8">
        <w:t>findings</w:t>
      </w:r>
      <w:r w:rsidRPr="009070D8">
        <w:t xml:space="preserve"> presented in th</w:t>
      </w:r>
      <w:r w:rsidR="004A5E32" w:rsidRPr="009070D8">
        <w:t>is</w:t>
      </w:r>
      <w:r w:rsidRPr="009070D8">
        <w:t xml:space="preserve"> paper suggest that remittances </w:t>
      </w:r>
      <w:r w:rsidR="00896FD1" w:rsidRPr="009070D8">
        <w:t>have a significant effect on</w:t>
      </w:r>
      <w:r w:rsidRPr="009070D8">
        <w:t xml:space="preserve"> educational attainment. </w:t>
      </w:r>
      <w:r w:rsidR="00997AFE">
        <w:t>However</w:t>
      </w:r>
      <w:r w:rsidRPr="009070D8">
        <w:t>, the positive effect of remittances is limited to</w:t>
      </w:r>
      <w:r w:rsidR="00997AFE">
        <w:t xml:space="preserve"> a specific group of households;</w:t>
      </w:r>
      <w:r w:rsidRPr="009070D8">
        <w:t xml:space="preserve"> </w:t>
      </w:r>
      <w:r w:rsidR="00997AFE">
        <w:t>namely, relatively well-off households</w:t>
      </w:r>
      <w:r w:rsidRPr="009070D8">
        <w:t xml:space="preserve"> facing </w:t>
      </w:r>
      <w:r w:rsidR="00896FD1" w:rsidRPr="009070D8">
        <w:t xml:space="preserve">a </w:t>
      </w:r>
      <w:r w:rsidRPr="009070D8">
        <w:t>liquidity constraint</w:t>
      </w:r>
      <w:r w:rsidR="00997AFE">
        <w:t xml:space="preserve"> that can be relaxed</w:t>
      </w:r>
      <w:r w:rsidR="00A51427">
        <w:t xml:space="preserve"> by remittances</w:t>
      </w:r>
      <w:r w:rsidR="00997AFE">
        <w:t xml:space="preserve"> to an extent sufficient to increase substantially the probability of school enrolment</w:t>
      </w:r>
      <w:r w:rsidRPr="009070D8">
        <w:t xml:space="preserve">. </w:t>
      </w:r>
      <w:r w:rsidR="00997AFE">
        <w:t>Poorer</w:t>
      </w:r>
      <w:r w:rsidR="00997AFE" w:rsidRPr="009070D8">
        <w:t xml:space="preserve"> households cannot afford education even when they receive remittances, as they use these receipts for covering basic needs</w:t>
      </w:r>
      <w:r w:rsidR="00997AFE">
        <w:t xml:space="preserve">, while </w:t>
      </w:r>
      <w:r w:rsidR="009F4EF3">
        <w:t xml:space="preserve">the </w:t>
      </w:r>
      <w:r w:rsidR="00997AFE">
        <w:t>r</w:t>
      </w:r>
      <w:r w:rsidR="009F4EF3">
        <w:t>ichest</w:t>
      </w:r>
      <w:r w:rsidR="00DE02DB" w:rsidRPr="009070D8">
        <w:t xml:space="preserve"> households can afford education even if t</w:t>
      </w:r>
      <w:r w:rsidR="00997AFE">
        <w:t xml:space="preserve">hey do not receive remittances. </w:t>
      </w:r>
      <w:r w:rsidR="008D15F2" w:rsidRPr="009070D8">
        <w:t xml:space="preserve">The model specification used in this paper, where </w:t>
      </w:r>
      <w:r w:rsidR="00744C6F" w:rsidRPr="009070D8">
        <w:t xml:space="preserve">quintiles </w:t>
      </w:r>
      <w:r w:rsidR="008D15F2" w:rsidRPr="009070D8">
        <w:t xml:space="preserve">of </w:t>
      </w:r>
      <w:r w:rsidR="00B84E33" w:rsidRPr="009070D8">
        <w:t xml:space="preserve">income </w:t>
      </w:r>
      <w:r w:rsidR="009372EA" w:rsidRPr="009070D8">
        <w:t>distribution</w:t>
      </w:r>
      <w:r w:rsidR="008D15F2" w:rsidRPr="009070D8">
        <w:t xml:space="preserve"> were used to </w:t>
      </w:r>
      <w:r w:rsidR="00744C6F" w:rsidRPr="009070D8">
        <w:t>capture</w:t>
      </w:r>
      <w:r w:rsidR="008D15F2" w:rsidRPr="009070D8">
        <w:t xml:space="preserve"> the </w:t>
      </w:r>
      <w:r w:rsidR="00F448DD" w:rsidRPr="009070D8">
        <w:t>effect</w:t>
      </w:r>
      <w:r w:rsidR="003716B8">
        <w:t>s</w:t>
      </w:r>
      <w:r w:rsidR="008D15F2" w:rsidRPr="009070D8">
        <w:t xml:space="preserve"> of remittances on educational </w:t>
      </w:r>
      <w:r w:rsidR="009F3467" w:rsidRPr="009070D8">
        <w:t>enrolment</w:t>
      </w:r>
      <w:r w:rsidR="008D15F2" w:rsidRPr="009070D8">
        <w:t xml:space="preserve"> at different level</w:t>
      </w:r>
      <w:r w:rsidR="003716B8">
        <w:t>s</w:t>
      </w:r>
      <w:r w:rsidR="008D15F2" w:rsidRPr="009070D8">
        <w:t xml:space="preserve"> of income, is more consistent with the theoretical predictions about the </w:t>
      </w:r>
      <w:r w:rsidR="00662CBE">
        <w:t xml:space="preserve">remittance </w:t>
      </w:r>
      <w:r w:rsidR="00F448DD" w:rsidRPr="009070D8">
        <w:t>effect</w:t>
      </w:r>
      <w:r w:rsidR="00662CBE">
        <w:t>s</w:t>
      </w:r>
      <w:r w:rsidR="008D15F2" w:rsidRPr="009070D8">
        <w:t xml:space="preserve"> than </w:t>
      </w:r>
      <w:r w:rsidR="007A1054" w:rsidRPr="009070D8">
        <w:t xml:space="preserve">are </w:t>
      </w:r>
      <w:r w:rsidR="00703A40" w:rsidRPr="009070D8">
        <w:t xml:space="preserve">the </w:t>
      </w:r>
      <w:r w:rsidR="00662CBE">
        <w:t>specifications</w:t>
      </w:r>
      <w:r w:rsidR="008D15F2" w:rsidRPr="009070D8">
        <w:t xml:space="preserve"> used in previous empirical </w:t>
      </w:r>
      <w:r w:rsidR="00662CBE">
        <w:t>studies</w:t>
      </w:r>
      <w:r w:rsidR="008D15F2" w:rsidRPr="009070D8">
        <w:t>.</w:t>
      </w:r>
      <w:r w:rsidR="00896FD1" w:rsidRPr="009070D8">
        <w:rPr>
          <w:rStyle w:val="EndnoteReference"/>
        </w:rPr>
        <w:endnoteReference w:id="33"/>
      </w:r>
      <w:r w:rsidR="008D15F2" w:rsidRPr="009070D8">
        <w:t xml:space="preserve"> </w:t>
      </w:r>
      <w:r w:rsidR="001B6230">
        <w:t>M</w:t>
      </w:r>
      <w:r w:rsidR="00A20048" w:rsidRPr="009070D8">
        <w:t>odel misspecification by not including income distribution (quintiles) might be a reason why some previous studies did not find any influence of remittances on the education of children.</w:t>
      </w:r>
    </w:p>
    <w:p w14:paraId="3F8C524E" w14:textId="77777777" w:rsidR="00896FD1" w:rsidRPr="009070D8" w:rsidRDefault="00896FD1" w:rsidP="00896FD1">
      <w:pPr>
        <w:spacing w:line="360" w:lineRule="auto"/>
        <w:ind w:firstLine="708"/>
        <w:jc w:val="both"/>
      </w:pPr>
    </w:p>
    <w:p w14:paraId="053E4B0A" w14:textId="2D4219AC" w:rsidR="00896FD1" w:rsidRPr="009070D8" w:rsidRDefault="00896FD1" w:rsidP="00896FD1">
      <w:pPr>
        <w:spacing w:line="360" w:lineRule="auto"/>
        <w:jc w:val="both"/>
        <w:rPr>
          <w:b/>
        </w:rPr>
      </w:pPr>
      <w:r w:rsidRPr="009070D8">
        <w:rPr>
          <w:b/>
        </w:rPr>
        <w:t>Disclosure statement</w:t>
      </w:r>
    </w:p>
    <w:p w14:paraId="302C4439" w14:textId="72A559CB" w:rsidR="00896FD1" w:rsidRPr="009070D8" w:rsidRDefault="00896FD1" w:rsidP="00896FD1">
      <w:pPr>
        <w:spacing w:line="360" w:lineRule="auto"/>
        <w:jc w:val="both"/>
      </w:pPr>
      <w:r w:rsidRPr="009070D8">
        <w:t xml:space="preserve">No </w:t>
      </w:r>
      <w:r w:rsidR="00A1797D">
        <w:t xml:space="preserve">potential conflict of interest </w:t>
      </w:r>
      <w:r w:rsidRPr="009070D8">
        <w:t>was reported by the author</w:t>
      </w:r>
      <w:r w:rsidR="00F54E92">
        <w:t>s</w:t>
      </w:r>
      <w:r w:rsidRPr="009070D8">
        <w:t>.</w:t>
      </w:r>
    </w:p>
    <w:p w14:paraId="06174B89" w14:textId="77777777" w:rsidR="00896FD1" w:rsidRPr="009070D8" w:rsidRDefault="00896FD1" w:rsidP="00896FD1">
      <w:pPr>
        <w:spacing w:line="360" w:lineRule="auto"/>
        <w:jc w:val="both"/>
      </w:pPr>
    </w:p>
    <w:p w14:paraId="522C703C" w14:textId="136FCB71" w:rsidR="00896FD1" w:rsidRPr="009070D8" w:rsidRDefault="00896FD1" w:rsidP="00896FD1">
      <w:pPr>
        <w:spacing w:line="360" w:lineRule="auto"/>
        <w:jc w:val="both"/>
        <w:rPr>
          <w:b/>
        </w:rPr>
      </w:pPr>
      <w:r w:rsidRPr="009070D8">
        <w:rPr>
          <w:b/>
        </w:rPr>
        <w:t>Notes on contributors</w:t>
      </w:r>
    </w:p>
    <w:p w14:paraId="0DDA86BD" w14:textId="02845805" w:rsidR="00896FD1" w:rsidRPr="009070D8" w:rsidRDefault="00896FD1" w:rsidP="00896FD1">
      <w:pPr>
        <w:spacing w:line="360" w:lineRule="auto"/>
        <w:jc w:val="both"/>
      </w:pPr>
      <w:r w:rsidRPr="009070D8">
        <w:rPr>
          <w:i/>
        </w:rPr>
        <w:t xml:space="preserve">Nermin Oruc </w:t>
      </w:r>
      <w:r w:rsidRPr="009070D8">
        <w:t>is Director of the Centre for Development Evaluation and Social Science Research in Sarajevo, and Visiting Atlantic Fellow at the Internationa</w:t>
      </w:r>
      <w:r w:rsidR="00A37DC3" w:rsidRPr="009070D8">
        <w:t>l</w:t>
      </w:r>
      <w:r w:rsidRPr="009070D8">
        <w:t xml:space="preserve"> Inequalities Institute, London School of Economics and Political Science.</w:t>
      </w:r>
    </w:p>
    <w:p w14:paraId="769A8719" w14:textId="21344B92" w:rsidR="00896FD1" w:rsidRPr="009070D8" w:rsidRDefault="00896FD1" w:rsidP="00896FD1">
      <w:pPr>
        <w:spacing w:line="360" w:lineRule="auto"/>
        <w:jc w:val="both"/>
      </w:pPr>
      <w:r w:rsidRPr="009070D8">
        <w:rPr>
          <w:i/>
        </w:rPr>
        <w:t xml:space="preserve">Ian Jackson </w:t>
      </w:r>
      <w:r w:rsidRPr="009070D8">
        <w:t>is</w:t>
      </w:r>
      <w:r w:rsidR="00E03E32">
        <w:t xml:space="preserve"> Senior Lecturer in Economics and Finance at the Wolverhampton Univeristy Business School, Wolverhampton, UK</w:t>
      </w:r>
      <w:r w:rsidRPr="009070D8">
        <w:t>.</w:t>
      </w:r>
    </w:p>
    <w:p w14:paraId="78C49E0F" w14:textId="7652FB1C" w:rsidR="00896FD1" w:rsidRPr="00414511" w:rsidRDefault="00452CE4" w:rsidP="00896FD1">
      <w:pPr>
        <w:spacing w:line="360" w:lineRule="auto"/>
        <w:jc w:val="both"/>
      </w:pPr>
      <w:r w:rsidRPr="009070D8">
        <w:rPr>
          <w:i/>
        </w:rPr>
        <w:t xml:space="preserve">Geoffrey Pugh </w:t>
      </w:r>
      <w:r w:rsidRPr="009070D8">
        <w:t>is</w:t>
      </w:r>
      <w:r w:rsidR="00BE64F0">
        <w:t xml:space="preserve"> </w:t>
      </w:r>
      <w:r w:rsidR="00E03E32">
        <w:t>Professor of Economics at Staffordshire University Business School, Stoke-on-Trent, UK</w:t>
      </w:r>
      <w:r w:rsidRPr="009070D8">
        <w:t>.</w:t>
      </w:r>
    </w:p>
    <w:p w14:paraId="43930CE1" w14:textId="65002115" w:rsidR="00F40C1F" w:rsidRPr="009070D8" w:rsidRDefault="00F40C1F">
      <w:r w:rsidRPr="009070D8">
        <w:br w:type="page"/>
      </w:r>
    </w:p>
    <w:p w14:paraId="0E29539D" w14:textId="32B97987" w:rsidR="00AD3722" w:rsidRPr="009070D8" w:rsidRDefault="00F40C1F" w:rsidP="00F412FE">
      <w:pPr>
        <w:sectPr w:rsidR="00AD3722" w:rsidRPr="009070D8" w:rsidSect="00003759">
          <w:footerReference w:type="default" r:id="rId9"/>
          <w:endnotePr>
            <w:numFmt w:val="decimal"/>
          </w:endnotePr>
          <w:type w:val="continuous"/>
          <w:pgSz w:w="11906" w:h="16838" w:code="9"/>
          <w:pgMar w:top="1418" w:right="1134" w:bottom="1418" w:left="1134" w:header="709" w:footer="709" w:gutter="0"/>
          <w:cols w:space="708"/>
          <w:titlePg/>
          <w:docGrid w:linePitch="360"/>
        </w:sectPr>
      </w:pPr>
      <w:r w:rsidRPr="009070D8">
        <w:lastRenderedPageBreak/>
        <w:t>Notes</w:t>
      </w:r>
    </w:p>
    <w:p w14:paraId="714CD2E1" w14:textId="71E39167" w:rsidR="00AD3722" w:rsidRPr="009070D8" w:rsidRDefault="00AD3722" w:rsidP="00F412FE">
      <w:pPr>
        <w:spacing w:after="120"/>
        <w:jc w:val="both"/>
      </w:pPr>
    </w:p>
    <w:sectPr w:rsidR="00AD3722" w:rsidRPr="009070D8" w:rsidSect="001D4229">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0EC60" w14:textId="77777777" w:rsidR="002509D7" w:rsidRDefault="002509D7">
      <w:r>
        <w:separator/>
      </w:r>
    </w:p>
  </w:endnote>
  <w:endnote w:type="continuationSeparator" w:id="0">
    <w:p w14:paraId="3B114677" w14:textId="77777777" w:rsidR="002509D7" w:rsidRDefault="002509D7">
      <w:r>
        <w:continuationSeparator/>
      </w:r>
    </w:p>
  </w:endnote>
  <w:endnote w:id="1">
    <w:p w14:paraId="4E3FCE34" w14:textId="6AF8C502" w:rsidR="005627B8" w:rsidRDefault="005627B8" w:rsidP="000A2FB6">
      <w:pPr>
        <w:pStyle w:val="EndnoteText"/>
        <w:ind w:left="426" w:hanging="426"/>
        <w:jc w:val="both"/>
      </w:pPr>
      <w:r w:rsidRPr="002A379F">
        <w:rPr>
          <w:rStyle w:val="EndnoteReference"/>
          <w:vertAlign w:val="baseline"/>
        </w:rPr>
        <w:endnoteRef/>
      </w:r>
      <w:r w:rsidRPr="00FC06FB">
        <w:t xml:space="preserve"> </w:t>
      </w:r>
      <w:r>
        <w:tab/>
      </w:r>
      <w:r w:rsidRPr="00FC06FB">
        <w:t xml:space="preserve">More </w:t>
      </w:r>
      <w:r>
        <w:t>discussion on the issue of</w:t>
      </w:r>
      <w:r w:rsidRPr="00FC06FB">
        <w:t xml:space="preserve"> potential endogeneity </w:t>
      </w:r>
      <w:r>
        <w:t xml:space="preserve">in studies </w:t>
      </w:r>
      <w:r w:rsidRPr="00FC06FB">
        <w:t>of migration is provided in the empirical analysis section later</w:t>
      </w:r>
      <w:r>
        <w:t xml:space="preserve"> in the paper</w:t>
      </w:r>
      <w:r w:rsidRPr="00FC06FB">
        <w:t xml:space="preserve">. </w:t>
      </w:r>
      <w:r>
        <w:t>For now</w:t>
      </w:r>
      <w:r w:rsidRPr="00FC06FB">
        <w:t xml:space="preserve">, we just </w:t>
      </w:r>
      <w:r>
        <w:t>note that endogeneity refers to the</w:t>
      </w:r>
      <w:r w:rsidRPr="00FC06FB">
        <w:t xml:space="preserve"> possibility that</w:t>
      </w:r>
      <w:r>
        <w:t>, for example,</w:t>
      </w:r>
      <w:r w:rsidRPr="00FC06FB">
        <w:t xml:space="preserve"> the </w:t>
      </w:r>
      <w:r>
        <w:t>dependent variable (enrolment) and the independent variable of interest (remittances)</w:t>
      </w:r>
      <w:r w:rsidRPr="00FC06FB">
        <w:t xml:space="preserve"> may </w:t>
      </w:r>
      <w:r>
        <w:t>simulteneously determine each other (i.e. because households make simultaneous and mutually conditioning decisions regarding their childrens’ education and decisions to migrate resulting in remittances). I</w:t>
      </w:r>
      <w:r w:rsidRPr="00FC06FB">
        <w:t>gnoring such a relationship between variables in the model may result in biased estimates.</w:t>
      </w:r>
      <w:r>
        <w:t xml:space="preserve"> However, in our case, migration is forced onto the household, which means that migration and its consequences (including remittances) can be regarded as exogenous to the household rather than as an endogenous outcome of household decision making.    </w:t>
      </w:r>
    </w:p>
    <w:p w14:paraId="5AD0D08B" w14:textId="77777777" w:rsidR="005627B8" w:rsidRPr="00FC06FB" w:rsidRDefault="005627B8" w:rsidP="00C43A4C">
      <w:pPr>
        <w:pStyle w:val="EndnoteText"/>
        <w:jc w:val="both"/>
      </w:pPr>
    </w:p>
  </w:endnote>
  <w:endnote w:id="2">
    <w:p w14:paraId="6C94DF31" w14:textId="4A36B305" w:rsidR="005627B8" w:rsidRDefault="005627B8" w:rsidP="000A2FB6">
      <w:pPr>
        <w:pStyle w:val="EndnoteText"/>
        <w:ind w:left="426" w:hanging="426"/>
        <w:jc w:val="both"/>
      </w:pPr>
      <w:r w:rsidRPr="002A379F">
        <w:rPr>
          <w:rStyle w:val="EndnoteReference"/>
          <w:vertAlign w:val="baseline"/>
        </w:rPr>
        <w:endnoteRef/>
      </w:r>
      <w:r w:rsidRPr="00FC06FB">
        <w:t xml:space="preserve"> </w:t>
      </w:r>
      <w:r>
        <w:tab/>
      </w:r>
      <w:r w:rsidRPr="00FC06FB">
        <w:t>Previous studies on the effect of remittances on education have long dealt with the endogeneity of the migration decision as one of the main issues, although instruments widely used in earlier studies were later found to be invalid</w:t>
      </w:r>
      <w:r>
        <w:t xml:space="preserve">. For an example of earlier studies see the historical migration account by G. Hanson and D. Woodruff, </w:t>
      </w:r>
      <w:r>
        <w:rPr>
          <w:i/>
        </w:rPr>
        <w:t xml:space="preserve">Emigration and Educational Attainment in Mexico. </w:t>
      </w:r>
      <w:r>
        <w:t xml:space="preserve">National Bureau of Economic Research Working Paper, Cambridge MA, 2003. For later, corrective studies see C. Calero, A.S. Bedi and R. Sparrow, </w:t>
      </w:r>
      <w:r>
        <w:rPr>
          <w:i/>
        </w:rPr>
        <w:t xml:space="preserve">Remittances, Liquidity Constraints and Human Capital Investments in Ecuador, </w:t>
      </w:r>
      <w:r>
        <w:t xml:space="preserve">IZA Discussion Paper 3358, Bonn, 2008; and the discussion in M.R.V. Borromeo, </w:t>
      </w:r>
      <w:r>
        <w:rPr>
          <w:i/>
        </w:rPr>
        <w:t xml:space="preserve">Remittances and the Educational Attainment of Children in the Philippines, </w:t>
      </w:r>
      <w:r>
        <w:t>SLU Uppsala, Department of Economics, 2012.</w:t>
      </w:r>
    </w:p>
    <w:p w14:paraId="2F7E9E7C" w14:textId="77777777" w:rsidR="005627B8" w:rsidRPr="00FC06FB" w:rsidRDefault="005627B8" w:rsidP="000A2FB6">
      <w:pPr>
        <w:pStyle w:val="EndnoteText"/>
        <w:ind w:left="426" w:hanging="426"/>
        <w:jc w:val="both"/>
      </w:pPr>
    </w:p>
  </w:endnote>
  <w:endnote w:id="3">
    <w:p w14:paraId="421E76AE" w14:textId="15019291" w:rsidR="005627B8" w:rsidRDefault="005627B8" w:rsidP="000A2FB6">
      <w:pPr>
        <w:tabs>
          <w:tab w:val="left" w:pos="709"/>
        </w:tabs>
        <w:ind w:left="426" w:hanging="426"/>
        <w:jc w:val="both"/>
        <w:rPr>
          <w:sz w:val="20"/>
          <w:szCs w:val="20"/>
          <w:lang w:val="fr-FR"/>
        </w:rPr>
      </w:pPr>
      <w:r w:rsidRPr="002A379F">
        <w:rPr>
          <w:rStyle w:val="EndnoteReference"/>
          <w:sz w:val="20"/>
          <w:szCs w:val="20"/>
          <w:vertAlign w:val="baseline"/>
        </w:rPr>
        <w:endnoteRef/>
      </w:r>
      <w:r w:rsidRPr="00452CE4">
        <w:rPr>
          <w:sz w:val="20"/>
          <w:szCs w:val="20"/>
          <w:lang w:val="fr-FR"/>
        </w:rPr>
        <w:t xml:space="preserve"> </w:t>
      </w:r>
      <w:r>
        <w:rPr>
          <w:sz w:val="20"/>
          <w:szCs w:val="20"/>
          <w:lang w:val="fr-FR"/>
        </w:rPr>
        <w:tab/>
      </w:r>
      <w:r w:rsidRPr="00452CE4">
        <w:rPr>
          <w:sz w:val="20"/>
          <w:szCs w:val="20"/>
          <w:lang w:val="fr-FR"/>
        </w:rPr>
        <w:t xml:space="preserve">See, for example B. Repe, ‘Les migrations sur </w:t>
      </w:r>
      <w:r w:rsidRPr="00DF4FA7">
        <w:rPr>
          <w:sz w:val="20"/>
          <w:szCs w:val="20"/>
          <w:lang w:val="fr-FR"/>
        </w:rPr>
        <w:t xml:space="preserve">le territoire de l'ancienne </w:t>
      </w:r>
      <w:r>
        <w:rPr>
          <w:sz w:val="20"/>
          <w:szCs w:val="20"/>
          <w:lang w:val="fr-FR"/>
        </w:rPr>
        <w:t>Yougoslavie de 1945 a nos jours’,</w:t>
      </w:r>
      <w:r w:rsidRPr="00DF4FA7">
        <w:rPr>
          <w:sz w:val="20"/>
          <w:szCs w:val="20"/>
          <w:lang w:val="fr-FR"/>
        </w:rPr>
        <w:t xml:space="preserve"> Sé</w:t>
      </w:r>
      <w:r>
        <w:rPr>
          <w:sz w:val="20"/>
          <w:szCs w:val="20"/>
          <w:lang w:val="fr-FR"/>
        </w:rPr>
        <w:t>minaire européen d'enseignants ‘Etre migrant(e) en Europe’, 6-9 March 2002, Faculté des Lettres et Sciences H</w:t>
      </w:r>
      <w:r w:rsidRPr="00DF4FA7">
        <w:rPr>
          <w:sz w:val="20"/>
          <w:szCs w:val="20"/>
          <w:lang w:val="fr-FR"/>
        </w:rPr>
        <w:t xml:space="preserve">umaines, Université de Neuchâtel. </w:t>
      </w:r>
      <w:r>
        <w:rPr>
          <w:sz w:val="20"/>
          <w:szCs w:val="20"/>
          <w:lang w:val="fr-FR"/>
        </w:rPr>
        <w:t>Neuchâtel</w:t>
      </w:r>
      <w:r w:rsidRPr="00452CE4">
        <w:rPr>
          <w:sz w:val="20"/>
          <w:szCs w:val="20"/>
          <w:lang w:val="fr-FR"/>
        </w:rPr>
        <w:t xml:space="preserve">.  </w:t>
      </w:r>
    </w:p>
    <w:p w14:paraId="67684EA8" w14:textId="77777777" w:rsidR="005627B8" w:rsidRPr="00452CE4" w:rsidRDefault="005627B8" w:rsidP="000A2FB6">
      <w:pPr>
        <w:tabs>
          <w:tab w:val="left" w:pos="709"/>
        </w:tabs>
        <w:ind w:left="284" w:hanging="284"/>
        <w:jc w:val="both"/>
        <w:rPr>
          <w:sz w:val="20"/>
          <w:szCs w:val="20"/>
          <w:lang w:val="fr-FR"/>
        </w:rPr>
      </w:pPr>
    </w:p>
  </w:endnote>
  <w:endnote w:id="4">
    <w:p w14:paraId="2AEE7936" w14:textId="15E23396" w:rsidR="005627B8" w:rsidRDefault="005627B8" w:rsidP="000A2FB6">
      <w:pPr>
        <w:tabs>
          <w:tab w:val="left" w:pos="709"/>
        </w:tabs>
        <w:ind w:left="426" w:hanging="426"/>
        <w:jc w:val="both"/>
        <w:rPr>
          <w:sz w:val="20"/>
          <w:szCs w:val="20"/>
          <w:lang w:val="fr-FR"/>
        </w:rPr>
      </w:pPr>
      <w:r w:rsidRPr="00F412FE">
        <w:rPr>
          <w:rStyle w:val="EndnoteReference"/>
          <w:sz w:val="20"/>
          <w:szCs w:val="20"/>
          <w:vertAlign w:val="baseline"/>
        </w:rPr>
        <w:endnoteRef/>
      </w:r>
      <w:r w:rsidRPr="00A0696A">
        <w:rPr>
          <w:rStyle w:val="EndnoteReference"/>
          <w:sz w:val="20"/>
          <w:szCs w:val="20"/>
          <w:vertAlign w:val="baseline"/>
          <w:lang w:val="fr-FR"/>
        </w:rPr>
        <w:t xml:space="preserve"> </w:t>
      </w:r>
      <w:r>
        <w:rPr>
          <w:sz w:val="20"/>
          <w:szCs w:val="20"/>
          <w:lang w:val="fr-FR"/>
        </w:rPr>
        <w:tab/>
        <w:t xml:space="preserve">E. </w:t>
      </w:r>
      <w:r>
        <w:rPr>
          <w:rStyle w:val="EndnoteReference"/>
          <w:sz w:val="20"/>
          <w:szCs w:val="20"/>
          <w:vertAlign w:val="baseline"/>
          <w:lang w:val="fr-FR"/>
        </w:rPr>
        <w:t>Funkhouser,</w:t>
      </w:r>
      <w:r w:rsidRPr="00A0696A">
        <w:rPr>
          <w:rStyle w:val="EndnoteReference"/>
          <w:sz w:val="20"/>
          <w:szCs w:val="20"/>
          <w:vertAlign w:val="baseline"/>
          <w:lang w:val="fr-FR"/>
        </w:rPr>
        <w:t xml:space="preserve"> </w:t>
      </w:r>
      <w:r w:rsidRPr="00A0696A">
        <w:rPr>
          <w:sz w:val="20"/>
          <w:szCs w:val="20"/>
          <w:lang w:val="fr-FR"/>
        </w:rPr>
        <w:t>‘</w:t>
      </w:r>
      <w:r w:rsidRPr="00A0696A">
        <w:rPr>
          <w:rStyle w:val="EndnoteReference"/>
          <w:sz w:val="20"/>
          <w:szCs w:val="20"/>
          <w:vertAlign w:val="baseline"/>
          <w:lang w:val="fr-FR"/>
        </w:rPr>
        <w:t>The effect of emigration on the labor market outcomes of sender households: a longitudinal approach using data from Nicaragua</w:t>
      </w:r>
      <w:r>
        <w:rPr>
          <w:sz w:val="20"/>
          <w:szCs w:val="20"/>
          <w:lang w:val="fr-FR"/>
        </w:rPr>
        <w:t>’</w:t>
      </w:r>
      <w:r>
        <w:rPr>
          <w:rStyle w:val="EndnoteReference"/>
          <w:sz w:val="20"/>
          <w:szCs w:val="20"/>
          <w:vertAlign w:val="baseline"/>
          <w:lang w:val="fr-FR"/>
        </w:rPr>
        <w:t>,</w:t>
      </w:r>
      <w:r w:rsidRPr="00A0696A">
        <w:rPr>
          <w:rStyle w:val="EndnoteReference"/>
          <w:sz w:val="20"/>
          <w:szCs w:val="20"/>
          <w:vertAlign w:val="baseline"/>
          <w:lang w:val="fr-FR"/>
        </w:rPr>
        <w:t xml:space="preserve"> </w:t>
      </w:r>
      <w:r w:rsidRPr="00A0696A">
        <w:rPr>
          <w:rStyle w:val="EndnoteReference"/>
          <w:i/>
          <w:sz w:val="20"/>
          <w:szCs w:val="20"/>
          <w:vertAlign w:val="baseline"/>
          <w:lang w:val="fr-FR"/>
        </w:rPr>
        <w:t>Well-Being and Social Policy</w:t>
      </w:r>
      <w:r w:rsidRPr="00A0696A">
        <w:rPr>
          <w:rStyle w:val="EndnoteReference"/>
          <w:sz w:val="20"/>
          <w:szCs w:val="20"/>
          <w:vertAlign w:val="baseline"/>
          <w:lang w:val="fr-FR"/>
        </w:rPr>
        <w:t>, 2(2), 2006. pp. 5–25.</w:t>
      </w:r>
    </w:p>
    <w:p w14:paraId="21E1AEAD" w14:textId="77777777" w:rsidR="005627B8" w:rsidRPr="00A0696A" w:rsidRDefault="005627B8" w:rsidP="000A2FB6">
      <w:pPr>
        <w:tabs>
          <w:tab w:val="left" w:pos="709"/>
        </w:tabs>
        <w:ind w:left="426" w:hanging="426"/>
        <w:jc w:val="both"/>
        <w:rPr>
          <w:rStyle w:val="EndnoteReference"/>
          <w:sz w:val="20"/>
          <w:szCs w:val="20"/>
          <w:vertAlign w:val="baseline"/>
          <w:lang w:val="fr-FR"/>
        </w:rPr>
      </w:pPr>
    </w:p>
  </w:endnote>
  <w:endnote w:id="5">
    <w:p w14:paraId="1AAE544F" w14:textId="35F5348B" w:rsidR="005627B8" w:rsidRDefault="005627B8" w:rsidP="000A2FB6">
      <w:pPr>
        <w:tabs>
          <w:tab w:val="left" w:pos="709"/>
        </w:tabs>
        <w:ind w:left="426" w:hanging="426"/>
        <w:jc w:val="both"/>
        <w:rPr>
          <w:sz w:val="20"/>
          <w:szCs w:val="20"/>
        </w:rPr>
      </w:pPr>
      <w:r w:rsidRPr="00F412FE">
        <w:rPr>
          <w:rStyle w:val="EndnoteReference"/>
          <w:sz w:val="20"/>
          <w:szCs w:val="20"/>
          <w:vertAlign w:val="baseline"/>
        </w:rPr>
        <w:endnoteRef/>
      </w:r>
      <w:r w:rsidRPr="00A0696A">
        <w:rPr>
          <w:rStyle w:val="EndnoteReference"/>
          <w:sz w:val="20"/>
          <w:szCs w:val="20"/>
          <w:vertAlign w:val="baseline"/>
          <w:lang w:val="fr-FR"/>
        </w:rPr>
        <w:t xml:space="preserve"> </w:t>
      </w:r>
      <w:r>
        <w:rPr>
          <w:rStyle w:val="EndnoteReference"/>
          <w:sz w:val="20"/>
          <w:szCs w:val="20"/>
          <w:vertAlign w:val="baseline"/>
          <w:lang w:val="fr-FR"/>
        </w:rPr>
        <w:tab/>
      </w:r>
      <w:r w:rsidRPr="00A0696A">
        <w:rPr>
          <w:sz w:val="20"/>
          <w:szCs w:val="20"/>
          <w:lang w:val="fr-FR"/>
        </w:rPr>
        <w:t xml:space="preserve">R. </w:t>
      </w:r>
      <w:r>
        <w:rPr>
          <w:rStyle w:val="EndnoteReference"/>
          <w:sz w:val="20"/>
          <w:szCs w:val="20"/>
          <w:vertAlign w:val="baseline"/>
          <w:lang w:val="fr-FR"/>
        </w:rPr>
        <w:t>Chami, C. Fullenkamp,</w:t>
      </w:r>
      <w:r w:rsidRPr="00A0696A">
        <w:rPr>
          <w:rStyle w:val="EndnoteReference"/>
          <w:sz w:val="20"/>
          <w:szCs w:val="20"/>
          <w:vertAlign w:val="baseline"/>
          <w:lang w:val="fr-FR"/>
        </w:rPr>
        <w:t xml:space="preserve"> and </w:t>
      </w:r>
      <w:r>
        <w:rPr>
          <w:sz w:val="20"/>
          <w:szCs w:val="20"/>
          <w:lang w:val="fr-FR"/>
        </w:rPr>
        <w:t xml:space="preserve">S. </w:t>
      </w:r>
      <w:r>
        <w:rPr>
          <w:rStyle w:val="EndnoteReference"/>
          <w:sz w:val="20"/>
          <w:szCs w:val="20"/>
          <w:vertAlign w:val="baseline"/>
          <w:lang w:val="fr-FR"/>
        </w:rPr>
        <w:t xml:space="preserve">Jahjah. </w:t>
      </w:r>
      <w:r w:rsidRPr="00A37DC3">
        <w:rPr>
          <w:rStyle w:val="EndnoteReference"/>
          <w:i/>
          <w:sz w:val="20"/>
          <w:szCs w:val="20"/>
          <w:vertAlign w:val="baseline"/>
          <w:lang w:val="fr-FR"/>
        </w:rPr>
        <w:t>Are Immigrant Remittance Flows a Source of Capital for Development?</w:t>
      </w:r>
      <w:r w:rsidRPr="00A0696A">
        <w:rPr>
          <w:rStyle w:val="EndnoteReference"/>
          <w:sz w:val="20"/>
          <w:szCs w:val="20"/>
          <w:vertAlign w:val="baseline"/>
          <w:lang w:val="fr-FR"/>
        </w:rPr>
        <w:t xml:space="preserve"> IMF Staff Paper</w:t>
      </w:r>
      <w:r w:rsidRPr="00A0696A">
        <w:rPr>
          <w:sz w:val="20"/>
          <w:szCs w:val="20"/>
        </w:rPr>
        <w:t>s</w:t>
      </w:r>
      <w:r w:rsidRPr="00A0696A">
        <w:rPr>
          <w:rStyle w:val="EndnoteReference"/>
          <w:sz w:val="20"/>
          <w:szCs w:val="20"/>
          <w:vertAlign w:val="baseline"/>
        </w:rPr>
        <w:t xml:space="preserve"> 52(1), Washington, DC.</w:t>
      </w:r>
    </w:p>
    <w:p w14:paraId="69F6EAA0" w14:textId="77777777" w:rsidR="005627B8" w:rsidRPr="00A0696A" w:rsidRDefault="005627B8" w:rsidP="00C43A4C">
      <w:pPr>
        <w:tabs>
          <w:tab w:val="left" w:pos="709"/>
        </w:tabs>
        <w:jc w:val="both"/>
        <w:rPr>
          <w:rStyle w:val="EndnoteReference"/>
          <w:sz w:val="20"/>
          <w:szCs w:val="20"/>
          <w:vertAlign w:val="baseline"/>
        </w:rPr>
      </w:pPr>
    </w:p>
  </w:endnote>
  <w:endnote w:id="6">
    <w:p w14:paraId="0F6EB15B" w14:textId="41A7CC1B" w:rsidR="005627B8" w:rsidRDefault="005627B8" w:rsidP="000A2FB6">
      <w:pPr>
        <w:tabs>
          <w:tab w:val="left" w:pos="709"/>
        </w:tabs>
        <w:ind w:left="426" w:hanging="426"/>
        <w:jc w:val="both"/>
        <w:rPr>
          <w:sz w:val="20"/>
          <w:szCs w:val="20"/>
        </w:rPr>
      </w:pPr>
      <w:r w:rsidRPr="00F412FE">
        <w:rPr>
          <w:rStyle w:val="EndnoteReference"/>
          <w:sz w:val="20"/>
          <w:szCs w:val="20"/>
          <w:vertAlign w:val="baseline"/>
        </w:rPr>
        <w:endnoteRef/>
      </w:r>
      <w:r w:rsidRPr="00F412FE">
        <w:rPr>
          <w:rStyle w:val="EndnoteReference"/>
          <w:sz w:val="20"/>
          <w:szCs w:val="20"/>
          <w:vertAlign w:val="baseline"/>
        </w:rPr>
        <w:t xml:space="preserve"> </w:t>
      </w:r>
      <w:r>
        <w:rPr>
          <w:sz w:val="20"/>
          <w:szCs w:val="20"/>
        </w:rPr>
        <w:tab/>
        <w:t xml:space="preserve">See, for instance, A. </w:t>
      </w:r>
      <w:r>
        <w:rPr>
          <w:rStyle w:val="EndnoteReference"/>
          <w:sz w:val="20"/>
          <w:szCs w:val="20"/>
          <w:vertAlign w:val="baseline"/>
        </w:rPr>
        <w:t xml:space="preserve">Cox-Edwards </w:t>
      </w:r>
      <w:r w:rsidRPr="00F412FE">
        <w:rPr>
          <w:rStyle w:val="EndnoteReference"/>
          <w:sz w:val="20"/>
          <w:szCs w:val="20"/>
          <w:vertAlign w:val="baseline"/>
        </w:rPr>
        <w:t xml:space="preserve">and </w:t>
      </w:r>
      <w:r>
        <w:rPr>
          <w:sz w:val="20"/>
          <w:szCs w:val="20"/>
        </w:rPr>
        <w:t xml:space="preserve">M. </w:t>
      </w:r>
      <w:r>
        <w:rPr>
          <w:rStyle w:val="EndnoteReference"/>
          <w:sz w:val="20"/>
          <w:szCs w:val="20"/>
          <w:vertAlign w:val="baseline"/>
        </w:rPr>
        <w:t>Ureta,</w:t>
      </w:r>
      <w:r w:rsidRPr="00F412FE">
        <w:rPr>
          <w:rStyle w:val="EndnoteReference"/>
          <w:sz w:val="20"/>
          <w:szCs w:val="20"/>
          <w:vertAlign w:val="baseline"/>
        </w:rPr>
        <w:t xml:space="preserve"> </w:t>
      </w:r>
      <w:hyperlink r:id="rId1" w:history="1">
        <w:r w:rsidRPr="00A0696A">
          <w:rPr>
            <w:rStyle w:val="EndnoteReference"/>
            <w:i/>
            <w:sz w:val="20"/>
            <w:szCs w:val="20"/>
            <w:vertAlign w:val="baseline"/>
          </w:rPr>
          <w:t>International Migration, Remittances, and Schooling</w:t>
        </w:r>
        <w:r>
          <w:rPr>
            <w:rStyle w:val="EndnoteReference"/>
            <w:sz w:val="20"/>
            <w:szCs w:val="20"/>
            <w:vertAlign w:val="baseline"/>
          </w:rPr>
          <w:t>, NBER</w:t>
        </w:r>
      </w:hyperlink>
      <w:r>
        <w:rPr>
          <w:sz w:val="20"/>
          <w:szCs w:val="20"/>
        </w:rPr>
        <w:t xml:space="preserve"> Working Papers 9766, 2003.</w:t>
      </w:r>
    </w:p>
    <w:p w14:paraId="2A69FB0D" w14:textId="77777777" w:rsidR="005627B8" w:rsidRPr="00F412FE" w:rsidRDefault="005627B8" w:rsidP="000A2FB6">
      <w:pPr>
        <w:tabs>
          <w:tab w:val="left" w:pos="709"/>
        </w:tabs>
        <w:ind w:left="426" w:hanging="426"/>
        <w:jc w:val="both"/>
        <w:rPr>
          <w:rStyle w:val="EndnoteReference"/>
          <w:sz w:val="20"/>
          <w:szCs w:val="20"/>
          <w:vertAlign w:val="baseline"/>
        </w:rPr>
      </w:pPr>
    </w:p>
  </w:endnote>
  <w:endnote w:id="7">
    <w:p w14:paraId="51DD1B2D" w14:textId="5682E049" w:rsidR="005627B8" w:rsidRDefault="005627B8" w:rsidP="000A2FB6">
      <w:pPr>
        <w:tabs>
          <w:tab w:val="left" w:pos="709"/>
        </w:tabs>
        <w:ind w:left="426" w:hanging="426"/>
        <w:jc w:val="both"/>
        <w:rPr>
          <w:sz w:val="20"/>
          <w:szCs w:val="20"/>
        </w:rPr>
      </w:pPr>
      <w:r w:rsidRPr="00F412FE">
        <w:rPr>
          <w:rStyle w:val="EndnoteReference"/>
          <w:sz w:val="20"/>
          <w:szCs w:val="20"/>
          <w:vertAlign w:val="baseline"/>
        </w:rPr>
        <w:endnoteRef/>
      </w:r>
      <w:r w:rsidRPr="00F412FE">
        <w:rPr>
          <w:rStyle w:val="EndnoteReference"/>
          <w:sz w:val="20"/>
          <w:szCs w:val="20"/>
          <w:vertAlign w:val="baseline"/>
        </w:rPr>
        <w:t xml:space="preserve"> </w:t>
      </w:r>
      <w:r>
        <w:rPr>
          <w:sz w:val="20"/>
          <w:szCs w:val="20"/>
        </w:rPr>
        <w:tab/>
        <w:t>‘</w:t>
      </w:r>
      <w:r w:rsidRPr="00F412FE">
        <w:rPr>
          <w:rStyle w:val="EndnoteReference"/>
          <w:sz w:val="20"/>
          <w:szCs w:val="20"/>
          <w:vertAlign w:val="baseline"/>
        </w:rPr>
        <w:t>Liquidity constraint</w:t>
      </w:r>
      <w:r>
        <w:rPr>
          <w:sz w:val="20"/>
          <w:szCs w:val="20"/>
        </w:rPr>
        <w:t>’</w:t>
      </w:r>
      <w:r w:rsidRPr="00F412FE">
        <w:rPr>
          <w:rStyle w:val="EndnoteReference"/>
          <w:sz w:val="20"/>
          <w:szCs w:val="20"/>
          <w:vertAlign w:val="baseline"/>
        </w:rPr>
        <w:t xml:space="preserve"> in the context of remittances should be interpreted as </w:t>
      </w:r>
      <w:r>
        <w:rPr>
          <w:sz w:val="20"/>
          <w:szCs w:val="20"/>
        </w:rPr>
        <w:t xml:space="preserve">the </w:t>
      </w:r>
      <w:r w:rsidRPr="00F412FE">
        <w:rPr>
          <w:rStyle w:val="EndnoteReference"/>
          <w:sz w:val="20"/>
          <w:szCs w:val="20"/>
          <w:vertAlign w:val="baseline"/>
        </w:rPr>
        <w:t xml:space="preserve">inability of households to borrow and to invest in productive activities, </w:t>
      </w:r>
      <w:r>
        <w:rPr>
          <w:rStyle w:val="EndnoteReference"/>
          <w:sz w:val="20"/>
          <w:szCs w:val="20"/>
          <w:vertAlign w:val="baseline"/>
        </w:rPr>
        <w:t>including</w:t>
      </w:r>
      <w:r w:rsidRPr="00F412FE">
        <w:rPr>
          <w:rStyle w:val="EndnoteReference"/>
          <w:sz w:val="20"/>
          <w:szCs w:val="20"/>
          <w:vertAlign w:val="baseline"/>
        </w:rPr>
        <w:t xml:space="preserve"> education, due to a lack of financial resources</w:t>
      </w:r>
      <w:r w:rsidRPr="00E26A9E">
        <w:rPr>
          <w:rStyle w:val="EndnoteReference"/>
          <w:vertAlign w:val="baseline"/>
        </w:rPr>
        <w:t xml:space="preserve"> </w:t>
      </w:r>
      <w:r w:rsidRPr="00E26A9E">
        <w:rPr>
          <w:rStyle w:val="EndnoteReference"/>
          <w:sz w:val="20"/>
          <w:szCs w:val="20"/>
          <w:vertAlign w:val="baseline"/>
        </w:rPr>
        <w:t>and corresponding lack of ability to collateralize loans</w:t>
      </w:r>
      <w:r w:rsidRPr="00F412FE">
        <w:rPr>
          <w:rStyle w:val="EndnoteReference"/>
          <w:sz w:val="20"/>
          <w:szCs w:val="20"/>
          <w:vertAlign w:val="baseline"/>
        </w:rPr>
        <w:t>.</w:t>
      </w:r>
    </w:p>
    <w:p w14:paraId="00FE676D" w14:textId="2A685E32" w:rsidR="005627B8" w:rsidRPr="00F412FE" w:rsidRDefault="005627B8" w:rsidP="000A2FB6">
      <w:pPr>
        <w:tabs>
          <w:tab w:val="left" w:pos="709"/>
        </w:tabs>
        <w:ind w:left="284" w:hanging="284"/>
        <w:jc w:val="both"/>
        <w:rPr>
          <w:rStyle w:val="EndnoteReference"/>
          <w:sz w:val="20"/>
          <w:szCs w:val="20"/>
          <w:vertAlign w:val="baseline"/>
        </w:rPr>
      </w:pPr>
      <w:r w:rsidRPr="00F412FE">
        <w:rPr>
          <w:rStyle w:val="EndnoteReference"/>
          <w:sz w:val="20"/>
          <w:szCs w:val="20"/>
          <w:vertAlign w:val="baseline"/>
        </w:rPr>
        <w:t xml:space="preserve">  </w:t>
      </w:r>
    </w:p>
  </w:endnote>
  <w:endnote w:id="8">
    <w:p w14:paraId="1AE596DB" w14:textId="33860B25" w:rsidR="005627B8" w:rsidRDefault="005627B8" w:rsidP="000A2FB6">
      <w:pPr>
        <w:tabs>
          <w:tab w:val="left" w:pos="709"/>
        </w:tabs>
        <w:ind w:left="426" w:hanging="426"/>
        <w:jc w:val="both"/>
        <w:rPr>
          <w:sz w:val="20"/>
          <w:szCs w:val="20"/>
        </w:rPr>
      </w:pPr>
      <w:r w:rsidRPr="00F412FE">
        <w:rPr>
          <w:rStyle w:val="EndnoteReference"/>
          <w:sz w:val="20"/>
          <w:szCs w:val="20"/>
          <w:vertAlign w:val="baseline"/>
        </w:rPr>
        <w:endnoteRef/>
      </w:r>
      <w:r w:rsidRPr="00F412FE">
        <w:rPr>
          <w:rStyle w:val="EndnoteReference"/>
          <w:sz w:val="20"/>
          <w:szCs w:val="20"/>
          <w:vertAlign w:val="baseline"/>
        </w:rPr>
        <w:t xml:space="preserve"> </w:t>
      </w:r>
      <w:r>
        <w:rPr>
          <w:sz w:val="20"/>
          <w:szCs w:val="20"/>
        </w:rPr>
        <w:tab/>
      </w:r>
      <w:r w:rsidRPr="00F412FE">
        <w:rPr>
          <w:rStyle w:val="EndnoteReference"/>
          <w:sz w:val="20"/>
          <w:szCs w:val="20"/>
          <w:vertAlign w:val="baseline"/>
        </w:rPr>
        <w:t>See</w:t>
      </w:r>
      <w:r>
        <w:rPr>
          <w:sz w:val="20"/>
          <w:szCs w:val="20"/>
        </w:rPr>
        <w:t>,</w:t>
      </w:r>
      <w:r>
        <w:rPr>
          <w:rStyle w:val="EndnoteReference"/>
          <w:sz w:val="20"/>
          <w:szCs w:val="20"/>
          <w:vertAlign w:val="baseline"/>
        </w:rPr>
        <w:t xml:space="preserve"> for example: Hanson and Woodruff, op. cit.; Cox-Edwards and Ureta, op. cit.;</w:t>
      </w:r>
      <w:r>
        <w:rPr>
          <w:sz w:val="20"/>
          <w:szCs w:val="20"/>
        </w:rPr>
        <w:t xml:space="preserve"> also D. McKenzie and H. Rapoport, </w:t>
      </w:r>
      <w:r w:rsidRPr="00A0696A">
        <w:rPr>
          <w:rStyle w:val="EndnoteReference"/>
          <w:i/>
          <w:sz w:val="20"/>
          <w:szCs w:val="20"/>
          <w:vertAlign w:val="baseline"/>
        </w:rPr>
        <w:t>Can Migration Reduce Educational Attainments? Depressing Evidence from Mexico</w:t>
      </w:r>
      <w:r w:rsidRPr="00F412FE">
        <w:rPr>
          <w:rStyle w:val="EndnoteReference"/>
          <w:sz w:val="20"/>
          <w:szCs w:val="20"/>
          <w:vertAlign w:val="baseline"/>
        </w:rPr>
        <w:t>, Stanford Center for International Development</w:t>
      </w:r>
      <w:r>
        <w:rPr>
          <w:sz w:val="20"/>
          <w:szCs w:val="20"/>
        </w:rPr>
        <w:t>,</w:t>
      </w:r>
      <w:r>
        <w:rPr>
          <w:rStyle w:val="EndnoteReference"/>
          <w:sz w:val="20"/>
          <w:szCs w:val="20"/>
          <w:vertAlign w:val="baseline"/>
        </w:rPr>
        <w:t xml:space="preserve"> Working Paper 274, 2006; C. Amuedo-Dorantes, A. Georges and S. Pozo, </w:t>
      </w:r>
      <w:r w:rsidRPr="000A2FB6">
        <w:rPr>
          <w:rStyle w:val="EndnoteReference"/>
          <w:i/>
          <w:sz w:val="20"/>
          <w:szCs w:val="20"/>
          <w:vertAlign w:val="baseline"/>
        </w:rPr>
        <w:t>Migration, Remittances and Children’s Schooling in Haiti</w:t>
      </w:r>
      <w:r w:rsidRPr="00F412FE">
        <w:rPr>
          <w:rStyle w:val="EndnoteReference"/>
          <w:sz w:val="20"/>
          <w:szCs w:val="20"/>
          <w:vertAlign w:val="baseline"/>
        </w:rPr>
        <w:t>, IZA Discussion Paper</w:t>
      </w:r>
      <w:r>
        <w:rPr>
          <w:sz w:val="20"/>
          <w:szCs w:val="20"/>
        </w:rPr>
        <w:t xml:space="preserve"> 3657, 2008.</w:t>
      </w:r>
    </w:p>
    <w:p w14:paraId="74F650E6" w14:textId="77777777" w:rsidR="005627B8" w:rsidRPr="00F412FE" w:rsidRDefault="005627B8" w:rsidP="000A2FB6">
      <w:pPr>
        <w:tabs>
          <w:tab w:val="left" w:pos="709"/>
        </w:tabs>
        <w:ind w:left="284" w:hanging="284"/>
        <w:jc w:val="both"/>
        <w:rPr>
          <w:rStyle w:val="EndnoteReference"/>
          <w:sz w:val="20"/>
          <w:szCs w:val="20"/>
          <w:vertAlign w:val="baseline"/>
        </w:rPr>
      </w:pPr>
    </w:p>
  </w:endnote>
  <w:endnote w:id="9">
    <w:p w14:paraId="070AAD79" w14:textId="6594867B" w:rsidR="005627B8" w:rsidRDefault="005627B8" w:rsidP="000A2FB6">
      <w:pPr>
        <w:tabs>
          <w:tab w:val="left" w:pos="709"/>
        </w:tabs>
        <w:ind w:left="426" w:hanging="426"/>
        <w:jc w:val="both"/>
        <w:rPr>
          <w:sz w:val="20"/>
          <w:szCs w:val="20"/>
          <w:lang w:val="fr-FR"/>
        </w:rPr>
      </w:pPr>
      <w:r w:rsidRPr="00F412FE">
        <w:rPr>
          <w:rStyle w:val="EndnoteReference"/>
          <w:sz w:val="20"/>
          <w:szCs w:val="20"/>
          <w:vertAlign w:val="baseline"/>
        </w:rPr>
        <w:endnoteRef/>
      </w:r>
      <w:r w:rsidRPr="00F412FE">
        <w:rPr>
          <w:rStyle w:val="EndnoteReference"/>
          <w:sz w:val="20"/>
          <w:szCs w:val="20"/>
          <w:vertAlign w:val="baseline"/>
        </w:rPr>
        <w:t xml:space="preserve"> </w:t>
      </w:r>
      <w:r>
        <w:rPr>
          <w:sz w:val="20"/>
          <w:szCs w:val="20"/>
        </w:rPr>
        <w:tab/>
        <w:t xml:space="preserve">For instance, C. </w:t>
      </w:r>
      <w:r>
        <w:rPr>
          <w:rStyle w:val="EndnoteReference"/>
          <w:sz w:val="20"/>
          <w:szCs w:val="20"/>
          <w:vertAlign w:val="baseline"/>
        </w:rPr>
        <w:t xml:space="preserve">Amuedo-Dorantes </w:t>
      </w:r>
      <w:r w:rsidRPr="00F412FE">
        <w:rPr>
          <w:rStyle w:val="EndnoteReference"/>
          <w:sz w:val="20"/>
          <w:szCs w:val="20"/>
          <w:vertAlign w:val="baseline"/>
        </w:rPr>
        <w:t xml:space="preserve">and </w:t>
      </w:r>
      <w:r>
        <w:rPr>
          <w:sz w:val="20"/>
          <w:szCs w:val="20"/>
        </w:rPr>
        <w:t xml:space="preserve">S. </w:t>
      </w:r>
      <w:r>
        <w:rPr>
          <w:rStyle w:val="EndnoteReference"/>
          <w:sz w:val="20"/>
          <w:szCs w:val="20"/>
          <w:vertAlign w:val="baseline"/>
        </w:rPr>
        <w:t>Pozo</w:t>
      </w:r>
      <w:r w:rsidRPr="00F412FE">
        <w:rPr>
          <w:rStyle w:val="EndnoteReference"/>
          <w:sz w:val="20"/>
          <w:szCs w:val="20"/>
          <w:vertAlign w:val="baseline"/>
        </w:rPr>
        <w:t xml:space="preserve">, </w:t>
      </w:r>
      <w:r w:rsidRPr="000A2FB6">
        <w:rPr>
          <w:rStyle w:val="EndnoteReference"/>
          <w:i/>
          <w:sz w:val="20"/>
          <w:szCs w:val="20"/>
          <w:vertAlign w:val="baseline"/>
        </w:rPr>
        <w:t>International Migration, Remittances and the Education of Children: The Dominican Case</w:t>
      </w:r>
      <w:r>
        <w:rPr>
          <w:rStyle w:val="EndnoteReference"/>
          <w:sz w:val="20"/>
          <w:szCs w:val="20"/>
          <w:vertAlign w:val="baseline"/>
        </w:rPr>
        <w:t xml:space="preserve">, </w:t>
      </w:r>
      <w:r w:rsidRPr="00F412FE">
        <w:rPr>
          <w:rStyle w:val="EndnoteReference"/>
          <w:sz w:val="20"/>
          <w:szCs w:val="20"/>
          <w:vertAlign w:val="baseline"/>
        </w:rPr>
        <w:t>Working Paper, Western Michigan University, 2006</w:t>
      </w:r>
      <w:r w:rsidRPr="000A2FB6">
        <w:rPr>
          <w:sz w:val="20"/>
          <w:szCs w:val="20"/>
          <w:lang w:val="fr-FR"/>
        </w:rPr>
        <w:t>.</w:t>
      </w:r>
    </w:p>
    <w:p w14:paraId="0DF80FB4" w14:textId="77777777" w:rsidR="005627B8" w:rsidRPr="000A2FB6" w:rsidRDefault="005627B8" w:rsidP="000A2FB6">
      <w:pPr>
        <w:tabs>
          <w:tab w:val="left" w:pos="709"/>
        </w:tabs>
        <w:ind w:left="284" w:hanging="284"/>
        <w:jc w:val="both"/>
        <w:rPr>
          <w:rStyle w:val="EndnoteReference"/>
          <w:sz w:val="20"/>
          <w:szCs w:val="20"/>
          <w:vertAlign w:val="baseline"/>
          <w:lang w:val="fr-FR"/>
        </w:rPr>
      </w:pPr>
    </w:p>
  </w:endnote>
  <w:endnote w:id="10">
    <w:p w14:paraId="64C036EC" w14:textId="5EF6E41E" w:rsidR="005627B8" w:rsidRDefault="005627B8" w:rsidP="000A2FB6">
      <w:pPr>
        <w:tabs>
          <w:tab w:val="left" w:pos="709"/>
        </w:tabs>
        <w:ind w:left="426" w:hanging="426"/>
        <w:jc w:val="both"/>
        <w:rPr>
          <w:sz w:val="20"/>
          <w:szCs w:val="20"/>
          <w:lang w:val="sv-SE"/>
        </w:rPr>
      </w:pPr>
      <w:r w:rsidRPr="00F412FE">
        <w:rPr>
          <w:rStyle w:val="EndnoteReference"/>
          <w:sz w:val="20"/>
          <w:szCs w:val="20"/>
          <w:vertAlign w:val="baseline"/>
        </w:rPr>
        <w:endnoteRef/>
      </w:r>
      <w:r w:rsidRPr="000A2FB6">
        <w:rPr>
          <w:rStyle w:val="EndnoteReference"/>
          <w:sz w:val="20"/>
          <w:szCs w:val="20"/>
          <w:vertAlign w:val="baseline"/>
          <w:lang w:val="fr-FR"/>
        </w:rPr>
        <w:t xml:space="preserve"> </w:t>
      </w:r>
      <w:r>
        <w:rPr>
          <w:sz w:val="20"/>
          <w:szCs w:val="20"/>
          <w:lang w:val="fr-FR"/>
        </w:rPr>
        <w:tab/>
        <w:t xml:space="preserve">Y. </w:t>
      </w:r>
      <w:r w:rsidRPr="000A2FB6">
        <w:rPr>
          <w:rStyle w:val="EndnoteReference"/>
          <w:sz w:val="20"/>
          <w:szCs w:val="20"/>
          <w:vertAlign w:val="baseline"/>
          <w:lang w:val="fr-FR"/>
        </w:rPr>
        <w:t>L</w:t>
      </w:r>
      <w:r>
        <w:rPr>
          <w:rStyle w:val="EndnoteReference"/>
          <w:sz w:val="20"/>
          <w:szCs w:val="20"/>
          <w:vertAlign w:val="baseline"/>
          <w:lang w:val="fr-FR"/>
        </w:rPr>
        <w:t>u</w:t>
      </w:r>
      <w:r w:rsidRPr="000A2FB6">
        <w:rPr>
          <w:rStyle w:val="EndnoteReference"/>
          <w:sz w:val="20"/>
          <w:szCs w:val="20"/>
          <w:vertAlign w:val="baseline"/>
          <w:lang w:val="fr-FR"/>
        </w:rPr>
        <w:t xml:space="preserve"> and </w:t>
      </w:r>
      <w:r w:rsidRPr="000A2FB6">
        <w:rPr>
          <w:sz w:val="20"/>
          <w:szCs w:val="20"/>
          <w:lang w:val="sv-SE"/>
        </w:rPr>
        <w:t>D.J.</w:t>
      </w:r>
      <w:r>
        <w:rPr>
          <w:sz w:val="20"/>
          <w:szCs w:val="20"/>
          <w:lang w:val="sv-SE"/>
        </w:rPr>
        <w:t xml:space="preserve"> </w:t>
      </w:r>
      <w:r>
        <w:rPr>
          <w:rStyle w:val="EndnoteReference"/>
          <w:sz w:val="20"/>
          <w:szCs w:val="20"/>
          <w:vertAlign w:val="baseline"/>
          <w:lang w:val="sv-SE"/>
        </w:rPr>
        <w:t>Treiman,</w:t>
      </w:r>
      <w:r w:rsidRPr="000A2FB6">
        <w:rPr>
          <w:rStyle w:val="EndnoteReference"/>
          <w:sz w:val="20"/>
          <w:szCs w:val="20"/>
          <w:vertAlign w:val="baseline"/>
          <w:lang w:val="sv-SE"/>
        </w:rPr>
        <w:t xml:space="preserve">  </w:t>
      </w:r>
      <w:r w:rsidRPr="000A2FB6">
        <w:rPr>
          <w:rStyle w:val="EndnoteReference"/>
          <w:i/>
          <w:sz w:val="20"/>
          <w:szCs w:val="20"/>
          <w:vertAlign w:val="baseline"/>
          <w:lang w:val="sv-SE"/>
        </w:rPr>
        <w:t>The Effect of Labor Migration and Remittances on Children’s Education among Blacks in South Africa</w:t>
      </w:r>
      <w:r w:rsidRPr="000A2FB6">
        <w:rPr>
          <w:rStyle w:val="EndnoteReference"/>
          <w:sz w:val="20"/>
          <w:szCs w:val="20"/>
          <w:vertAlign w:val="baseline"/>
          <w:lang w:val="sv-SE"/>
        </w:rPr>
        <w:t>, California Cen</w:t>
      </w:r>
      <w:r>
        <w:rPr>
          <w:rStyle w:val="EndnoteReference"/>
          <w:sz w:val="20"/>
          <w:szCs w:val="20"/>
          <w:vertAlign w:val="baseline"/>
          <w:lang w:val="sv-SE"/>
        </w:rPr>
        <w:t>ter for Population Research Onl</w:t>
      </w:r>
      <w:r w:rsidRPr="000A2FB6">
        <w:rPr>
          <w:rStyle w:val="EndnoteReference"/>
          <w:sz w:val="20"/>
          <w:szCs w:val="20"/>
          <w:vertAlign w:val="baseline"/>
          <w:lang w:val="sv-SE"/>
        </w:rPr>
        <w:t>ine Working Paper CCPR-001-07</w:t>
      </w:r>
      <w:r>
        <w:rPr>
          <w:sz w:val="20"/>
          <w:szCs w:val="20"/>
          <w:lang w:val="sv-SE"/>
        </w:rPr>
        <w:t>, 2007.</w:t>
      </w:r>
    </w:p>
    <w:p w14:paraId="47A4C280" w14:textId="77777777" w:rsidR="005627B8" w:rsidRPr="000A2FB6" w:rsidRDefault="005627B8" w:rsidP="000A2FB6">
      <w:pPr>
        <w:tabs>
          <w:tab w:val="left" w:pos="709"/>
        </w:tabs>
        <w:ind w:left="284" w:hanging="284"/>
        <w:jc w:val="both"/>
        <w:rPr>
          <w:rStyle w:val="EndnoteReference"/>
          <w:sz w:val="20"/>
          <w:szCs w:val="20"/>
          <w:vertAlign w:val="baseline"/>
          <w:lang w:val="sv-SE"/>
        </w:rPr>
      </w:pPr>
    </w:p>
  </w:endnote>
  <w:endnote w:id="11">
    <w:p w14:paraId="3267830D" w14:textId="12B0C55A" w:rsidR="005627B8" w:rsidRDefault="005627B8" w:rsidP="000A2FB6">
      <w:pPr>
        <w:tabs>
          <w:tab w:val="left" w:pos="709"/>
        </w:tabs>
        <w:ind w:left="426" w:hanging="426"/>
        <w:rPr>
          <w:sz w:val="20"/>
          <w:szCs w:val="20"/>
        </w:rPr>
      </w:pPr>
      <w:r w:rsidRPr="00F412FE">
        <w:rPr>
          <w:rStyle w:val="EndnoteReference"/>
          <w:sz w:val="20"/>
          <w:szCs w:val="20"/>
          <w:vertAlign w:val="baseline"/>
        </w:rPr>
        <w:endnoteRef/>
      </w:r>
      <w:r w:rsidRPr="00A37DC3">
        <w:rPr>
          <w:rStyle w:val="EndnoteReference"/>
          <w:sz w:val="20"/>
          <w:szCs w:val="20"/>
          <w:vertAlign w:val="baseline"/>
        </w:rPr>
        <w:t xml:space="preserve"> </w:t>
      </w:r>
      <w:r w:rsidRPr="00A37DC3">
        <w:rPr>
          <w:sz w:val="20"/>
          <w:szCs w:val="20"/>
        </w:rPr>
        <w:tab/>
      </w:r>
      <w:r w:rsidRPr="00A37DC3">
        <w:rPr>
          <w:rStyle w:val="EndnoteReference"/>
          <w:sz w:val="20"/>
          <w:szCs w:val="20"/>
          <w:vertAlign w:val="baseline"/>
        </w:rPr>
        <w:t>As example</w:t>
      </w:r>
      <w:r w:rsidRPr="00A37DC3">
        <w:rPr>
          <w:sz w:val="20"/>
          <w:szCs w:val="20"/>
        </w:rPr>
        <w:t>s</w:t>
      </w:r>
      <w:r w:rsidRPr="00A37DC3">
        <w:rPr>
          <w:rStyle w:val="EndnoteReference"/>
          <w:sz w:val="20"/>
          <w:szCs w:val="20"/>
          <w:vertAlign w:val="baseline"/>
        </w:rPr>
        <w:t>: Cox-Edwards and Ureta, op. cit.; Calero et al., op. cit.</w:t>
      </w:r>
    </w:p>
    <w:p w14:paraId="16C68351" w14:textId="77777777" w:rsidR="005627B8" w:rsidRPr="00F412FE" w:rsidRDefault="005627B8" w:rsidP="00C43A4C">
      <w:pPr>
        <w:tabs>
          <w:tab w:val="left" w:pos="709"/>
        </w:tabs>
        <w:jc w:val="both"/>
        <w:rPr>
          <w:rStyle w:val="EndnoteReference"/>
          <w:sz w:val="20"/>
          <w:szCs w:val="20"/>
          <w:vertAlign w:val="baseline"/>
        </w:rPr>
      </w:pPr>
    </w:p>
  </w:endnote>
  <w:endnote w:id="12">
    <w:p w14:paraId="5142DBFC" w14:textId="4A21D667" w:rsidR="005627B8" w:rsidRPr="000A2FB6" w:rsidRDefault="005627B8" w:rsidP="000A2FB6">
      <w:pPr>
        <w:tabs>
          <w:tab w:val="left" w:pos="709"/>
        </w:tabs>
        <w:ind w:left="426" w:hanging="426"/>
        <w:jc w:val="both"/>
        <w:rPr>
          <w:sz w:val="20"/>
          <w:szCs w:val="20"/>
        </w:rPr>
      </w:pPr>
      <w:r w:rsidRPr="00F412FE">
        <w:rPr>
          <w:rStyle w:val="EndnoteReference"/>
          <w:sz w:val="20"/>
          <w:szCs w:val="20"/>
          <w:vertAlign w:val="baseline"/>
        </w:rPr>
        <w:endnoteRef/>
      </w:r>
      <w:r w:rsidRPr="00F412FE">
        <w:rPr>
          <w:rStyle w:val="EndnoteReference"/>
          <w:sz w:val="20"/>
          <w:szCs w:val="20"/>
          <w:vertAlign w:val="baseline"/>
        </w:rPr>
        <w:t xml:space="preserve"> </w:t>
      </w:r>
      <w:r>
        <w:rPr>
          <w:sz w:val="20"/>
          <w:szCs w:val="20"/>
        </w:rPr>
        <w:tab/>
      </w:r>
      <w:r>
        <w:rPr>
          <w:rStyle w:val="EndnoteReference"/>
          <w:sz w:val="20"/>
          <w:szCs w:val="20"/>
          <w:vertAlign w:val="baseline"/>
        </w:rPr>
        <w:t xml:space="preserve">For instance, P. Acosta, </w:t>
      </w:r>
      <w:r>
        <w:rPr>
          <w:i/>
          <w:sz w:val="20"/>
          <w:szCs w:val="20"/>
        </w:rPr>
        <w:t xml:space="preserve">Labor Supply, School Attendance and Remittances from International Migration: the Case of El Salvador, </w:t>
      </w:r>
      <w:r>
        <w:rPr>
          <w:sz w:val="20"/>
          <w:szCs w:val="20"/>
        </w:rPr>
        <w:t>World Bank Policy Research Working Paper 3903, Washington DC, 2006.</w:t>
      </w:r>
    </w:p>
    <w:p w14:paraId="6592ACFA" w14:textId="77777777" w:rsidR="005627B8" w:rsidRPr="00F412FE" w:rsidRDefault="005627B8" w:rsidP="000A2FB6">
      <w:pPr>
        <w:tabs>
          <w:tab w:val="left" w:pos="709"/>
        </w:tabs>
        <w:ind w:left="284" w:hanging="284"/>
        <w:jc w:val="both"/>
        <w:rPr>
          <w:rStyle w:val="EndnoteReference"/>
          <w:sz w:val="20"/>
          <w:szCs w:val="20"/>
          <w:vertAlign w:val="baseline"/>
        </w:rPr>
      </w:pPr>
    </w:p>
  </w:endnote>
  <w:endnote w:id="13">
    <w:p w14:paraId="6AAA8FBA" w14:textId="033CC0C5" w:rsidR="005627B8" w:rsidRPr="000A2FB6" w:rsidRDefault="005627B8" w:rsidP="004A2043">
      <w:pPr>
        <w:tabs>
          <w:tab w:val="left" w:pos="709"/>
        </w:tabs>
        <w:ind w:left="426" w:hanging="426"/>
        <w:jc w:val="both"/>
        <w:rPr>
          <w:sz w:val="20"/>
          <w:szCs w:val="20"/>
        </w:rPr>
      </w:pPr>
      <w:r w:rsidRPr="00F412FE">
        <w:rPr>
          <w:rStyle w:val="EndnoteReference"/>
          <w:sz w:val="20"/>
          <w:szCs w:val="20"/>
          <w:vertAlign w:val="baseline"/>
        </w:rPr>
        <w:endnoteRef/>
      </w:r>
      <w:r w:rsidRPr="00F412FE">
        <w:rPr>
          <w:rStyle w:val="EndnoteReference"/>
          <w:sz w:val="20"/>
          <w:szCs w:val="20"/>
          <w:vertAlign w:val="baseline"/>
        </w:rPr>
        <w:t xml:space="preserve"> </w:t>
      </w:r>
      <w:r>
        <w:rPr>
          <w:sz w:val="20"/>
          <w:szCs w:val="20"/>
        </w:rPr>
        <w:tab/>
      </w:r>
      <w:r>
        <w:rPr>
          <w:rStyle w:val="EndnoteReference"/>
          <w:sz w:val="20"/>
          <w:szCs w:val="20"/>
          <w:vertAlign w:val="baseline"/>
        </w:rPr>
        <w:t xml:space="preserve">See A. Cuecuecha, </w:t>
      </w:r>
      <w:r>
        <w:rPr>
          <w:i/>
          <w:sz w:val="20"/>
          <w:szCs w:val="20"/>
        </w:rPr>
        <w:t xml:space="preserve">The Effect of Remittances and Migration on Human Capital: Evidence from Mexico, </w:t>
      </w:r>
      <w:r>
        <w:rPr>
          <w:sz w:val="20"/>
          <w:szCs w:val="20"/>
        </w:rPr>
        <w:t>ITAM Working Paper, 2008.</w:t>
      </w:r>
    </w:p>
    <w:p w14:paraId="6C7D8415" w14:textId="77777777" w:rsidR="005627B8" w:rsidRPr="00F412FE" w:rsidRDefault="005627B8" w:rsidP="00C43A4C">
      <w:pPr>
        <w:tabs>
          <w:tab w:val="left" w:pos="709"/>
        </w:tabs>
        <w:jc w:val="both"/>
        <w:rPr>
          <w:rStyle w:val="EndnoteReference"/>
          <w:sz w:val="20"/>
          <w:szCs w:val="20"/>
          <w:vertAlign w:val="baseline"/>
        </w:rPr>
      </w:pPr>
    </w:p>
  </w:endnote>
  <w:endnote w:id="14">
    <w:p w14:paraId="006B2CF9" w14:textId="20004DBE" w:rsidR="005627B8" w:rsidRDefault="005627B8" w:rsidP="004A2043">
      <w:pPr>
        <w:tabs>
          <w:tab w:val="left" w:pos="709"/>
        </w:tabs>
        <w:ind w:left="426" w:hanging="426"/>
        <w:jc w:val="both"/>
        <w:rPr>
          <w:sz w:val="20"/>
          <w:szCs w:val="20"/>
        </w:rPr>
      </w:pPr>
      <w:r w:rsidRPr="00F412FE">
        <w:rPr>
          <w:rStyle w:val="EndnoteReference"/>
          <w:sz w:val="20"/>
          <w:szCs w:val="20"/>
          <w:vertAlign w:val="baseline"/>
        </w:rPr>
        <w:endnoteRef/>
      </w:r>
      <w:r w:rsidRPr="00F412FE">
        <w:rPr>
          <w:rStyle w:val="EndnoteReference"/>
          <w:sz w:val="20"/>
          <w:szCs w:val="20"/>
          <w:vertAlign w:val="baseline"/>
        </w:rPr>
        <w:t xml:space="preserve"> </w:t>
      </w:r>
      <w:r>
        <w:rPr>
          <w:sz w:val="20"/>
          <w:szCs w:val="20"/>
        </w:rPr>
        <w:tab/>
      </w:r>
      <w:r>
        <w:rPr>
          <w:rStyle w:val="EndnoteReference"/>
          <w:sz w:val="20"/>
          <w:szCs w:val="20"/>
          <w:vertAlign w:val="baseline"/>
        </w:rPr>
        <w:t>Annual inflow of international remittances in 2016, according to the BIH Centra</w:t>
      </w:r>
      <w:r>
        <w:rPr>
          <w:sz w:val="20"/>
          <w:szCs w:val="20"/>
        </w:rPr>
        <w:t>l</w:t>
      </w:r>
      <w:r>
        <w:rPr>
          <w:rStyle w:val="EndnoteReference"/>
          <w:sz w:val="20"/>
          <w:szCs w:val="20"/>
          <w:vertAlign w:val="baseline"/>
        </w:rPr>
        <w:t xml:space="preserve"> Bank, was KM 2.4 billion, while the World Bank estimates KM 3.3 billion. On the other hand, the World Network of Bosnian Diaspora estimates the total net inflow as at least 6 billion. Divide by 2 to convert to euros.</w:t>
      </w:r>
    </w:p>
    <w:p w14:paraId="2641095A" w14:textId="77777777" w:rsidR="005627B8" w:rsidRPr="00F412FE" w:rsidRDefault="005627B8" w:rsidP="00C43A4C">
      <w:pPr>
        <w:tabs>
          <w:tab w:val="left" w:pos="709"/>
        </w:tabs>
        <w:jc w:val="both"/>
        <w:rPr>
          <w:rStyle w:val="EndnoteReference"/>
          <w:sz w:val="20"/>
          <w:szCs w:val="20"/>
          <w:vertAlign w:val="baseline"/>
        </w:rPr>
      </w:pPr>
    </w:p>
  </w:endnote>
  <w:endnote w:id="15">
    <w:p w14:paraId="03ECB642" w14:textId="46F1AA24" w:rsidR="005627B8" w:rsidRDefault="005627B8" w:rsidP="004A2043">
      <w:pPr>
        <w:pStyle w:val="EndnoteText"/>
        <w:ind w:left="426" w:hanging="426"/>
      </w:pPr>
      <w:r w:rsidRPr="00A37DC3">
        <w:rPr>
          <w:rStyle w:val="EndnoteReference"/>
          <w:vertAlign w:val="baseline"/>
        </w:rPr>
        <w:endnoteRef/>
      </w:r>
      <w:r>
        <w:t xml:space="preserve"> </w:t>
      </w:r>
      <w:r>
        <w:tab/>
        <w:t>There are more recent rounds of the BiH Household Budget Survey (in 2007, 2011 and 2015). However, the share of remittance-receiving households with post-primary age children in these datasets is below 5%, while in 2004 the share is 10%. For that reason we decided to use the 2004 data.</w:t>
      </w:r>
    </w:p>
    <w:p w14:paraId="28108582" w14:textId="77777777" w:rsidR="005627B8" w:rsidRDefault="005627B8">
      <w:pPr>
        <w:pStyle w:val="EndnoteText"/>
      </w:pPr>
    </w:p>
  </w:endnote>
  <w:endnote w:id="16">
    <w:p w14:paraId="5FF4FA99" w14:textId="20A2A857" w:rsidR="005627B8" w:rsidRDefault="005627B8" w:rsidP="004A2043">
      <w:pPr>
        <w:pStyle w:val="EndnoteText"/>
        <w:ind w:left="426" w:hanging="426"/>
      </w:pPr>
      <w:r w:rsidRPr="00A37DC3">
        <w:rPr>
          <w:rStyle w:val="EndnoteReference"/>
          <w:vertAlign w:val="baseline"/>
        </w:rPr>
        <w:endnoteRef/>
      </w:r>
      <w:r w:rsidRPr="00A37DC3">
        <w:t xml:space="preserve"> </w:t>
      </w:r>
      <w:r>
        <w:tab/>
        <w:t>The BiH currency, KM, is a ‘convertible mark’, with a fixed exchange rate of approximately 2KM to one euro.</w:t>
      </w:r>
    </w:p>
    <w:p w14:paraId="4DBE7F34" w14:textId="77777777" w:rsidR="005627B8" w:rsidRDefault="005627B8">
      <w:pPr>
        <w:pStyle w:val="EndnoteText"/>
      </w:pPr>
    </w:p>
  </w:endnote>
  <w:endnote w:id="17">
    <w:p w14:paraId="75FDB107" w14:textId="64AAC7AC" w:rsidR="005627B8" w:rsidRDefault="005627B8" w:rsidP="004A2043">
      <w:pPr>
        <w:pStyle w:val="EndnoteText"/>
        <w:ind w:left="426" w:hanging="426"/>
      </w:pPr>
      <w:r w:rsidRPr="00A37DC3">
        <w:rPr>
          <w:rStyle w:val="EndnoteReference"/>
          <w:vertAlign w:val="baseline"/>
        </w:rPr>
        <w:endnoteRef/>
      </w:r>
      <w:r>
        <w:t xml:space="preserve"> </w:t>
      </w:r>
      <w:r>
        <w:tab/>
        <w:t xml:space="preserve">We might hypothesize this as being due to two circumstances: female-headed households have husbands working abroad who send remittances to support their families back home; or single-person widow households supported by adult children working abroad. These mechanisms have been found to be widespread in the gendered remittance dynamics of Albania. See J. Vullnetari and R. King, </w:t>
      </w:r>
      <w:r>
        <w:rPr>
          <w:i/>
        </w:rPr>
        <w:t xml:space="preserve">Remittances, Gender and Development: Albania’s Society and Economy in Transition, </w:t>
      </w:r>
      <w:r>
        <w:t>I. B. Tauris, London, 2011.</w:t>
      </w:r>
    </w:p>
    <w:p w14:paraId="52C48195" w14:textId="77777777" w:rsidR="005627B8" w:rsidRPr="00811C04" w:rsidRDefault="005627B8">
      <w:pPr>
        <w:pStyle w:val="EndnoteText"/>
      </w:pPr>
    </w:p>
  </w:endnote>
  <w:endnote w:id="18">
    <w:p w14:paraId="66065D03" w14:textId="5DE7986E" w:rsidR="005627B8" w:rsidRDefault="005627B8" w:rsidP="004A2043">
      <w:pPr>
        <w:pStyle w:val="EndnoteText"/>
        <w:ind w:left="426" w:hanging="426"/>
      </w:pPr>
      <w:r w:rsidRPr="00A37DC3">
        <w:rPr>
          <w:rStyle w:val="EndnoteReference"/>
          <w:vertAlign w:val="baseline"/>
        </w:rPr>
        <w:endnoteRef/>
      </w:r>
      <w:r>
        <w:t xml:space="preserve"> </w:t>
      </w:r>
      <w:r>
        <w:tab/>
        <w:t>For example, EU reports on the progress in implementation of the Bologna process as well as other reports provide evidence on the lack of effort and commitment on the part of successive Bosnian governments to reform and improve the effectiveness of the country’s educational system.</w:t>
      </w:r>
    </w:p>
    <w:p w14:paraId="18CF9A8A" w14:textId="77777777" w:rsidR="005627B8" w:rsidRDefault="005627B8" w:rsidP="004A2043">
      <w:pPr>
        <w:pStyle w:val="EndnoteText"/>
        <w:ind w:left="426" w:hanging="426"/>
      </w:pPr>
    </w:p>
  </w:endnote>
  <w:endnote w:id="19">
    <w:p w14:paraId="4DE56623" w14:textId="54CB599D" w:rsidR="005627B8" w:rsidRDefault="005627B8" w:rsidP="004A2043">
      <w:pPr>
        <w:tabs>
          <w:tab w:val="left" w:pos="709"/>
        </w:tabs>
        <w:ind w:left="426" w:hanging="426"/>
        <w:jc w:val="both"/>
        <w:rPr>
          <w:sz w:val="20"/>
          <w:szCs w:val="20"/>
          <w:lang w:val="pt-PT"/>
        </w:rPr>
      </w:pPr>
      <w:r w:rsidRPr="00F412FE">
        <w:rPr>
          <w:rStyle w:val="EndnoteReference"/>
          <w:sz w:val="20"/>
          <w:szCs w:val="20"/>
          <w:vertAlign w:val="baseline"/>
        </w:rPr>
        <w:endnoteRef/>
      </w:r>
      <w:r w:rsidRPr="004A2043">
        <w:rPr>
          <w:rStyle w:val="EndnoteReference"/>
          <w:sz w:val="20"/>
          <w:szCs w:val="20"/>
          <w:vertAlign w:val="baseline"/>
          <w:lang w:val="pt-PT"/>
        </w:rPr>
        <w:t xml:space="preserve"> </w:t>
      </w:r>
      <w:r w:rsidRPr="004A2043">
        <w:rPr>
          <w:sz w:val="20"/>
          <w:szCs w:val="20"/>
          <w:lang w:val="pt-PT"/>
        </w:rPr>
        <w:tab/>
        <w:t xml:space="preserve">C.S. </w:t>
      </w:r>
      <w:r w:rsidRPr="004A2043">
        <w:rPr>
          <w:rStyle w:val="EndnoteReference"/>
          <w:sz w:val="20"/>
          <w:szCs w:val="20"/>
          <w:vertAlign w:val="baseline"/>
          <w:lang w:val="pt-PT"/>
        </w:rPr>
        <w:t xml:space="preserve">Fan and </w:t>
      </w:r>
      <w:r>
        <w:rPr>
          <w:sz w:val="20"/>
          <w:szCs w:val="20"/>
          <w:lang w:val="pt-PT"/>
        </w:rPr>
        <w:t>O.</w:t>
      </w:r>
      <w:r w:rsidRPr="004A2043">
        <w:rPr>
          <w:sz w:val="20"/>
          <w:szCs w:val="20"/>
          <w:lang w:val="pt-PT"/>
        </w:rPr>
        <w:t xml:space="preserve"> </w:t>
      </w:r>
      <w:r>
        <w:rPr>
          <w:rStyle w:val="EndnoteReference"/>
          <w:sz w:val="20"/>
          <w:szCs w:val="20"/>
          <w:vertAlign w:val="baseline"/>
          <w:lang w:val="pt-PT"/>
        </w:rPr>
        <w:t>Stark,</w:t>
      </w:r>
      <w:r w:rsidRPr="004A2043">
        <w:rPr>
          <w:rStyle w:val="EndnoteReference"/>
          <w:sz w:val="20"/>
          <w:szCs w:val="20"/>
          <w:vertAlign w:val="baseline"/>
          <w:lang w:val="pt-PT"/>
        </w:rPr>
        <w:t xml:space="preserve"> </w:t>
      </w:r>
      <w:r>
        <w:rPr>
          <w:rStyle w:val="EndnoteReference"/>
          <w:sz w:val="20"/>
          <w:szCs w:val="20"/>
          <w:vertAlign w:val="baseline"/>
          <w:lang w:val="pt-PT"/>
        </w:rPr>
        <w:t>‘International migration and “educated unemployment”’</w:t>
      </w:r>
      <w:r w:rsidRPr="004A2043">
        <w:rPr>
          <w:rStyle w:val="EndnoteReference"/>
          <w:sz w:val="20"/>
          <w:szCs w:val="20"/>
          <w:vertAlign w:val="baseline"/>
          <w:lang w:val="pt-PT"/>
        </w:rPr>
        <w:t xml:space="preserve">, </w:t>
      </w:r>
      <w:r w:rsidRPr="004A2043">
        <w:rPr>
          <w:rStyle w:val="EndnoteReference"/>
          <w:i/>
          <w:sz w:val="20"/>
          <w:szCs w:val="20"/>
          <w:vertAlign w:val="baseline"/>
          <w:lang w:val="pt-PT"/>
        </w:rPr>
        <w:t>Journal of Development Economics</w:t>
      </w:r>
      <w:r w:rsidRPr="004A2043">
        <w:rPr>
          <w:rStyle w:val="EndnoteReference"/>
          <w:sz w:val="20"/>
          <w:szCs w:val="20"/>
          <w:vertAlign w:val="baseline"/>
          <w:lang w:val="pt-PT"/>
        </w:rPr>
        <w:t>, 83</w:t>
      </w:r>
      <w:r>
        <w:rPr>
          <w:sz w:val="20"/>
          <w:szCs w:val="20"/>
          <w:lang w:val="pt-PT"/>
        </w:rPr>
        <w:t>(1)</w:t>
      </w:r>
      <w:r>
        <w:rPr>
          <w:rStyle w:val="EndnoteReference"/>
          <w:sz w:val="20"/>
          <w:szCs w:val="20"/>
          <w:vertAlign w:val="baseline"/>
          <w:lang w:val="pt-PT"/>
        </w:rPr>
        <w:t>, 2007</w:t>
      </w:r>
      <w:r w:rsidRPr="004A2043">
        <w:rPr>
          <w:rStyle w:val="EndnoteReference"/>
          <w:sz w:val="20"/>
          <w:szCs w:val="20"/>
          <w:vertAlign w:val="baseline"/>
          <w:lang w:val="pt-PT"/>
        </w:rPr>
        <w:t>, pp. 76–87</w:t>
      </w:r>
      <w:r>
        <w:rPr>
          <w:sz w:val="20"/>
          <w:szCs w:val="20"/>
          <w:lang w:val="pt-PT"/>
        </w:rPr>
        <w:t>.</w:t>
      </w:r>
    </w:p>
    <w:p w14:paraId="06D653B0" w14:textId="77777777" w:rsidR="005627B8" w:rsidRPr="004A2043" w:rsidRDefault="005627B8" w:rsidP="004A2043">
      <w:pPr>
        <w:tabs>
          <w:tab w:val="left" w:pos="709"/>
        </w:tabs>
        <w:ind w:left="426" w:hanging="426"/>
        <w:jc w:val="both"/>
        <w:rPr>
          <w:rStyle w:val="EndnoteReference"/>
          <w:sz w:val="20"/>
          <w:szCs w:val="20"/>
          <w:vertAlign w:val="baseline"/>
          <w:lang w:val="pt-PT"/>
        </w:rPr>
      </w:pPr>
    </w:p>
  </w:endnote>
  <w:endnote w:id="20">
    <w:p w14:paraId="2CB3C427" w14:textId="08BD721B" w:rsidR="005627B8" w:rsidRDefault="005627B8" w:rsidP="004A2043">
      <w:pPr>
        <w:tabs>
          <w:tab w:val="left" w:pos="709"/>
        </w:tabs>
        <w:ind w:left="426" w:hanging="426"/>
        <w:jc w:val="both"/>
        <w:rPr>
          <w:sz w:val="20"/>
          <w:szCs w:val="20"/>
          <w:lang w:val="sv-SE"/>
        </w:rPr>
      </w:pPr>
      <w:r w:rsidRPr="00F412FE">
        <w:rPr>
          <w:rStyle w:val="EndnoteReference"/>
          <w:sz w:val="20"/>
          <w:szCs w:val="20"/>
          <w:vertAlign w:val="baseline"/>
        </w:rPr>
        <w:endnoteRef/>
      </w:r>
      <w:r w:rsidRPr="004A2043">
        <w:rPr>
          <w:rStyle w:val="EndnoteReference"/>
          <w:sz w:val="20"/>
          <w:szCs w:val="20"/>
          <w:vertAlign w:val="baseline"/>
          <w:lang w:val="sv-SE"/>
        </w:rPr>
        <w:t xml:space="preserve"> </w:t>
      </w:r>
      <w:r w:rsidRPr="004A2043">
        <w:rPr>
          <w:sz w:val="20"/>
          <w:szCs w:val="20"/>
          <w:lang w:val="sv-SE"/>
        </w:rPr>
        <w:tab/>
      </w:r>
      <w:r w:rsidRPr="004A2043">
        <w:rPr>
          <w:rStyle w:val="EndnoteReference"/>
          <w:sz w:val="20"/>
          <w:szCs w:val="20"/>
          <w:vertAlign w:val="baseline"/>
          <w:lang w:val="sv-SE"/>
        </w:rPr>
        <w:t xml:space="preserve">The latest </w:t>
      </w:r>
      <w:r w:rsidRPr="004A2043">
        <w:rPr>
          <w:sz w:val="20"/>
          <w:szCs w:val="20"/>
          <w:lang w:val="sv-SE"/>
        </w:rPr>
        <w:t xml:space="preserve">BiH </w:t>
      </w:r>
      <w:r w:rsidRPr="004A2043">
        <w:rPr>
          <w:rStyle w:val="EndnoteReference"/>
          <w:sz w:val="20"/>
          <w:szCs w:val="20"/>
          <w:vertAlign w:val="baseline"/>
          <w:lang w:val="sv-SE"/>
        </w:rPr>
        <w:t xml:space="preserve">Census was </w:t>
      </w:r>
      <w:r>
        <w:rPr>
          <w:rStyle w:val="EndnoteReference"/>
          <w:sz w:val="20"/>
          <w:szCs w:val="20"/>
          <w:vertAlign w:val="baseline"/>
          <w:lang w:val="sv-SE"/>
        </w:rPr>
        <w:t>taken</w:t>
      </w:r>
      <w:r w:rsidRPr="004A2043">
        <w:rPr>
          <w:rStyle w:val="EndnoteReference"/>
          <w:sz w:val="20"/>
          <w:szCs w:val="20"/>
          <w:vertAlign w:val="baseline"/>
          <w:lang w:val="sv-SE"/>
        </w:rPr>
        <w:t xml:space="preserve"> in 2013, but the data are not yet available.</w:t>
      </w:r>
    </w:p>
    <w:p w14:paraId="66CF2E14" w14:textId="77777777" w:rsidR="005627B8" w:rsidRPr="004A2043" w:rsidRDefault="005627B8" w:rsidP="004A2043">
      <w:pPr>
        <w:tabs>
          <w:tab w:val="left" w:pos="709"/>
        </w:tabs>
        <w:ind w:left="426" w:hanging="426"/>
        <w:jc w:val="both"/>
        <w:rPr>
          <w:rStyle w:val="EndnoteReference"/>
          <w:sz w:val="20"/>
          <w:szCs w:val="20"/>
          <w:vertAlign w:val="baseline"/>
          <w:lang w:val="sv-SE"/>
        </w:rPr>
      </w:pPr>
    </w:p>
  </w:endnote>
  <w:endnote w:id="21">
    <w:p w14:paraId="0778DBBF" w14:textId="5F183C96" w:rsidR="005627B8" w:rsidRDefault="005627B8" w:rsidP="004A2043">
      <w:pPr>
        <w:tabs>
          <w:tab w:val="left" w:pos="709"/>
        </w:tabs>
        <w:ind w:left="426" w:hanging="426"/>
        <w:jc w:val="both"/>
        <w:rPr>
          <w:sz w:val="20"/>
          <w:szCs w:val="20"/>
          <w:lang w:val="sv-SE"/>
        </w:rPr>
      </w:pPr>
      <w:r w:rsidRPr="00F412FE">
        <w:rPr>
          <w:rStyle w:val="EndnoteReference"/>
          <w:sz w:val="20"/>
          <w:szCs w:val="20"/>
          <w:vertAlign w:val="baseline"/>
        </w:rPr>
        <w:endnoteRef/>
      </w:r>
      <w:r w:rsidRPr="004A2043">
        <w:rPr>
          <w:rStyle w:val="EndnoteReference"/>
          <w:sz w:val="20"/>
          <w:szCs w:val="20"/>
          <w:vertAlign w:val="baseline"/>
          <w:lang w:val="sv-SE"/>
        </w:rPr>
        <w:t xml:space="preserve"> </w:t>
      </w:r>
      <w:r>
        <w:rPr>
          <w:sz w:val="20"/>
          <w:szCs w:val="20"/>
          <w:lang w:val="sv-SE"/>
        </w:rPr>
        <w:tab/>
      </w:r>
      <w:r w:rsidRPr="004A2043">
        <w:rPr>
          <w:rStyle w:val="EndnoteReference"/>
          <w:sz w:val="20"/>
          <w:szCs w:val="20"/>
          <w:vertAlign w:val="baseline"/>
          <w:lang w:val="sv-SE"/>
        </w:rPr>
        <w:t xml:space="preserve">UNICEF, Child Labour Statistics based on </w:t>
      </w:r>
      <w:r>
        <w:rPr>
          <w:sz w:val="20"/>
          <w:szCs w:val="20"/>
          <w:lang w:val="sv-SE"/>
        </w:rPr>
        <w:t>their Multiple Indicators Cluster Survey (</w:t>
      </w:r>
      <w:r w:rsidRPr="004A2043">
        <w:rPr>
          <w:rStyle w:val="EndnoteReference"/>
          <w:sz w:val="20"/>
          <w:szCs w:val="20"/>
          <w:vertAlign w:val="baseline"/>
          <w:lang w:val="sv-SE"/>
        </w:rPr>
        <w:t>MICS</w:t>
      </w:r>
      <w:r>
        <w:rPr>
          <w:sz w:val="20"/>
          <w:szCs w:val="20"/>
          <w:lang w:val="sv-SE"/>
        </w:rPr>
        <w:t>)</w:t>
      </w:r>
      <w:r w:rsidRPr="004A2043">
        <w:rPr>
          <w:rStyle w:val="EndnoteReference"/>
          <w:sz w:val="20"/>
          <w:szCs w:val="20"/>
          <w:vertAlign w:val="baseline"/>
          <w:lang w:val="sv-SE"/>
        </w:rPr>
        <w:t xml:space="preserve">, accessed on </w:t>
      </w:r>
      <w:r w:rsidRPr="004A2043">
        <w:rPr>
          <w:sz w:val="20"/>
          <w:szCs w:val="20"/>
          <w:lang w:val="sv-SE"/>
        </w:rPr>
        <w:t xml:space="preserve">15 </w:t>
      </w:r>
      <w:r>
        <w:rPr>
          <w:rStyle w:val="EndnoteReference"/>
          <w:sz w:val="20"/>
          <w:szCs w:val="20"/>
          <w:vertAlign w:val="baseline"/>
          <w:lang w:val="sv-SE"/>
        </w:rPr>
        <w:t>January</w:t>
      </w:r>
      <w:r w:rsidRPr="004A2043">
        <w:rPr>
          <w:rStyle w:val="EndnoteReference"/>
          <w:sz w:val="20"/>
          <w:szCs w:val="20"/>
          <w:vertAlign w:val="baseline"/>
          <w:lang w:val="sv-SE"/>
        </w:rPr>
        <w:t xml:space="preserve"> 2018.</w:t>
      </w:r>
    </w:p>
    <w:p w14:paraId="75A9AD3A" w14:textId="77777777" w:rsidR="005627B8" w:rsidRPr="004A2043" w:rsidRDefault="005627B8" w:rsidP="004A2043">
      <w:pPr>
        <w:tabs>
          <w:tab w:val="left" w:pos="709"/>
        </w:tabs>
        <w:ind w:left="426" w:hanging="426"/>
        <w:jc w:val="both"/>
        <w:rPr>
          <w:rStyle w:val="EndnoteReference"/>
          <w:sz w:val="20"/>
          <w:szCs w:val="20"/>
          <w:vertAlign w:val="baseline"/>
          <w:lang w:val="sv-SE"/>
        </w:rPr>
      </w:pPr>
    </w:p>
  </w:endnote>
  <w:endnote w:id="22">
    <w:p w14:paraId="5EF3222F" w14:textId="7828ADDF" w:rsidR="005627B8" w:rsidRDefault="005627B8" w:rsidP="004A2043">
      <w:pPr>
        <w:pStyle w:val="EndnoteText"/>
        <w:ind w:left="426" w:hanging="426"/>
      </w:pPr>
      <w:r w:rsidRPr="00A37DC3">
        <w:rPr>
          <w:rStyle w:val="EndnoteReference"/>
          <w:vertAlign w:val="baseline"/>
        </w:rPr>
        <w:endnoteRef/>
      </w:r>
      <w:r>
        <w:t xml:space="preserve"> </w:t>
      </w:r>
      <w:r>
        <w:tab/>
        <w:t xml:space="preserve">See N. Espinova, J. Ray and A. Pugliese, </w:t>
      </w:r>
      <w:r>
        <w:rPr>
          <w:i/>
        </w:rPr>
        <w:t xml:space="preserve">Gallup World Poll: The Many Faces of Global Migration, </w:t>
      </w:r>
      <w:r>
        <w:t xml:space="preserve">IOM Research Series, 43, 2011; I. Gedeshi and E. Jorgoni, </w:t>
      </w:r>
      <w:r>
        <w:rPr>
          <w:i/>
        </w:rPr>
        <w:t xml:space="preserve">Social Impact of Emigration and Rural-Urban Migration in Central and Eastern Europe: Albania, </w:t>
      </w:r>
      <w:r>
        <w:t>European Commission DG Employment, Social Affairs and Inclusion, Brussels.</w:t>
      </w:r>
    </w:p>
    <w:p w14:paraId="7D57772E" w14:textId="77777777" w:rsidR="005627B8" w:rsidRPr="00162548" w:rsidRDefault="005627B8" w:rsidP="004A2043">
      <w:pPr>
        <w:pStyle w:val="EndnoteText"/>
        <w:ind w:left="426" w:hanging="426"/>
      </w:pPr>
    </w:p>
  </w:endnote>
  <w:endnote w:id="23">
    <w:p w14:paraId="0344C966" w14:textId="06BB0BB2" w:rsidR="005627B8" w:rsidRDefault="005627B8" w:rsidP="004A2043">
      <w:pPr>
        <w:tabs>
          <w:tab w:val="left" w:pos="709"/>
        </w:tabs>
        <w:ind w:left="426" w:hanging="426"/>
        <w:jc w:val="both"/>
        <w:rPr>
          <w:sz w:val="20"/>
          <w:szCs w:val="20"/>
        </w:rPr>
      </w:pPr>
      <w:r w:rsidRPr="00F412FE">
        <w:rPr>
          <w:rStyle w:val="EndnoteReference"/>
          <w:sz w:val="20"/>
          <w:szCs w:val="20"/>
          <w:vertAlign w:val="baseline"/>
        </w:rPr>
        <w:endnoteRef/>
      </w:r>
      <w:r w:rsidRPr="00F412FE">
        <w:rPr>
          <w:rStyle w:val="EndnoteReference"/>
          <w:sz w:val="20"/>
          <w:szCs w:val="20"/>
          <w:vertAlign w:val="baseline"/>
        </w:rPr>
        <w:t xml:space="preserve"> </w:t>
      </w:r>
      <w:r>
        <w:rPr>
          <w:sz w:val="20"/>
          <w:szCs w:val="20"/>
        </w:rPr>
        <w:tab/>
      </w:r>
      <w:r w:rsidRPr="00F412FE">
        <w:rPr>
          <w:rStyle w:val="EndnoteReference"/>
          <w:sz w:val="20"/>
          <w:szCs w:val="20"/>
          <w:vertAlign w:val="baseline"/>
        </w:rPr>
        <w:t xml:space="preserve">Besides estimating the effect of remittances on the child’s school enrolment, as </w:t>
      </w:r>
      <w:r>
        <w:rPr>
          <w:sz w:val="20"/>
          <w:szCs w:val="20"/>
        </w:rPr>
        <w:t xml:space="preserve">is </w:t>
      </w:r>
      <w:r w:rsidRPr="00F412FE">
        <w:rPr>
          <w:rStyle w:val="EndnoteReference"/>
          <w:sz w:val="20"/>
          <w:szCs w:val="20"/>
          <w:vertAlign w:val="baseline"/>
        </w:rPr>
        <w:t>done in previous studies, we initially in</w:t>
      </w:r>
      <w:r>
        <w:rPr>
          <w:rStyle w:val="EndnoteReference"/>
          <w:sz w:val="20"/>
          <w:szCs w:val="20"/>
          <w:vertAlign w:val="baseline"/>
        </w:rPr>
        <w:t>t</w:t>
      </w:r>
      <w:r w:rsidRPr="00F412FE">
        <w:rPr>
          <w:rStyle w:val="EndnoteReference"/>
          <w:sz w:val="20"/>
          <w:szCs w:val="20"/>
          <w:vertAlign w:val="baseline"/>
        </w:rPr>
        <w:t>en</w:t>
      </w:r>
      <w:r>
        <w:rPr>
          <w:rStyle w:val="EndnoteReference"/>
          <w:sz w:val="20"/>
          <w:szCs w:val="20"/>
          <w:vertAlign w:val="baseline"/>
        </w:rPr>
        <w:t>d</w:t>
      </w:r>
      <w:r w:rsidRPr="00F412FE">
        <w:rPr>
          <w:rStyle w:val="EndnoteReference"/>
          <w:sz w:val="20"/>
          <w:szCs w:val="20"/>
          <w:vertAlign w:val="baseline"/>
        </w:rPr>
        <w:t>ed to go a step further and estimate the relationship between remittances receipt and educational investments by a household while controlling for selection bias by using Heckman’s two</w:t>
      </w:r>
      <w:r>
        <w:rPr>
          <w:rStyle w:val="EndnoteReference"/>
          <w:sz w:val="20"/>
          <w:szCs w:val="20"/>
          <w:vertAlign w:val="baseline"/>
        </w:rPr>
        <w:t>-</w:t>
      </w:r>
      <w:r w:rsidRPr="00F412FE">
        <w:rPr>
          <w:rStyle w:val="EndnoteReference"/>
          <w:sz w:val="20"/>
          <w:szCs w:val="20"/>
          <w:vertAlign w:val="baseline"/>
        </w:rPr>
        <w:t>stage procedure. However, the number of observations for children from remittance</w:t>
      </w:r>
      <w:r>
        <w:rPr>
          <w:rStyle w:val="EndnoteReference"/>
          <w:sz w:val="20"/>
          <w:szCs w:val="20"/>
          <w:vertAlign w:val="baseline"/>
        </w:rPr>
        <w:t>-</w:t>
      </w:r>
      <w:r w:rsidRPr="00F412FE">
        <w:rPr>
          <w:rStyle w:val="EndnoteReference"/>
          <w:sz w:val="20"/>
          <w:szCs w:val="20"/>
          <w:vertAlign w:val="baseline"/>
        </w:rPr>
        <w:t>receiving households was not sufficient to estimate th</w:t>
      </w:r>
      <w:r>
        <w:rPr>
          <w:rStyle w:val="EndnoteReference"/>
          <w:sz w:val="20"/>
          <w:szCs w:val="20"/>
          <w:vertAlign w:val="baseline"/>
        </w:rPr>
        <w:t>i</w:t>
      </w:r>
      <w:r>
        <w:rPr>
          <w:sz w:val="20"/>
          <w:szCs w:val="20"/>
        </w:rPr>
        <w:t>s</w:t>
      </w:r>
      <w:r w:rsidRPr="00F412FE">
        <w:rPr>
          <w:rStyle w:val="EndnoteReference"/>
          <w:sz w:val="20"/>
          <w:szCs w:val="20"/>
          <w:vertAlign w:val="baseline"/>
        </w:rPr>
        <w:t xml:space="preserve"> model.</w:t>
      </w:r>
    </w:p>
    <w:p w14:paraId="2468200A" w14:textId="77777777" w:rsidR="005627B8" w:rsidRPr="00F412FE" w:rsidRDefault="005627B8" w:rsidP="004A2043">
      <w:pPr>
        <w:tabs>
          <w:tab w:val="left" w:pos="709"/>
        </w:tabs>
        <w:ind w:left="426" w:hanging="426"/>
        <w:jc w:val="both"/>
        <w:rPr>
          <w:rStyle w:val="EndnoteReference"/>
          <w:sz w:val="20"/>
          <w:szCs w:val="20"/>
          <w:vertAlign w:val="baseline"/>
        </w:rPr>
      </w:pPr>
    </w:p>
  </w:endnote>
  <w:endnote w:id="24">
    <w:p w14:paraId="5539B021" w14:textId="10BD07CA" w:rsidR="005627B8" w:rsidRDefault="005627B8" w:rsidP="004A2043">
      <w:pPr>
        <w:tabs>
          <w:tab w:val="left" w:pos="709"/>
        </w:tabs>
        <w:ind w:left="426" w:hanging="426"/>
        <w:jc w:val="both"/>
        <w:rPr>
          <w:sz w:val="20"/>
          <w:szCs w:val="20"/>
        </w:rPr>
      </w:pPr>
      <w:r w:rsidRPr="00F412FE">
        <w:rPr>
          <w:rStyle w:val="EndnoteReference"/>
          <w:sz w:val="20"/>
          <w:szCs w:val="20"/>
          <w:vertAlign w:val="baseline"/>
        </w:rPr>
        <w:endnoteRef/>
      </w:r>
      <w:r w:rsidRPr="00F412FE">
        <w:rPr>
          <w:rStyle w:val="EndnoteReference"/>
          <w:sz w:val="20"/>
          <w:szCs w:val="20"/>
          <w:vertAlign w:val="baseline"/>
        </w:rPr>
        <w:t xml:space="preserve"> </w:t>
      </w:r>
      <w:r>
        <w:rPr>
          <w:sz w:val="20"/>
          <w:szCs w:val="20"/>
        </w:rPr>
        <w:tab/>
        <w:t xml:space="preserve">As indicated already, </w:t>
      </w:r>
      <w:r>
        <w:rPr>
          <w:rStyle w:val="EndnoteReference"/>
          <w:sz w:val="20"/>
          <w:szCs w:val="20"/>
          <w:vertAlign w:val="baseline"/>
        </w:rPr>
        <w:t>t</w:t>
      </w:r>
      <w:r w:rsidRPr="00F412FE">
        <w:rPr>
          <w:rStyle w:val="EndnoteReference"/>
          <w:sz w:val="20"/>
          <w:szCs w:val="20"/>
          <w:vertAlign w:val="baseline"/>
        </w:rPr>
        <w:t>he endogeneity problem in research into</w:t>
      </w:r>
      <w:r>
        <w:rPr>
          <w:rStyle w:val="EndnoteReference"/>
          <w:sz w:val="20"/>
          <w:szCs w:val="20"/>
          <w:vertAlign w:val="baseline"/>
        </w:rPr>
        <w:t xml:space="preserve"> the effects of remittances is well-known</w:t>
      </w:r>
      <w:r w:rsidRPr="00F412FE">
        <w:rPr>
          <w:rStyle w:val="EndnoteReference"/>
          <w:sz w:val="20"/>
          <w:szCs w:val="20"/>
          <w:vertAlign w:val="baseline"/>
        </w:rPr>
        <w:t xml:space="preserve"> and has been addressed in different ways depending on the context of the particular research</w:t>
      </w:r>
      <w:r>
        <w:rPr>
          <w:sz w:val="20"/>
          <w:szCs w:val="20"/>
        </w:rPr>
        <w:t xml:space="preserve"> setting</w:t>
      </w:r>
      <w:r w:rsidRPr="00F412FE">
        <w:rPr>
          <w:rStyle w:val="EndnoteReference"/>
          <w:sz w:val="20"/>
          <w:szCs w:val="20"/>
          <w:vertAlign w:val="baseline"/>
        </w:rPr>
        <w:t xml:space="preserve">. For example, </w:t>
      </w:r>
      <w:r>
        <w:rPr>
          <w:rStyle w:val="EndnoteReference"/>
          <w:sz w:val="20"/>
          <w:szCs w:val="20"/>
          <w:vertAlign w:val="baseline"/>
        </w:rPr>
        <w:t>‘</w:t>
      </w:r>
      <w:r w:rsidRPr="00F412FE">
        <w:rPr>
          <w:rStyle w:val="EndnoteReference"/>
          <w:sz w:val="20"/>
          <w:szCs w:val="20"/>
          <w:vertAlign w:val="baseline"/>
        </w:rPr>
        <w:t>reverse causality</w:t>
      </w:r>
      <w:r>
        <w:rPr>
          <w:sz w:val="20"/>
          <w:szCs w:val="20"/>
        </w:rPr>
        <w:t>’</w:t>
      </w:r>
      <w:r w:rsidRPr="00F412FE">
        <w:rPr>
          <w:rStyle w:val="EndnoteReference"/>
          <w:sz w:val="20"/>
          <w:szCs w:val="20"/>
          <w:vertAlign w:val="baseline"/>
        </w:rPr>
        <w:t xml:space="preserve"> </w:t>
      </w:r>
      <w:r>
        <w:rPr>
          <w:sz w:val="20"/>
          <w:szCs w:val="20"/>
        </w:rPr>
        <w:t xml:space="preserve">(or simultaneity) </w:t>
      </w:r>
      <w:r w:rsidRPr="00F412FE">
        <w:rPr>
          <w:rStyle w:val="EndnoteReference"/>
          <w:sz w:val="20"/>
          <w:szCs w:val="20"/>
          <w:vertAlign w:val="baseline"/>
        </w:rPr>
        <w:t xml:space="preserve">may arise </w:t>
      </w:r>
      <w:r>
        <w:rPr>
          <w:rStyle w:val="EndnoteReference"/>
          <w:sz w:val="20"/>
          <w:szCs w:val="20"/>
          <w:vertAlign w:val="baseline"/>
        </w:rPr>
        <w:t>when</w:t>
      </w:r>
      <w:r w:rsidRPr="00F412FE">
        <w:rPr>
          <w:rStyle w:val="EndnoteReference"/>
          <w:sz w:val="20"/>
          <w:szCs w:val="20"/>
          <w:vertAlign w:val="baseline"/>
        </w:rPr>
        <w:t xml:space="preserve"> households </w:t>
      </w:r>
      <w:r>
        <w:rPr>
          <w:rStyle w:val="EndnoteReference"/>
          <w:sz w:val="20"/>
          <w:szCs w:val="20"/>
          <w:vertAlign w:val="baseline"/>
        </w:rPr>
        <w:t>strategically send</w:t>
      </w:r>
      <w:r w:rsidRPr="00F412FE">
        <w:rPr>
          <w:rStyle w:val="EndnoteReference"/>
          <w:sz w:val="20"/>
          <w:szCs w:val="20"/>
          <w:vertAlign w:val="baseline"/>
        </w:rPr>
        <w:t xml:space="preserve"> a household member </w:t>
      </w:r>
      <w:r>
        <w:rPr>
          <w:sz w:val="20"/>
          <w:szCs w:val="20"/>
        </w:rPr>
        <w:t xml:space="preserve">to work </w:t>
      </w:r>
      <w:r w:rsidRPr="00F412FE">
        <w:rPr>
          <w:rStyle w:val="EndnoteReference"/>
          <w:sz w:val="20"/>
          <w:szCs w:val="20"/>
          <w:vertAlign w:val="baseline"/>
        </w:rPr>
        <w:t xml:space="preserve">abroad in order to raise </w:t>
      </w:r>
      <w:r>
        <w:rPr>
          <w:rStyle w:val="EndnoteReference"/>
          <w:sz w:val="20"/>
          <w:szCs w:val="20"/>
          <w:vertAlign w:val="baseline"/>
        </w:rPr>
        <w:t>the finance needed for</w:t>
      </w:r>
      <w:r w:rsidRPr="00F412FE">
        <w:rPr>
          <w:rStyle w:val="EndnoteReference"/>
          <w:sz w:val="20"/>
          <w:szCs w:val="20"/>
          <w:vertAlign w:val="baseline"/>
        </w:rPr>
        <w:t xml:space="preserve"> education </w:t>
      </w:r>
      <w:r>
        <w:rPr>
          <w:rStyle w:val="EndnoteReference"/>
          <w:sz w:val="20"/>
          <w:szCs w:val="20"/>
          <w:vertAlign w:val="baseline"/>
        </w:rPr>
        <w:t>of another household member through remittances.</w:t>
      </w:r>
      <w:r w:rsidRPr="00F412FE">
        <w:rPr>
          <w:rStyle w:val="EndnoteReference"/>
          <w:sz w:val="20"/>
          <w:szCs w:val="20"/>
          <w:vertAlign w:val="baseline"/>
        </w:rPr>
        <w:t xml:space="preserve"> In this case, it</w:t>
      </w:r>
      <w:r>
        <w:rPr>
          <w:sz w:val="20"/>
          <w:szCs w:val="20"/>
        </w:rPr>
        <w:t xml:space="preserve"> i</w:t>
      </w:r>
      <w:r>
        <w:rPr>
          <w:rStyle w:val="EndnoteReference"/>
          <w:sz w:val="20"/>
          <w:szCs w:val="20"/>
          <w:vertAlign w:val="baseline"/>
        </w:rPr>
        <w:t>s not only that remittance receipts affect</w:t>
      </w:r>
      <w:r w:rsidRPr="00F412FE">
        <w:rPr>
          <w:rStyle w:val="EndnoteReference"/>
          <w:sz w:val="20"/>
          <w:szCs w:val="20"/>
          <w:vertAlign w:val="baseline"/>
        </w:rPr>
        <w:t xml:space="preserve"> education, but also </w:t>
      </w:r>
      <w:r>
        <w:rPr>
          <w:sz w:val="20"/>
          <w:szCs w:val="20"/>
        </w:rPr>
        <w:t xml:space="preserve">that </w:t>
      </w:r>
      <w:r w:rsidRPr="00F412FE">
        <w:rPr>
          <w:rStyle w:val="EndnoteReference"/>
          <w:sz w:val="20"/>
          <w:szCs w:val="20"/>
          <w:vertAlign w:val="baseline"/>
        </w:rPr>
        <w:t>educational investment intentions can affect remittances. Alternatively, unobservable household characteristics such as ambition, ability, risk preferences, and attitudes towards investing in the future can affect both remittances and educational enrolment.</w:t>
      </w:r>
    </w:p>
    <w:p w14:paraId="289265F1" w14:textId="77777777" w:rsidR="005627B8" w:rsidRPr="00F412FE" w:rsidRDefault="005627B8" w:rsidP="004A2043">
      <w:pPr>
        <w:tabs>
          <w:tab w:val="left" w:pos="709"/>
        </w:tabs>
        <w:ind w:left="426" w:hanging="426"/>
        <w:jc w:val="both"/>
        <w:rPr>
          <w:rStyle w:val="EndnoteReference"/>
          <w:sz w:val="20"/>
          <w:szCs w:val="20"/>
          <w:vertAlign w:val="baseline"/>
        </w:rPr>
      </w:pPr>
    </w:p>
  </w:endnote>
  <w:endnote w:id="25">
    <w:p w14:paraId="29F792D1" w14:textId="3944DCD0" w:rsidR="005627B8" w:rsidRPr="00110671" w:rsidRDefault="005627B8" w:rsidP="00110671">
      <w:pPr>
        <w:tabs>
          <w:tab w:val="left" w:pos="709"/>
        </w:tabs>
        <w:ind w:left="426" w:hanging="426"/>
        <w:jc w:val="both"/>
        <w:rPr>
          <w:sz w:val="20"/>
          <w:szCs w:val="20"/>
          <w:lang w:val="pt-PT"/>
        </w:rPr>
      </w:pPr>
      <w:r w:rsidRPr="00F412FE">
        <w:rPr>
          <w:rStyle w:val="EndnoteReference"/>
          <w:sz w:val="20"/>
          <w:szCs w:val="20"/>
          <w:vertAlign w:val="baseline"/>
        </w:rPr>
        <w:endnoteRef/>
      </w:r>
      <w:r w:rsidRPr="00110671">
        <w:rPr>
          <w:rStyle w:val="EndnoteReference"/>
          <w:sz w:val="20"/>
          <w:szCs w:val="20"/>
          <w:vertAlign w:val="baseline"/>
          <w:lang w:val="pt-PT"/>
        </w:rPr>
        <w:t xml:space="preserve"> </w:t>
      </w:r>
      <w:r>
        <w:rPr>
          <w:sz w:val="20"/>
          <w:szCs w:val="20"/>
          <w:lang w:val="pt-PT"/>
        </w:rPr>
        <w:tab/>
      </w:r>
      <w:r w:rsidRPr="00110671">
        <w:rPr>
          <w:rStyle w:val="EndnoteReference"/>
          <w:sz w:val="20"/>
          <w:szCs w:val="20"/>
          <w:vertAlign w:val="baseline"/>
          <w:lang w:val="pt-PT"/>
        </w:rPr>
        <w:t xml:space="preserve">To correctly assess the effect of relaxing liquidity constraints, it is not sufficient to include a variable on remittance receipt. In fact, it is necessary to take into account that, in households with an absent member, remittances are not an exogenous addition to income, but the alternative source of household income to the situation when the absent member would stay within a household and earn a wage. Accordingly, absence of a member in a household that does not receive remittances may be considered as an income loss. As a result, besides accounting for receipt of remittances, the distinction between households that do and those that do not have absent members is necessary. To this end, counterfactual income for households that have absent members, compared to households without migrants, should be estimated. However, although it may be very important in the case of voluntary migration, it is not necessarily important in the context of forced migration. The migration decision in the context of forced migration can be considered as exogenous, and not based on any household’s income gain strategy. Moreover, there is evidence that many households in Bosnia-Herzegovina receive remittances from relatives, which thus may be considered as an exogenous source of income. It is also supported by the idea that conflict-induced migration differs from voluntary migration in the sense that it is predominantly </w:t>
      </w:r>
      <w:r w:rsidRPr="00110671">
        <w:rPr>
          <w:sz w:val="20"/>
          <w:szCs w:val="20"/>
          <w:lang w:val="pt-PT"/>
        </w:rPr>
        <w:t xml:space="preserve">a </w:t>
      </w:r>
      <w:r w:rsidRPr="00110671">
        <w:rPr>
          <w:rStyle w:val="EndnoteReference"/>
          <w:sz w:val="20"/>
          <w:szCs w:val="20"/>
          <w:vertAlign w:val="baseline"/>
          <w:lang w:val="pt-PT"/>
        </w:rPr>
        <w:t xml:space="preserve">migration of entire families, instead of one or two members. Also, this affects the amount of remittances sent, as interfamily links are expected to be weaker than intrafamily links.  </w:t>
      </w:r>
    </w:p>
    <w:p w14:paraId="135DA492" w14:textId="77777777" w:rsidR="005627B8" w:rsidRPr="00110671" w:rsidRDefault="005627B8" w:rsidP="00162548">
      <w:pPr>
        <w:tabs>
          <w:tab w:val="left" w:pos="709"/>
        </w:tabs>
        <w:jc w:val="both"/>
        <w:rPr>
          <w:rStyle w:val="EndnoteReference"/>
          <w:sz w:val="20"/>
          <w:szCs w:val="20"/>
          <w:vertAlign w:val="baseline"/>
          <w:lang w:val="pt-PT"/>
        </w:rPr>
      </w:pPr>
    </w:p>
  </w:endnote>
  <w:endnote w:id="26">
    <w:p w14:paraId="31B3174B" w14:textId="367EA4D3" w:rsidR="005627B8" w:rsidRDefault="005627B8" w:rsidP="00110671">
      <w:pPr>
        <w:tabs>
          <w:tab w:val="left" w:pos="709"/>
        </w:tabs>
        <w:ind w:left="426" w:hanging="426"/>
        <w:jc w:val="both"/>
        <w:rPr>
          <w:sz w:val="20"/>
          <w:szCs w:val="20"/>
        </w:rPr>
      </w:pPr>
      <w:r w:rsidRPr="00F412FE">
        <w:rPr>
          <w:rStyle w:val="EndnoteReference"/>
          <w:sz w:val="20"/>
          <w:szCs w:val="20"/>
          <w:vertAlign w:val="baseline"/>
        </w:rPr>
        <w:endnoteRef/>
      </w:r>
      <w:r w:rsidRPr="00003759">
        <w:rPr>
          <w:rStyle w:val="EndnoteReference"/>
          <w:sz w:val="20"/>
          <w:szCs w:val="20"/>
          <w:vertAlign w:val="baseline"/>
          <w:lang w:val="pt-PT"/>
        </w:rPr>
        <w:t xml:space="preserve"> </w:t>
      </w:r>
      <w:r w:rsidRPr="00003759">
        <w:rPr>
          <w:sz w:val="20"/>
          <w:szCs w:val="20"/>
          <w:lang w:val="pt-PT"/>
        </w:rPr>
        <w:tab/>
        <w:t xml:space="preserve">F. </w:t>
      </w:r>
      <w:r w:rsidRPr="00003759">
        <w:rPr>
          <w:rStyle w:val="EndnoteReference"/>
          <w:sz w:val="20"/>
          <w:szCs w:val="20"/>
          <w:vertAlign w:val="baseline"/>
          <w:lang w:val="pt-PT"/>
        </w:rPr>
        <w:t xml:space="preserve">Borraz, ‘Assessing the </w:t>
      </w:r>
      <w:r>
        <w:rPr>
          <w:rStyle w:val="EndnoteReference"/>
          <w:sz w:val="20"/>
          <w:szCs w:val="20"/>
          <w:vertAlign w:val="baseline"/>
          <w:lang w:val="pt-PT"/>
        </w:rPr>
        <w:t>i</w:t>
      </w:r>
      <w:r w:rsidRPr="00003759">
        <w:rPr>
          <w:rStyle w:val="EndnoteReference"/>
          <w:sz w:val="20"/>
          <w:szCs w:val="20"/>
          <w:vertAlign w:val="baseline"/>
          <w:lang w:val="pt-PT"/>
        </w:rPr>
        <w:t xml:space="preserve">mpact of </w:t>
      </w:r>
      <w:r>
        <w:rPr>
          <w:rStyle w:val="EndnoteReference"/>
          <w:sz w:val="20"/>
          <w:szCs w:val="20"/>
          <w:vertAlign w:val="baseline"/>
          <w:lang w:val="pt-PT"/>
        </w:rPr>
        <w:t>r</w:t>
      </w:r>
      <w:r w:rsidRPr="00003759">
        <w:rPr>
          <w:rStyle w:val="EndnoteReference"/>
          <w:sz w:val="20"/>
          <w:szCs w:val="20"/>
          <w:vertAlign w:val="baseline"/>
          <w:lang w:val="pt-PT"/>
        </w:rPr>
        <w:t xml:space="preserve">emittances on </w:t>
      </w:r>
      <w:r>
        <w:rPr>
          <w:rStyle w:val="EndnoteReference"/>
          <w:sz w:val="20"/>
          <w:szCs w:val="20"/>
          <w:vertAlign w:val="baseline"/>
          <w:lang w:val="pt-PT"/>
        </w:rPr>
        <w:t>s</w:t>
      </w:r>
      <w:r w:rsidRPr="00003759">
        <w:rPr>
          <w:rStyle w:val="EndnoteReference"/>
          <w:sz w:val="20"/>
          <w:szCs w:val="20"/>
          <w:vertAlign w:val="baseline"/>
          <w:lang w:val="pt-PT"/>
        </w:rPr>
        <w:t xml:space="preserve">chooling: the Mexican </w:t>
      </w:r>
      <w:r>
        <w:rPr>
          <w:rStyle w:val="EndnoteReference"/>
          <w:sz w:val="20"/>
          <w:szCs w:val="20"/>
          <w:vertAlign w:val="baseline"/>
          <w:lang w:val="pt-PT"/>
        </w:rPr>
        <w:t>e</w:t>
      </w:r>
      <w:r w:rsidRPr="00003759">
        <w:rPr>
          <w:rStyle w:val="EndnoteReference"/>
          <w:sz w:val="20"/>
          <w:szCs w:val="20"/>
          <w:vertAlign w:val="baseline"/>
          <w:lang w:val="pt-PT"/>
        </w:rPr>
        <w:t>xperience</w:t>
      </w:r>
      <w:r>
        <w:rPr>
          <w:sz w:val="20"/>
          <w:szCs w:val="20"/>
        </w:rPr>
        <w:t>’</w:t>
      </w:r>
      <w:r w:rsidRPr="00F412FE">
        <w:rPr>
          <w:rStyle w:val="EndnoteReference"/>
          <w:sz w:val="20"/>
          <w:szCs w:val="20"/>
          <w:vertAlign w:val="baseline"/>
        </w:rPr>
        <w:t xml:space="preserve">, </w:t>
      </w:r>
      <w:r w:rsidRPr="00110671">
        <w:rPr>
          <w:rStyle w:val="EndnoteReference"/>
          <w:i/>
          <w:sz w:val="20"/>
          <w:szCs w:val="20"/>
          <w:vertAlign w:val="baseline"/>
        </w:rPr>
        <w:t>Global Economy Journal</w:t>
      </w:r>
      <w:r>
        <w:rPr>
          <w:rStyle w:val="EndnoteReference"/>
          <w:sz w:val="20"/>
          <w:szCs w:val="20"/>
          <w:vertAlign w:val="baseline"/>
        </w:rPr>
        <w:t>, 5(1), 2005</w:t>
      </w:r>
      <w:r w:rsidRPr="00F412FE">
        <w:rPr>
          <w:rStyle w:val="EndnoteReference"/>
          <w:sz w:val="20"/>
          <w:szCs w:val="20"/>
          <w:vertAlign w:val="baseline"/>
        </w:rPr>
        <w:t>, pp. 1</w:t>
      </w:r>
      <w:r>
        <w:rPr>
          <w:rStyle w:val="EndnoteReference"/>
          <w:sz w:val="20"/>
          <w:szCs w:val="20"/>
          <w:vertAlign w:val="baseline"/>
        </w:rPr>
        <w:t>–</w:t>
      </w:r>
      <w:r w:rsidRPr="00F412FE">
        <w:rPr>
          <w:rStyle w:val="EndnoteReference"/>
          <w:sz w:val="20"/>
          <w:szCs w:val="20"/>
          <w:vertAlign w:val="baseline"/>
        </w:rPr>
        <w:t xml:space="preserve">30.  </w:t>
      </w:r>
    </w:p>
    <w:p w14:paraId="435597A7" w14:textId="77777777" w:rsidR="005627B8" w:rsidRPr="00F412FE" w:rsidRDefault="005627B8" w:rsidP="00110671">
      <w:pPr>
        <w:tabs>
          <w:tab w:val="left" w:pos="709"/>
        </w:tabs>
        <w:ind w:left="567" w:hanging="567"/>
        <w:jc w:val="both"/>
        <w:rPr>
          <w:rStyle w:val="EndnoteReference"/>
          <w:sz w:val="20"/>
          <w:szCs w:val="20"/>
          <w:vertAlign w:val="baseline"/>
        </w:rPr>
      </w:pPr>
    </w:p>
  </w:endnote>
  <w:endnote w:id="27">
    <w:p w14:paraId="0C406A2A" w14:textId="53AC9B7E" w:rsidR="005627B8" w:rsidRDefault="005627B8" w:rsidP="002A379F">
      <w:pPr>
        <w:pStyle w:val="EndnoteText"/>
        <w:ind w:left="425" w:hanging="425"/>
      </w:pPr>
      <w:r w:rsidRPr="00A37DC3">
        <w:rPr>
          <w:rStyle w:val="EndnoteReference"/>
          <w:vertAlign w:val="baseline"/>
        </w:rPr>
        <w:endnoteRef/>
      </w:r>
      <w:r>
        <w:t xml:space="preserve"> </w:t>
      </w:r>
      <w:r>
        <w:tab/>
        <w:t xml:space="preserve">D. Cox, B. Hansen and E. Jimenez, ‘How responsive are private transfers to income? Evidence from a laissez-faire economy’, </w:t>
      </w:r>
      <w:r>
        <w:rPr>
          <w:i/>
        </w:rPr>
        <w:t xml:space="preserve">Journal of Public Economics, </w:t>
      </w:r>
      <w:r>
        <w:t>88(9), 2004, pp. 2193–2219.</w:t>
      </w:r>
    </w:p>
    <w:p w14:paraId="0448F186" w14:textId="77777777" w:rsidR="005627B8" w:rsidRPr="00162548" w:rsidRDefault="005627B8" w:rsidP="00110671">
      <w:pPr>
        <w:pStyle w:val="EndnoteText"/>
        <w:ind w:left="426" w:hanging="426"/>
      </w:pPr>
    </w:p>
  </w:endnote>
  <w:endnote w:id="28">
    <w:p w14:paraId="422B974A" w14:textId="4142FE38" w:rsidR="005627B8" w:rsidRDefault="005627B8" w:rsidP="00110671">
      <w:pPr>
        <w:tabs>
          <w:tab w:val="left" w:pos="709"/>
        </w:tabs>
        <w:ind w:left="426" w:hanging="426"/>
        <w:jc w:val="both"/>
        <w:rPr>
          <w:sz w:val="20"/>
          <w:szCs w:val="20"/>
        </w:rPr>
      </w:pPr>
      <w:r w:rsidRPr="00F412FE">
        <w:rPr>
          <w:rStyle w:val="EndnoteReference"/>
          <w:sz w:val="20"/>
          <w:szCs w:val="20"/>
          <w:vertAlign w:val="baseline"/>
        </w:rPr>
        <w:endnoteRef/>
      </w:r>
      <w:r w:rsidRPr="00F412FE">
        <w:rPr>
          <w:rStyle w:val="EndnoteReference"/>
          <w:sz w:val="20"/>
          <w:szCs w:val="20"/>
          <w:vertAlign w:val="baseline"/>
        </w:rPr>
        <w:t xml:space="preserve"> </w:t>
      </w:r>
      <w:r>
        <w:rPr>
          <w:sz w:val="20"/>
          <w:szCs w:val="20"/>
        </w:rPr>
        <w:tab/>
      </w:r>
      <w:r w:rsidRPr="00F412FE">
        <w:rPr>
          <w:rStyle w:val="EndnoteReference"/>
          <w:sz w:val="20"/>
          <w:szCs w:val="20"/>
          <w:vertAlign w:val="baseline"/>
        </w:rPr>
        <w:t>The average amounts of remittances received by households at different levels of th</w:t>
      </w:r>
      <w:r>
        <w:rPr>
          <w:rStyle w:val="EndnoteReference"/>
          <w:sz w:val="20"/>
          <w:szCs w:val="20"/>
          <w:vertAlign w:val="baseline"/>
        </w:rPr>
        <w:t>e income distribution in BiH</w:t>
      </w:r>
      <w:r w:rsidRPr="00F412FE">
        <w:rPr>
          <w:rStyle w:val="EndnoteReference"/>
          <w:sz w:val="20"/>
          <w:szCs w:val="20"/>
          <w:vertAlign w:val="baseline"/>
        </w:rPr>
        <w:t xml:space="preserve"> are </w:t>
      </w:r>
      <w:r>
        <w:rPr>
          <w:rStyle w:val="EndnoteReference"/>
          <w:sz w:val="20"/>
          <w:szCs w:val="20"/>
          <w:vertAlign w:val="baseline"/>
        </w:rPr>
        <w:t>given</w:t>
      </w:r>
      <w:r w:rsidRPr="00F412FE">
        <w:rPr>
          <w:rStyle w:val="EndnoteReference"/>
          <w:sz w:val="20"/>
          <w:szCs w:val="20"/>
          <w:vertAlign w:val="baseline"/>
        </w:rPr>
        <w:t xml:space="preserve"> in Table 3.</w:t>
      </w:r>
    </w:p>
    <w:p w14:paraId="418CFA41" w14:textId="77777777" w:rsidR="005627B8" w:rsidRPr="00F412FE" w:rsidRDefault="005627B8" w:rsidP="00110671">
      <w:pPr>
        <w:tabs>
          <w:tab w:val="left" w:pos="709"/>
        </w:tabs>
        <w:ind w:left="426" w:hanging="426"/>
        <w:jc w:val="both"/>
        <w:rPr>
          <w:rStyle w:val="EndnoteReference"/>
          <w:sz w:val="20"/>
          <w:szCs w:val="20"/>
          <w:vertAlign w:val="baseline"/>
        </w:rPr>
      </w:pPr>
    </w:p>
  </w:endnote>
  <w:endnote w:id="29">
    <w:p w14:paraId="28E25106" w14:textId="5FEB0E35" w:rsidR="005627B8" w:rsidRDefault="005627B8" w:rsidP="00110671">
      <w:pPr>
        <w:pStyle w:val="EndnoteText"/>
        <w:ind w:left="426" w:hanging="426"/>
      </w:pPr>
      <w:r w:rsidRPr="002A379F">
        <w:rPr>
          <w:rStyle w:val="EndnoteReference"/>
          <w:vertAlign w:val="baseline"/>
        </w:rPr>
        <w:endnoteRef/>
      </w:r>
      <w:r>
        <w:t xml:space="preserve"> </w:t>
      </w:r>
      <w:r>
        <w:tab/>
        <w:t xml:space="preserve">See S. Smajic-Ermacona, Poverty among female-headed households in Bosnia and Herzegovina: an empirical analysis, </w:t>
      </w:r>
      <w:r>
        <w:rPr>
          <w:i/>
        </w:rPr>
        <w:t xml:space="preserve">South East European Journal of Economics and Business, </w:t>
      </w:r>
      <w:r>
        <w:t>2(1), 2007, pp. 69–88.</w:t>
      </w:r>
    </w:p>
    <w:p w14:paraId="765F245A" w14:textId="77777777" w:rsidR="005627B8" w:rsidRPr="00896FD1" w:rsidRDefault="005627B8" w:rsidP="00110671">
      <w:pPr>
        <w:pStyle w:val="EndnoteText"/>
        <w:ind w:left="426" w:hanging="426"/>
      </w:pPr>
    </w:p>
  </w:endnote>
  <w:endnote w:id="30">
    <w:p w14:paraId="5D4ED166" w14:textId="5ABABF50" w:rsidR="005627B8" w:rsidRDefault="005627B8" w:rsidP="00110671">
      <w:pPr>
        <w:pStyle w:val="EndnoteText"/>
        <w:ind w:left="426" w:hanging="426"/>
      </w:pPr>
      <w:r w:rsidRPr="002A379F">
        <w:rPr>
          <w:rStyle w:val="EndnoteReference"/>
          <w:vertAlign w:val="baseline"/>
        </w:rPr>
        <w:endnoteRef/>
      </w:r>
      <w:r>
        <w:t xml:space="preserve"> </w:t>
      </w:r>
      <w:r>
        <w:tab/>
        <w:t xml:space="preserve">See UNDP, </w:t>
      </w:r>
      <w:r>
        <w:rPr>
          <w:i/>
        </w:rPr>
        <w:t xml:space="preserve">Human Development Report, </w:t>
      </w:r>
      <w:r>
        <w:t>UNDP, 2013.</w:t>
      </w:r>
    </w:p>
    <w:p w14:paraId="3B027806" w14:textId="77777777" w:rsidR="005627B8" w:rsidRPr="00896FD1" w:rsidRDefault="005627B8">
      <w:pPr>
        <w:pStyle w:val="EndnoteText"/>
      </w:pPr>
    </w:p>
  </w:endnote>
  <w:endnote w:id="31">
    <w:p w14:paraId="30794795" w14:textId="4E266E26" w:rsidR="005627B8" w:rsidRDefault="005627B8" w:rsidP="00110671">
      <w:pPr>
        <w:tabs>
          <w:tab w:val="left" w:pos="709"/>
        </w:tabs>
        <w:ind w:left="426" w:hanging="426"/>
        <w:jc w:val="both"/>
        <w:rPr>
          <w:sz w:val="20"/>
          <w:szCs w:val="20"/>
        </w:rPr>
      </w:pPr>
      <w:r w:rsidRPr="00F412FE">
        <w:rPr>
          <w:rStyle w:val="EndnoteReference"/>
          <w:sz w:val="20"/>
          <w:szCs w:val="20"/>
          <w:vertAlign w:val="baseline"/>
        </w:rPr>
        <w:endnoteRef/>
      </w:r>
      <w:r w:rsidRPr="00F412FE">
        <w:rPr>
          <w:rStyle w:val="EndnoteReference"/>
          <w:sz w:val="20"/>
          <w:szCs w:val="20"/>
          <w:vertAlign w:val="baseline"/>
        </w:rPr>
        <w:t xml:space="preserve"> </w:t>
      </w:r>
      <w:r>
        <w:rPr>
          <w:sz w:val="20"/>
          <w:szCs w:val="20"/>
        </w:rPr>
        <w:tab/>
      </w:r>
      <w:r w:rsidRPr="00F412FE">
        <w:rPr>
          <w:rStyle w:val="EndnoteReference"/>
          <w:sz w:val="20"/>
          <w:szCs w:val="20"/>
          <w:vertAlign w:val="baseline"/>
        </w:rPr>
        <w:t>The unemployment rate among the female workforce in Bosnia-Herzegovina is higher than it is for males.</w:t>
      </w:r>
    </w:p>
    <w:p w14:paraId="68C3443C" w14:textId="77777777" w:rsidR="005627B8" w:rsidRPr="00F412FE" w:rsidRDefault="005627B8" w:rsidP="00F412FE">
      <w:pPr>
        <w:tabs>
          <w:tab w:val="left" w:pos="709"/>
        </w:tabs>
        <w:jc w:val="both"/>
        <w:rPr>
          <w:rStyle w:val="EndnoteReference"/>
          <w:sz w:val="20"/>
          <w:szCs w:val="20"/>
          <w:vertAlign w:val="baseline"/>
        </w:rPr>
      </w:pPr>
    </w:p>
  </w:endnote>
  <w:endnote w:id="32">
    <w:p w14:paraId="57485354" w14:textId="60205A19" w:rsidR="005627B8" w:rsidRDefault="005627B8" w:rsidP="00D62310">
      <w:pPr>
        <w:pStyle w:val="CommentText"/>
      </w:pPr>
      <w:r w:rsidRPr="00D62310">
        <w:rPr>
          <w:rStyle w:val="EndnoteReference"/>
          <w:vertAlign w:val="baseline"/>
        </w:rPr>
        <w:endnoteRef/>
      </w:r>
      <w:r w:rsidRPr="00D62310">
        <w:t xml:space="preserve"> </w:t>
      </w:r>
      <w:r>
        <w:t xml:space="preserve">   We implemented the procedure as follows:</w:t>
      </w:r>
    </w:p>
    <w:p w14:paraId="0CB19EED" w14:textId="3738A904" w:rsidR="005627B8" w:rsidRDefault="005627B8" w:rsidP="006C13ED">
      <w:pPr>
        <w:pStyle w:val="CommentText"/>
        <w:numPr>
          <w:ilvl w:val="0"/>
          <w:numId w:val="2"/>
        </w:numPr>
      </w:pPr>
      <w:r>
        <w:t xml:space="preserve">We estimated the probit regression reported in </w:t>
      </w:r>
      <w:r w:rsidR="00975B29">
        <w:t>Table 5</w:t>
      </w:r>
      <w:r>
        <w:t xml:space="preserve">. All variables were entered in factor form, which is necessary to compute the marginal effects using Stata's Margins command. Our variables of interest – remittances and income quintiles – are specified both individually and in interaction. </w:t>
      </w:r>
    </w:p>
    <w:p w14:paraId="152AA2AC" w14:textId="77777777" w:rsidR="005627B8" w:rsidRDefault="005627B8" w:rsidP="006C13ED">
      <w:pPr>
        <w:pStyle w:val="CommentText"/>
        <w:numPr>
          <w:ilvl w:val="0"/>
          <w:numId w:val="2"/>
        </w:numPr>
      </w:pPr>
      <w:r>
        <w:t xml:space="preserve">We used Stata's post-estimation </w:t>
      </w:r>
      <w:r w:rsidRPr="00733924">
        <w:rPr>
          <w:b/>
        </w:rPr>
        <w:t>Margins</w:t>
      </w:r>
      <w:r>
        <w:t xml:space="preserve"> command to obtain the remittances effect at each quintile, </w:t>
      </w:r>
      <w:r>
        <w:rPr>
          <w:lang w:val="en-GB"/>
        </w:rPr>
        <w:t xml:space="preserve">using the following syntax: </w:t>
      </w:r>
      <w:r w:rsidRPr="00F77911">
        <w:rPr>
          <w:lang w:val="en-GB"/>
        </w:rPr>
        <w:t>margins hrem, at(quintile = (1(1)5)) contrast(effects)</w:t>
      </w:r>
    </w:p>
    <w:p w14:paraId="1FAF5948" w14:textId="77777777" w:rsidR="005627B8" w:rsidRDefault="005627B8" w:rsidP="006C13ED">
      <w:pPr>
        <w:pStyle w:val="CommentText"/>
        <w:numPr>
          <w:ilvl w:val="0"/>
          <w:numId w:val="2"/>
        </w:numPr>
      </w:pPr>
      <w:r>
        <w:t xml:space="preserve">We used </w:t>
      </w:r>
      <w:r w:rsidRPr="00733924">
        <w:rPr>
          <w:b/>
        </w:rPr>
        <w:t>Marginsplot</w:t>
      </w:r>
      <w:r>
        <w:t xml:space="preserve"> to obtain a graphical display that plots the difference in the probability of enrolment between households receiving remittances and households not receiving remittances for each income quintile. </w:t>
      </w:r>
    </w:p>
    <w:p w14:paraId="080DD291" w14:textId="45D85858" w:rsidR="005627B8" w:rsidRDefault="005627B8">
      <w:pPr>
        <w:pStyle w:val="EndnoteText"/>
      </w:pPr>
    </w:p>
  </w:endnote>
  <w:endnote w:id="33">
    <w:p w14:paraId="36D7F801" w14:textId="1A002A46" w:rsidR="005627B8" w:rsidRDefault="005627B8" w:rsidP="00110671">
      <w:pPr>
        <w:pStyle w:val="EndnoteText"/>
        <w:ind w:left="426" w:hanging="426"/>
      </w:pPr>
      <w:r w:rsidRPr="002A379F">
        <w:rPr>
          <w:rStyle w:val="EndnoteReference"/>
          <w:vertAlign w:val="baseline"/>
        </w:rPr>
        <w:endnoteRef/>
      </w:r>
      <w:r>
        <w:t xml:space="preserve"> </w:t>
      </w:r>
      <w:r>
        <w:tab/>
        <w:t>Notably Cox-Edwards and Ureta, op. cit.; Amuedo-Dorantes and Pozo op. cit.; Cuecuecha op. cit.</w:t>
      </w:r>
    </w:p>
    <w:p w14:paraId="50CECBF6" w14:textId="77777777" w:rsidR="005627B8" w:rsidRDefault="005627B8" w:rsidP="00110671">
      <w:pPr>
        <w:pStyle w:val="EndnoteText"/>
        <w:ind w:left="426" w:hanging="426"/>
      </w:pPr>
    </w:p>
    <w:p w14:paraId="28737F33" w14:textId="77777777" w:rsidR="005627B8" w:rsidRDefault="005627B8" w:rsidP="00110671">
      <w:pPr>
        <w:pStyle w:val="EndnoteText"/>
        <w:ind w:left="426" w:hanging="42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DOCMMD+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E448" w14:textId="30F57857" w:rsidR="005627B8" w:rsidRDefault="005627B8">
    <w:pPr>
      <w:pStyle w:val="Footer"/>
      <w:jc w:val="right"/>
    </w:pPr>
    <w:r>
      <w:fldChar w:fldCharType="begin"/>
    </w:r>
    <w:r>
      <w:instrText xml:space="preserve"> PAGE   \* MERGEFORMAT </w:instrText>
    </w:r>
    <w:r>
      <w:fldChar w:fldCharType="separate"/>
    </w:r>
    <w:r w:rsidR="00975B29">
      <w:rPr>
        <w:noProof/>
      </w:rPr>
      <w:t>17</w:t>
    </w:r>
    <w:r>
      <w:fldChar w:fldCharType="end"/>
    </w:r>
  </w:p>
  <w:p w14:paraId="5C8896DD" w14:textId="77777777" w:rsidR="005627B8" w:rsidRDefault="0056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817F9" w14:textId="77777777" w:rsidR="002509D7" w:rsidRDefault="002509D7">
      <w:r>
        <w:separator/>
      </w:r>
    </w:p>
  </w:footnote>
  <w:footnote w:type="continuationSeparator" w:id="0">
    <w:p w14:paraId="4AEBA246" w14:textId="77777777" w:rsidR="002509D7" w:rsidRDefault="00250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31032"/>
    <w:multiLevelType w:val="hybridMultilevel"/>
    <w:tmpl w:val="009C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3B53BA"/>
    <w:multiLevelType w:val="hybridMultilevel"/>
    <w:tmpl w:val="8F1A6E9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CC"/>
    <w:rsid w:val="00000166"/>
    <w:rsid w:val="00000243"/>
    <w:rsid w:val="00000348"/>
    <w:rsid w:val="0000097B"/>
    <w:rsid w:val="00001340"/>
    <w:rsid w:val="00001879"/>
    <w:rsid w:val="000018E2"/>
    <w:rsid w:val="00002344"/>
    <w:rsid w:val="000026FD"/>
    <w:rsid w:val="0000365C"/>
    <w:rsid w:val="00003759"/>
    <w:rsid w:val="00003AA4"/>
    <w:rsid w:val="00003F1E"/>
    <w:rsid w:val="00004025"/>
    <w:rsid w:val="00004A57"/>
    <w:rsid w:val="00005463"/>
    <w:rsid w:val="000057B4"/>
    <w:rsid w:val="00006073"/>
    <w:rsid w:val="00006163"/>
    <w:rsid w:val="00006339"/>
    <w:rsid w:val="0000647F"/>
    <w:rsid w:val="00006C30"/>
    <w:rsid w:val="00006FF9"/>
    <w:rsid w:val="0000742C"/>
    <w:rsid w:val="000101E0"/>
    <w:rsid w:val="00010455"/>
    <w:rsid w:val="00010961"/>
    <w:rsid w:val="00010E11"/>
    <w:rsid w:val="000115D8"/>
    <w:rsid w:val="0001220C"/>
    <w:rsid w:val="0001255B"/>
    <w:rsid w:val="00012D84"/>
    <w:rsid w:val="00013881"/>
    <w:rsid w:val="0001389D"/>
    <w:rsid w:val="00013C5B"/>
    <w:rsid w:val="00014563"/>
    <w:rsid w:val="000146E6"/>
    <w:rsid w:val="00014E50"/>
    <w:rsid w:val="00015011"/>
    <w:rsid w:val="000154AA"/>
    <w:rsid w:val="00015598"/>
    <w:rsid w:val="000167A0"/>
    <w:rsid w:val="00016887"/>
    <w:rsid w:val="000202C8"/>
    <w:rsid w:val="00020CB6"/>
    <w:rsid w:val="0002108A"/>
    <w:rsid w:val="00021161"/>
    <w:rsid w:val="000212DC"/>
    <w:rsid w:val="00021429"/>
    <w:rsid w:val="00022A00"/>
    <w:rsid w:val="00022BB8"/>
    <w:rsid w:val="00022CD4"/>
    <w:rsid w:val="00022D4E"/>
    <w:rsid w:val="00022E6D"/>
    <w:rsid w:val="00023A60"/>
    <w:rsid w:val="0002480F"/>
    <w:rsid w:val="0002495B"/>
    <w:rsid w:val="00024B45"/>
    <w:rsid w:val="0002573C"/>
    <w:rsid w:val="00026A9B"/>
    <w:rsid w:val="00027258"/>
    <w:rsid w:val="000310C5"/>
    <w:rsid w:val="000326DE"/>
    <w:rsid w:val="00032BEB"/>
    <w:rsid w:val="00032EBF"/>
    <w:rsid w:val="00033049"/>
    <w:rsid w:val="00033273"/>
    <w:rsid w:val="000332CA"/>
    <w:rsid w:val="0003333B"/>
    <w:rsid w:val="00033600"/>
    <w:rsid w:val="00033B24"/>
    <w:rsid w:val="00033B70"/>
    <w:rsid w:val="00034021"/>
    <w:rsid w:val="00034029"/>
    <w:rsid w:val="0003466B"/>
    <w:rsid w:val="00035AA6"/>
    <w:rsid w:val="00035F4A"/>
    <w:rsid w:val="00035FE3"/>
    <w:rsid w:val="0003719A"/>
    <w:rsid w:val="00037548"/>
    <w:rsid w:val="00037858"/>
    <w:rsid w:val="000406F6"/>
    <w:rsid w:val="00040A16"/>
    <w:rsid w:val="00040B4C"/>
    <w:rsid w:val="00040EDA"/>
    <w:rsid w:val="000411F6"/>
    <w:rsid w:val="00041201"/>
    <w:rsid w:val="00041346"/>
    <w:rsid w:val="00041348"/>
    <w:rsid w:val="000416E4"/>
    <w:rsid w:val="00042959"/>
    <w:rsid w:val="00042B36"/>
    <w:rsid w:val="00042FE3"/>
    <w:rsid w:val="00043CE6"/>
    <w:rsid w:val="000446AF"/>
    <w:rsid w:val="00044E98"/>
    <w:rsid w:val="000451C2"/>
    <w:rsid w:val="00045302"/>
    <w:rsid w:val="00045391"/>
    <w:rsid w:val="000454A5"/>
    <w:rsid w:val="00045D9E"/>
    <w:rsid w:val="0004604B"/>
    <w:rsid w:val="00047630"/>
    <w:rsid w:val="00047C47"/>
    <w:rsid w:val="0005054B"/>
    <w:rsid w:val="00051815"/>
    <w:rsid w:val="00051DAB"/>
    <w:rsid w:val="0005284E"/>
    <w:rsid w:val="0005369E"/>
    <w:rsid w:val="0005384F"/>
    <w:rsid w:val="00053F15"/>
    <w:rsid w:val="000546BF"/>
    <w:rsid w:val="0005478A"/>
    <w:rsid w:val="00054B31"/>
    <w:rsid w:val="000552AE"/>
    <w:rsid w:val="00055771"/>
    <w:rsid w:val="0005643B"/>
    <w:rsid w:val="0005698D"/>
    <w:rsid w:val="00056AB9"/>
    <w:rsid w:val="00057E09"/>
    <w:rsid w:val="00057F98"/>
    <w:rsid w:val="000601C1"/>
    <w:rsid w:val="000605CE"/>
    <w:rsid w:val="0006092E"/>
    <w:rsid w:val="000624C4"/>
    <w:rsid w:val="0006287A"/>
    <w:rsid w:val="00062DB5"/>
    <w:rsid w:val="00064D3B"/>
    <w:rsid w:val="00065295"/>
    <w:rsid w:val="0006592C"/>
    <w:rsid w:val="00065CC4"/>
    <w:rsid w:val="00066430"/>
    <w:rsid w:val="00066658"/>
    <w:rsid w:val="00066BE5"/>
    <w:rsid w:val="0007026B"/>
    <w:rsid w:val="00070308"/>
    <w:rsid w:val="0007140C"/>
    <w:rsid w:val="00071477"/>
    <w:rsid w:val="000714C1"/>
    <w:rsid w:val="000714FD"/>
    <w:rsid w:val="00071880"/>
    <w:rsid w:val="00072B08"/>
    <w:rsid w:val="00072C19"/>
    <w:rsid w:val="00072F04"/>
    <w:rsid w:val="00073BB4"/>
    <w:rsid w:val="00074015"/>
    <w:rsid w:val="00074182"/>
    <w:rsid w:val="00074867"/>
    <w:rsid w:val="00074910"/>
    <w:rsid w:val="00074A65"/>
    <w:rsid w:val="00074E49"/>
    <w:rsid w:val="00075178"/>
    <w:rsid w:val="000759CB"/>
    <w:rsid w:val="00075CFD"/>
    <w:rsid w:val="00075E04"/>
    <w:rsid w:val="00075F82"/>
    <w:rsid w:val="000760EA"/>
    <w:rsid w:val="00076B3A"/>
    <w:rsid w:val="00076C19"/>
    <w:rsid w:val="0007771C"/>
    <w:rsid w:val="00077AA2"/>
    <w:rsid w:val="00077BFC"/>
    <w:rsid w:val="00077C95"/>
    <w:rsid w:val="00077D2B"/>
    <w:rsid w:val="00080904"/>
    <w:rsid w:val="00080BB9"/>
    <w:rsid w:val="00080E86"/>
    <w:rsid w:val="000813A7"/>
    <w:rsid w:val="00081813"/>
    <w:rsid w:val="00081A2E"/>
    <w:rsid w:val="00081F58"/>
    <w:rsid w:val="00082375"/>
    <w:rsid w:val="00082D5C"/>
    <w:rsid w:val="0008310D"/>
    <w:rsid w:val="000833DD"/>
    <w:rsid w:val="00083507"/>
    <w:rsid w:val="00083B3F"/>
    <w:rsid w:val="000842E3"/>
    <w:rsid w:val="0008453A"/>
    <w:rsid w:val="00085CBA"/>
    <w:rsid w:val="00085D99"/>
    <w:rsid w:val="00085FE1"/>
    <w:rsid w:val="00086355"/>
    <w:rsid w:val="000863A0"/>
    <w:rsid w:val="00086472"/>
    <w:rsid w:val="00087284"/>
    <w:rsid w:val="00087706"/>
    <w:rsid w:val="00087855"/>
    <w:rsid w:val="00087D52"/>
    <w:rsid w:val="00090213"/>
    <w:rsid w:val="00090569"/>
    <w:rsid w:val="00090780"/>
    <w:rsid w:val="00091464"/>
    <w:rsid w:val="0009164F"/>
    <w:rsid w:val="000917B7"/>
    <w:rsid w:val="0009192E"/>
    <w:rsid w:val="00092E4A"/>
    <w:rsid w:val="000931DB"/>
    <w:rsid w:val="0009336E"/>
    <w:rsid w:val="000936EB"/>
    <w:rsid w:val="000946E8"/>
    <w:rsid w:val="0009474E"/>
    <w:rsid w:val="00094933"/>
    <w:rsid w:val="00094A59"/>
    <w:rsid w:val="00094F55"/>
    <w:rsid w:val="00096024"/>
    <w:rsid w:val="00096236"/>
    <w:rsid w:val="00096B7F"/>
    <w:rsid w:val="00096C4E"/>
    <w:rsid w:val="0009708E"/>
    <w:rsid w:val="00097501"/>
    <w:rsid w:val="00097DE4"/>
    <w:rsid w:val="000A04E1"/>
    <w:rsid w:val="000A113C"/>
    <w:rsid w:val="000A1C33"/>
    <w:rsid w:val="000A2125"/>
    <w:rsid w:val="000A21F3"/>
    <w:rsid w:val="000A25B1"/>
    <w:rsid w:val="000A2953"/>
    <w:rsid w:val="000A2A57"/>
    <w:rsid w:val="000A2C15"/>
    <w:rsid w:val="000A2FB6"/>
    <w:rsid w:val="000A33BD"/>
    <w:rsid w:val="000A384D"/>
    <w:rsid w:val="000A39AE"/>
    <w:rsid w:val="000A3A01"/>
    <w:rsid w:val="000A3DEE"/>
    <w:rsid w:val="000A3F5B"/>
    <w:rsid w:val="000A51EF"/>
    <w:rsid w:val="000A5248"/>
    <w:rsid w:val="000A524B"/>
    <w:rsid w:val="000A526F"/>
    <w:rsid w:val="000A5431"/>
    <w:rsid w:val="000A58E1"/>
    <w:rsid w:val="000A6CB7"/>
    <w:rsid w:val="000A6E6A"/>
    <w:rsid w:val="000A736D"/>
    <w:rsid w:val="000A765E"/>
    <w:rsid w:val="000A798E"/>
    <w:rsid w:val="000A7D59"/>
    <w:rsid w:val="000B1614"/>
    <w:rsid w:val="000B1717"/>
    <w:rsid w:val="000B17F0"/>
    <w:rsid w:val="000B1D32"/>
    <w:rsid w:val="000B1EF5"/>
    <w:rsid w:val="000B2702"/>
    <w:rsid w:val="000B2A16"/>
    <w:rsid w:val="000B2AC0"/>
    <w:rsid w:val="000B2B78"/>
    <w:rsid w:val="000B333F"/>
    <w:rsid w:val="000B3742"/>
    <w:rsid w:val="000B4B51"/>
    <w:rsid w:val="000B4D66"/>
    <w:rsid w:val="000B52E0"/>
    <w:rsid w:val="000B61CF"/>
    <w:rsid w:val="000B66DA"/>
    <w:rsid w:val="000B70C1"/>
    <w:rsid w:val="000B7D7C"/>
    <w:rsid w:val="000C050C"/>
    <w:rsid w:val="000C1FB4"/>
    <w:rsid w:val="000C4219"/>
    <w:rsid w:val="000C4EF5"/>
    <w:rsid w:val="000C5107"/>
    <w:rsid w:val="000C5174"/>
    <w:rsid w:val="000C5B41"/>
    <w:rsid w:val="000C5DE0"/>
    <w:rsid w:val="000C5F1C"/>
    <w:rsid w:val="000C633D"/>
    <w:rsid w:val="000C7329"/>
    <w:rsid w:val="000C7B61"/>
    <w:rsid w:val="000C7C05"/>
    <w:rsid w:val="000C7F80"/>
    <w:rsid w:val="000D0578"/>
    <w:rsid w:val="000D0BED"/>
    <w:rsid w:val="000D0C25"/>
    <w:rsid w:val="000D0CCB"/>
    <w:rsid w:val="000D0DC8"/>
    <w:rsid w:val="000D1739"/>
    <w:rsid w:val="000D175F"/>
    <w:rsid w:val="000D1BD7"/>
    <w:rsid w:val="000D2286"/>
    <w:rsid w:val="000D237B"/>
    <w:rsid w:val="000D2933"/>
    <w:rsid w:val="000D2C20"/>
    <w:rsid w:val="000D3135"/>
    <w:rsid w:val="000D3877"/>
    <w:rsid w:val="000D3EAD"/>
    <w:rsid w:val="000D44D0"/>
    <w:rsid w:val="000D57B9"/>
    <w:rsid w:val="000D5905"/>
    <w:rsid w:val="000D6559"/>
    <w:rsid w:val="000D67E6"/>
    <w:rsid w:val="000D6FF9"/>
    <w:rsid w:val="000D729B"/>
    <w:rsid w:val="000E0293"/>
    <w:rsid w:val="000E061F"/>
    <w:rsid w:val="000E0C7D"/>
    <w:rsid w:val="000E0D10"/>
    <w:rsid w:val="000E16AD"/>
    <w:rsid w:val="000E1844"/>
    <w:rsid w:val="000E27F1"/>
    <w:rsid w:val="000E30E1"/>
    <w:rsid w:val="000E31BF"/>
    <w:rsid w:val="000E328B"/>
    <w:rsid w:val="000E350C"/>
    <w:rsid w:val="000E38FB"/>
    <w:rsid w:val="000E390F"/>
    <w:rsid w:val="000E3AE1"/>
    <w:rsid w:val="000E4C3A"/>
    <w:rsid w:val="000E4EFD"/>
    <w:rsid w:val="000E5564"/>
    <w:rsid w:val="000E5635"/>
    <w:rsid w:val="000E582D"/>
    <w:rsid w:val="000E5B64"/>
    <w:rsid w:val="000E656F"/>
    <w:rsid w:val="000E6975"/>
    <w:rsid w:val="000E7450"/>
    <w:rsid w:val="000E7F24"/>
    <w:rsid w:val="000F024D"/>
    <w:rsid w:val="000F0B49"/>
    <w:rsid w:val="000F0C6B"/>
    <w:rsid w:val="000F1597"/>
    <w:rsid w:val="000F1AA4"/>
    <w:rsid w:val="000F24F9"/>
    <w:rsid w:val="000F2861"/>
    <w:rsid w:val="000F2C95"/>
    <w:rsid w:val="000F3311"/>
    <w:rsid w:val="000F36DA"/>
    <w:rsid w:val="000F43A0"/>
    <w:rsid w:val="000F4702"/>
    <w:rsid w:val="000F4804"/>
    <w:rsid w:val="000F4809"/>
    <w:rsid w:val="000F4B0A"/>
    <w:rsid w:val="000F4B90"/>
    <w:rsid w:val="000F4E45"/>
    <w:rsid w:val="000F5226"/>
    <w:rsid w:val="000F6DEE"/>
    <w:rsid w:val="000F765E"/>
    <w:rsid w:val="0010037B"/>
    <w:rsid w:val="001004F0"/>
    <w:rsid w:val="001004FA"/>
    <w:rsid w:val="00100862"/>
    <w:rsid w:val="001008F0"/>
    <w:rsid w:val="00100C86"/>
    <w:rsid w:val="00100DC9"/>
    <w:rsid w:val="0010133E"/>
    <w:rsid w:val="00101516"/>
    <w:rsid w:val="00102CFE"/>
    <w:rsid w:val="0010416E"/>
    <w:rsid w:val="0010427A"/>
    <w:rsid w:val="00104570"/>
    <w:rsid w:val="00104682"/>
    <w:rsid w:val="00104FB9"/>
    <w:rsid w:val="001053B6"/>
    <w:rsid w:val="00105BFD"/>
    <w:rsid w:val="00106452"/>
    <w:rsid w:val="001069C9"/>
    <w:rsid w:val="00106A3F"/>
    <w:rsid w:val="00106F5E"/>
    <w:rsid w:val="00106FD9"/>
    <w:rsid w:val="00107BDC"/>
    <w:rsid w:val="00110671"/>
    <w:rsid w:val="00111A7F"/>
    <w:rsid w:val="00112531"/>
    <w:rsid w:val="001138A6"/>
    <w:rsid w:val="00113EE2"/>
    <w:rsid w:val="001140D7"/>
    <w:rsid w:val="001142A9"/>
    <w:rsid w:val="0011576D"/>
    <w:rsid w:val="0011693B"/>
    <w:rsid w:val="0011756E"/>
    <w:rsid w:val="001176CF"/>
    <w:rsid w:val="00117BF4"/>
    <w:rsid w:val="00117F5E"/>
    <w:rsid w:val="00117F60"/>
    <w:rsid w:val="00120A8E"/>
    <w:rsid w:val="00120F3D"/>
    <w:rsid w:val="0012141D"/>
    <w:rsid w:val="00121423"/>
    <w:rsid w:val="00122D88"/>
    <w:rsid w:val="00122E2C"/>
    <w:rsid w:val="001236DD"/>
    <w:rsid w:val="0012388D"/>
    <w:rsid w:val="00123976"/>
    <w:rsid w:val="00123ADC"/>
    <w:rsid w:val="00123E56"/>
    <w:rsid w:val="00124080"/>
    <w:rsid w:val="00124671"/>
    <w:rsid w:val="001259B8"/>
    <w:rsid w:val="00125F6C"/>
    <w:rsid w:val="001261CD"/>
    <w:rsid w:val="00126469"/>
    <w:rsid w:val="0012657F"/>
    <w:rsid w:val="001266B4"/>
    <w:rsid w:val="00126A1F"/>
    <w:rsid w:val="00126AC8"/>
    <w:rsid w:val="00127B68"/>
    <w:rsid w:val="00127CD0"/>
    <w:rsid w:val="00131421"/>
    <w:rsid w:val="00131EAD"/>
    <w:rsid w:val="001321C5"/>
    <w:rsid w:val="00132682"/>
    <w:rsid w:val="001333FE"/>
    <w:rsid w:val="00133FA6"/>
    <w:rsid w:val="0013485C"/>
    <w:rsid w:val="00134A0F"/>
    <w:rsid w:val="00134DC4"/>
    <w:rsid w:val="001355B6"/>
    <w:rsid w:val="00135671"/>
    <w:rsid w:val="00135840"/>
    <w:rsid w:val="00135F0E"/>
    <w:rsid w:val="001361DE"/>
    <w:rsid w:val="001362FB"/>
    <w:rsid w:val="00136721"/>
    <w:rsid w:val="00136759"/>
    <w:rsid w:val="00136850"/>
    <w:rsid w:val="0013725B"/>
    <w:rsid w:val="00140452"/>
    <w:rsid w:val="00140666"/>
    <w:rsid w:val="00140C54"/>
    <w:rsid w:val="0014138C"/>
    <w:rsid w:val="00141496"/>
    <w:rsid w:val="00141E76"/>
    <w:rsid w:val="00141F53"/>
    <w:rsid w:val="001427AB"/>
    <w:rsid w:val="001427F4"/>
    <w:rsid w:val="0014364E"/>
    <w:rsid w:val="00143B8D"/>
    <w:rsid w:val="00143F22"/>
    <w:rsid w:val="0014408D"/>
    <w:rsid w:val="001443C9"/>
    <w:rsid w:val="001444E2"/>
    <w:rsid w:val="00146D01"/>
    <w:rsid w:val="00146D1F"/>
    <w:rsid w:val="00147268"/>
    <w:rsid w:val="001501A3"/>
    <w:rsid w:val="001502DB"/>
    <w:rsid w:val="0015075B"/>
    <w:rsid w:val="00151588"/>
    <w:rsid w:val="001516AA"/>
    <w:rsid w:val="00151C7E"/>
    <w:rsid w:val="00152705"/>
    <w:rsid w:val="00152A74"/>
    <w:rsid w:val="00152F2B"/>
    <w:rsid w:val="00153046"/>
    <w:rsid w:val="0015312B"/>
    <w:rsid w:val="001539FF"/>
    <w:rsid w:val="0015407F"/>
    <w:rsid w:val="001543B5"/>
    <w:rsid w:val="001543D3"/>
    <w:rsid w:val="0015446D"/>
    <w:rsid w:val="0015510A"/>
    <w:rsid w:val="001561C7"/>
    <w:rsid w:val="00156B4B"/>
    <w:rsid w:val="0015729A"/>
    <w:rsid w:val="00157CED"/>
    <w:rsid w:val="00160463"/>
    <w:rsid w:val="00160802"/>
    <w:rsid w:val="00160F13"/>
    <w:rsid w:val="00161456"/>
    <w:rsid w:val="001616CB"/>
    <w:rsid w:val="00161C2F"/>
    <w:rsid w:val="00162404"/>
    <w:rsid w:val="00162548"/>
    <w:rsid w:val="00162829"/>
    <w:rsid w:val="00162AD3"/>
    <w:rsid w:val="0016349A"/>
    <w:rsid w:val="001653D1"/>
    <w:rsid w:val="0016598A"/>
    <w:rsid w:val="00166523"/>
    <w:rsid w:val="00166608"/>
    <w:rsid w:val="00166DA4"/>
    <w:rsid w:val="00166F6B"/>
    <w:rsid w:val="00167135"/>
    <w:rsid w:val="0016745E"/>
    <w:rsid w:val="0017057E"/>
    <w:rsid w:val="00170D6C"/>
    <w:rsid w:val="001712DE"/>
    <w:rsid w:val="0017187B"/>
    <w:rsid w:val="00172EEC"/>
    <w:rsid w:val="001740D2"/>
    <w:rsid w:val="0017419C"/>
    <w:rsid w:val="001743CB"/>
    <w:rsid w:val="001745C8"/>
    <w:rsid w:val="001750C3"/>
    <w:rsid w:val="00175198"/>
    <w:rsid w:val="00175790"/>
    <w:rsid w:val="0017673C"/>
    <w:rsid w:val="00176763"/>
    <w:rsid w:val="00176BC1"/>
    <w:rsid w:val="001776AE"/>
    <w:rsid w:val="001777C0"/>
    <w:rsid w:val="00180057"/>
    <w:rsid w:val="00180167"/>
    <w:rsid w:val="001809F2"/>
    <w:rsid w:val="00180C2E"/>
    <w:rsid w:val="0018170D"/>
    <w:rsid w:val="00182065"/>
    <w:rsid w:val="001823C9"/>
    <w:rsid w:val="00182480"/>
    <w:rsid w:val="00182B1E"/>
    <w:rsid w:val="00184067"/>
    <w:rsid w:val="00184319"/>
    <w:rsid w:val="0018448B"/>
    <w:rsid w:val="00185300"/>
    <w:rsid w:val="0018538D"/>
    <w:rsid w:val="00185A44"/>
    <w:rsid w:val="00185D7F"/>
    <w:rsid w:val="00187B8F"/>
    <w:rsid w:val="00190129"/>
    <w:rsid w:val="0019015A"/>
    <w:rsid w:val="001901AA"/>
    <w:rsid w:val="00190245"/>
    <w:rsid w:val="00190A5D"/>
    <w:rsid w:val="00190D51"/>
    <w:rsid w:val="00192456"/>
    <w:rsid w:val="00192760"/>
    <w:rsid w:val="00192897"/>
    <w:rsid w:val="00192E6C"/>
    <w:rsid w:val="001930B8"/>
    <w:rsid w:val="00193C47"/>
    <w:rsid w:val="00193F9B"/>
    <w:rsid w:val="00194461"/>
    <w:rsid w:val="0019678A"/>
    <w:rsid w:val="00197AAD"/>
    <w:rsid w:val="001A0248"/>
    <w:rsid w:val="001A0805"/>
    <w:rsid w:val="001A19B7"/>
    <w:rsid w:val="001A26B2"/>
    <w:rsid w:val="001A2A6A"/>
    <w:rsid w:val="001A2F0C"/>
    <w:rsid w:val="001A32EF"/>
    <w:rsid w:val="001A4041"/>
    <w:rsid w:val="001A46FF"/>
    <w:rsid w:val="001A541A"/>
    <w:rsid w:val="001A5975"/>
    <w:rsid w:val="001A661E"/>
    <w:rsid w:val="001A6BD2"/>
    <w:rsid w:val="001A70B3"/>
    <w:rsid w:val="001A7F36"/>
    <w:rsid w:val="001B0175"/>
    <w:rsid w:val="001B0A5C"/>
    <w:rsid w:val="001B0CD5"/>
    <w:rsid w:val="001B146D"/>
    <w:rsid w:val="001B1880"/>
    <w:rsid w:val="001B1954"/>
    <w:rsid w:val="001B1DFF"/>
    <w:rsid w:val="001B2107"/>
    <w:rsid w:val="001B2921"/>
    <w:rsid w:val="001B384A"/>
    <w:rsid w:val="001B3ACC"/>
    <w:rsid w:val="001B3B19"/>
    <w:rsid w:val="001B4DAE"/>
    <w:rsid w:val="001B52F4"/>
    <w:rsid w:val="001B6230"/>
    <w:rsid w:val="001B6585"/>
    <w:rsid w:val="001B6905"/>
    <w:rsid w:val="001B6912"/>
    <w:rsid w:val="001B6C31"/>
    <w:rsid w:val="001B7289"/>
    <w:rsid w:val="001B7305"/>
    <w:rsid w:val="001C0030"/>
    <w:rsid w:val="001C1C53"/>
    <w:rsid w:val="001C3161"/>
    <w:rsid w:val="001C33C0"/>
    <w:rsid w:val="001C3EB3"/>
    <w:rsid w:val="001C41E2"/>
    <w:rsid w:val="001C43B2"/>
    <w:rsid w:val="001C44F0"/>
    <w:rsid w:val="001C5547"/>
    <w:rsid w:val="001C5C57"/>
    <w:rsid w:val="001D0288"/>
    <w:rsid w:val="001D041D"/>
    <w:rsid w:val="001D07C3"/>
    <w:rsid w:val="001D12C8"/>
    <w:rsid w:val="001D1570"/>
    <w:rsid w:val="001D1C25"/>
    <w:rsid w:val="001D1ED2"/>
    <w:rsid w:val="001D1F7C"/>
    <w:rsid w:val="001D2461"/>
    <w:rsid w:val="001D2760"/>
    <w:rsid w:val="001D2C87"/>
    <w:rsid w:val="001D312A"/>
    <w:rsid w:val="001D31C1"/>
    <w:rsid w:val="001D3601"/>
    <w:rsid w:val="001D3BBC"/>
    <w:rsid w:val="001D3D09"/>
    <w:rsid w:val="001D4014"/>
    <w:rsid w:val="001D4229"/>
    <w:rsid w:val="001D4663"/>
    <w:rsid w:val="001D54D7"/>
    <w:rsid w:val="001D55E4"/>
    <w:rsid w:val="001D6C9E"/>
    <w:rsid w:val="001D79A4"/>
    <w:rsid w:val="001D7B3C"/>
    <w:rsid w:val="001E026B"/>
    <w:rsid w:val="001E12B2"/>
    <w:rsid w:val="001E1CC5"/>
    <w:rsid w:val="001E2E0A"/>
    <w:rsid w:val="001E3869"/>
    <w:rsid w:val="001E3B04"/>
    <w:rsid w:val="001E4466"/>
    <w:rsid w:val="001E4D09"/>
    <w:rsid w:val="001E5075"/>
    <w:rsid w:val="001E528C"/>
    <w:rsid w:val="001E558C"/>
    <w:rsid w:val="001E5861"/>
    <w:rsid w:val="001E5A74"/>
    <w:rsid w:val="001E5F7D"/>
    <w:rsid w:val="001E630C"/>
    <w:rsid w:val="001E7390"/>
    <w:rsid w:val="001E7436"/>
    <w:rsid w:val="001E7A48"/>
    <w:rsid w:val="001E7D5F"/>
    <w:rsid w:val="001E7E2E"/>
    <w:rsid w:val="001E7F7C"/>
    <w:rsid w:val="001E7FBC"/>
    <w:rsid w:val="001F25CB"/>
    <w:rsid w:val="001F29BE"/>
    <w:rsid w:val="001F2FC5"/>
    <w:rsid w:val="001F3306"/>
    <w:rsid w:val="001F3964"/>
    <w:rsid w:val="001F4480"/>
    <w:rsid w:val="001F4992"/>
    <w:rsid w:val="001F57B5"/>
    <w:rsid w:val="001F58E1"/>
    <w:rsid w:val="001F5CDE"/>
    <w:rsid w:val="001F6036"/>
    <w:rsid w:val="001F6459"/>
    <w:rsid w:val="001F6DAA"/>
    <w:rsid w:val="001F7328"/>
    <w:rsid w:val="001F7AB5"/>
    <w:rsid w:val="001F7C36"/>
    <w:rsid w:val="001F7C6B"/>
    <w:rsid w:val="00200076"/>
    <w:rsid w:val="00200BFD"/>
    <w:rsid w:val="00200D63"/>
    <w:rsid w:val="00201EC7"/>
    <w:rsid w:val="002023ED"/>
    <w:rsid w:val="00202442"/>
    <w:rsid w:val="002038CD"/>
    <w:rsid w:val="00203C6C"/>
    <w:rsid w:val="00203DCA"/>
    <w:rsid w:val="00203DCF"/>
    <w:rsid w:val="00203F27"/>
    <w:rsid w:val="00204337"/>
    <w:rsid w:val="002043A7"/>
    <w:rsid w:val="00204542"/>
    <w:rsid w:val="00204738"/>
    <w:rsid w:val="00204CAA"/>
    <w:rsid w:val="00205FBF"/>
    <w:rsid w:val="002061CC"/>
    <w:rsid w:val="002068FC"/>
    <w:rsid w:val="00206CFA"/>
    <w:rsid w:val="002077DE"/>
    <w:rsid w:val="002104CA"/>
    <w:rsid w:val="00210AEF"/>
    <w:rsid w:val="002115C5"/>
    <w:rsid w:val="00211758"/>
    <w:rsid w:val="0021196C"/>
    <w:rsid w:val="00211D4E"/>
    <w:rsid w:val="002124FE"/>
    <w:rsid w:val="0021368D"/>
    <w:rsid w:val="00213ACF"/>
    <w:rsid w:val="00214A0D"/>
    <w:rsid w:val="00214B5D"/>
    <w:rsid w:val="00215511"/>
    <w:rsid w:val="00215530"/>
    <w:rsid w:val="002159D8"/>
    <w:rsid w:val="00215EA1"/>
    <w:rsid w:val="00216827"/>
    <w:rsid w:val="0021685C"/>
    <w:rsid w:val="0021723B"/>
    <w:rsid w:val="00217269"/>
    <w:rsid w:val="00217497"/>
    <w:rsid w:val="00217EF9"/>
    <w:rsid w:val="00217F19"/>
    <w:rsid w:val="002202F3"/>
    <w:rsid w:val="0022080A"/>
    <w:rsid w:val="0022085A"/>
    <w:rsid w:val="00221340"/>
    <w:rsid w:val="00221574"/>
    <w:rsid w:val="00221B3D"/>
    <w:rsid w:val="002221C3"/>
    <w:rsid w:val="00223104"/>
    <w:rsid w:val="00223972"/>
    <w:rsid w:val="00224158"/>
    <w:rsid w:val="00224DB2"/>
    <w:rsid w:val="00224E1D"/>
    <w:rsid w:val="002250D4"/>
    <w:rsid w:val="00225B91"/>
    <w:rsid w:val="00225F3A"/>
    <w:rsid w:val="002265AE"/>
    <w:rsid w:val="0022660B"/>
    <w:rsid w:val="00226806"/>
    <w:rsid w:val="00226875"/>
    <w:rsid w:val="00226DF4"/>
    <w:rsid w:val="00227147"/>
    <w:rsid w:val="0022751F"/>
    <w:rsid w:val="00230CB5"/>
    <w:rsid w:val="00231287"/>
    <w:rsid w:val="00231927"/>
    <w:rsid w:val="002325B2"/>
    <w:rsid w:val="0023333C"/>
    <w:rsid w:val="00233C56"/>
    <w:rsid w:val="002346BB"/>
    <w:rsid w:val="002346E8"/>
    <w:rsid w:val="002348E8"/>
    <w:rsid w:val="002352A5"/>
    <w:rsid w:val="0023557D"/>
    <w:rsid w:val="002356A3"/>
    <w:rsid w:val="00235706"/>
    <w:rsid w:val="00235D40"/>
    <w:rsid w:val="00235F80"/>
    <w:rsid w:val="0023613F"/>
    <w:rsid w:val="0023638D"/>
    <w:rsid w:val="00236A5D"/>
    <w:rsid w:val="00236ACC"/>
    <w:rsid w:val="002376CE"/>
    <w:rsid w:val="00240407"/>
    <w:rsid w:val="00240652"/>
    <w:rsid w:val="002408E5"/>
    <w:rsid w:val="00240901"/>
    <w:rsid w:val="00240B98"/>
    <w:rsid w:val="00240FF9"/>
    <w:rsid w:val="00242735"/>
    <w:rsid w:val="00243611"/>
    <w:rsid w:val="00243AD4"/>
    <w:rsid w:val="00244455"/>
    <w:rsid w:val="00245F56"/>
    <w:rsid w:val="002461F6"/>
    <w:rsid w:val="002464CE"/>
    <w:rsid w:val="002468CA"/>
    <w:rsid w:val="00246F9E"/>
    <w:rsid w:val="002470FE"/>
    <w:rsid w:val="002509D7"/>
    <w:rsid w:val="0025151C"/>
    <w:rsid w:val="00252170"/>
    <w:rsid w:val="0025445C"/>
    <w:rsid w:val="002546BE"/>
    <w:rsid w:val="00255166"/>
    <w:rsid w:val="00255574"/>
    <w:rsid w:val="0025609C"/>
    <w:rsid w:val="002564A8"/>
    <w:rsid w:val="0025695F"/>
    <w:rsid w:val="00256ACD"/>
    <w:rsid w:val="00257C70"/>
    <w:rsid w:val="00257E31"/>
    <w:rsid w:val="002600EB"/>
    <w:rsid w:val="00261166"/>
    <w:rsid w:val="00261B4E"/>
    <w:rsid w:val="00261BA5"/>
    <w:rsid w:val="00261D4D"/>
    <w:rsid w:val="00261D88"/>
    <w:rsid w:val="00263644"/>
    <w:rsid w:val="0026387D"/>
    <w:rsid w:val="00263FE5"/>
    <w:rsid w:val="00264832"/>
    <w:rsid w:val="0026569F"/>
    <w:rsid w:val="00265717"/>
    <w:rsid w:val="002659E1"/>
    <w:rsid w:val="00266749"/>
    <w:rsid w:val="002708F3"/>
    <w:rsid w:val="00271076"/>
    <w:rsid w:val="00271308"/>
    <w:rsid w:val="002717F7"/>
    <w:rsid w:val="002718A2"/>
    <w:rsid w:val="00271D23"/>
    <w:rsid w:val="00271D4B"/>
    <w:rsid w:val="00271E23"/>
    <w:rsid w:val="002725B6"/>
    <w:rsid w:val="00272E92"/>
    <w:rsid w:val="00273474"/>
    <w:rsid w:val="002739FB"/>
    <w:rsid w:val="00273C82"/>
    <w:rsid w:val="00273FE4"/>
    <w:rsid w:val="0027449C"/>
    <w:rsid w:val="002744D9"/>
    <w:rsid w:val="002744FA"/>
    <w:rsid w:val="002746F0"/>
    <w:rsid w:val="00274785"/>
    <w:rsid w:val="00274DAE"/>
    <w:rsid w:val="00275631"/>
    <w:rsid w:val="00275642"/>
    <w:rsid w:val="00275694"/>
    <w:rsid w:val="002756ED"/>
    <w:rsid w:val="00275767"/>
    <w:rsid w:val="00275F20"/>
    <w:rsid w:val="00277FF5"/>
    <w:rsid w:val="002805AE"/>
    <w:rsid w:val="00280666"/>
    <w:rsid w:val="002806D9"/>
    <w:rsid w:val="00280886"/>
    <w:rsid w:val="00281479"/>
    <w:rsid w:val="0028267A"/>
    <w:rsid w:val="00282763"/>
    <w:rsid w:val="00282D4D"/>
    <w:rsid w:val="00282DFA"/>
    <w:rsid w:val="00283492"/>
    <w:rsid w:val="00283777"/>
    <w:rsid w:val="00283989"/>
    <w:rsid w:val="00283ED2"/>
    <w:rsid w:val="0028401F"/>
    <w:rsid w:val="00284525"/>
    <w:rsid w:val="0028464E"/>
    <w:rsid w:val="002847AB"/>
    <w:rsid w:val="00284B5B"/>
    <w:rsid w:val="00284D94"/>
    <w:rsid w:val="00284EA0"/>
    <w:rsid w:val="002853EA"/>
    <w:rsid w:val="00285870"/>
    <w:rsid w:val="002859FC"/>
    <w:rsid w:val="00286208"/>
    <w:rsid w:val="00287952"/>
    <w:rsid w:val="0029004C"/>
    <w:rsid w:val="00290115"/>
    <w:rsid w:val="002901CD"/>
    <w:rsid w:val="00290891"/>
    <w:rsid w:val="00290C81"/>
    <w:rsid w:val="002918B1"/>
    <w:rsid w:val="00292570"/>
    <w:rsid w:val="002943AE"/>
    <w:rsid w:val="00294F3B"/>
    <w:rsid w:val="00294F7A"/>
    <w:rsid w:val="002979A7"/>
    <w:rsid w:val="00297AFB"/>
    <w:rsid w:val="002A0E11"/>
    <w:rsid w:val="002A10A5"/>
    <w:rsid w:val="002A169B"/>
    <w:rsid w:val="002A186A"/>
    <w:rsid w:val="002A2218"/>
    <w:rsid w:val="002A22FD"/>
    <w:rsid w:val="002A339A"/>
    <w:rsid w:val="002A379F"/>
    <w:rsid w:val="002A3947"/>
    <w:rsid w:val="002A410F"/>
    <w:rsid w:val="002A44E6"/>
    <w:rsid w:val="002A4FDC"/>
    <w:rsid w:val="002A52BB"/>
    <w:rsid w:val="002A56A2"/>
    <w:rsid w:val="002A6B64"/>
    <w:rsid w:val="002A6F80"/>
    <w:rsid w:val="002B0415"/>
    <w:rsid w:val="002B04C7"/>
    <w:rsid w:val="002B06F2"/>
    <w:rsid w:val="002B0B53"/>
    <w:rsid w:val="002B0B71"/>
    <w:rsid w:val="002B0E0F"/>
    <w:rsid w:val="002B19E3"/>
    <w:rsid w:val="002B22BA"/>
    <w:rsid w:val="002B237D"/>
    <w:rsid w:val="002B26F3"/>
    <w:rsid w:val="002B2B74"/>
    <w:rsid w:val="002B35DD"/>
    <w:rsid w:val="002B3896"/>
    <w:rsid w:val="002B38DB"/>
    <w:rsid w:val="002B3CC8"/>
    <w:rsid w:val="002B4180"/>
    <w:rsid w:val="002B4659"/>
    <w:rsid w:val="002B4731"/>
    <w:rsid w:val="002B4BEB"/>
    <w:rsid w:val="002B524C"/>
    <w:rsid w:val="002B6201"/>
    <w:rsid w:val="002B7369"/>
    <w:rsid w:val="002C045E"/>
    <w:rsid w:val="002C25E4"/>
    <w:rsid w:val="002C2955"/>
    <w:rsid w:val="002C3184"/>
    <w:rsid w:val="002C36CA"/>
    <w:rsid w:val="002C3701"/>
    <w:rsid w:val="002C3A07"/>
    <w:rsid w:val="002C3A0C"/>
    <w:rsid w:val="002C3DE0"/>
    <w:rsid w:val="002C48A6"/>
    <w:rsid w:val="002C58E8"/>
    <w:rsid w:val="002C6194"/>
    <w:rsid w:val="002C6A06"/>
    <w:rsid w:val="002C6D11"/>
    <w:rsid w:val="002C6E17"/>
    <w:rsid w:val="002C6F8B"/>
    <w:rsid w:val="002D0A49"/>
    <w:rsid w:val="002D1157"/>
    <w:rsid w:val="002D1732"/>
    <w:rsid w:val="002D2104"/>
    <w:rsid w:val="002D2455"/>
    <w:rsid w:val="002D32F9"/>
    <w:rsid w:val="002D3AF8"/>
    <w:rsid w:val="002D4989"/>
    <w:rsid w:val="002D4D4D"/>
    <w:rsid w:val="002D5310"/>
    <w:rsid w:val="002D53CE"/>
    <w:rsid w:val="002D5CC5"/>
    <w:rsid w:val="002D672D"/>
    <w:rsid w:val="002D7BF5"/>
    <w:rsid w:val="002E0B5F"/>
    <w:rsid w:val="002E12A8"/>
    <w:rsid w:val="002E22AE"/>
    <w:rsid w:val="002E24BC"/>
    <w:rsid w:val="002E321D"/>
    <w:rsid w:val="002E3AF4"/>
    <w:rsid w:val="002E516E"/>
    <w:rsid w:val="002E5A44"/>
    <w:rsid w:val="002E5F0E"/>
    <w:rsid w:val="002E6760"/>
    <w:rsid w:val="002E6871"/>
    <w:rsid w:val="002E6B77"/>
    <w:rsid w:val="002E7000"/>
    <w:rsid w:val="002E7F40"/>
    <w:rsid w:val="002F0710"/>
    <w:rsid w:val="002F0FC2"/>
    <w:rsid w:val="002F24DA"/>
    <w:rsid w:val="002F4815"/>
    <w:rsid w:val="002F4A04"/>
    <w:rsid w:val="002F4F70"/>
    <w:rsid w:val="002F5045"/>
    <w:rsid w:val="002F52DD"/>
    <w:rsid w:val="002F5713"/>
    <w:rsid w:val="002F5DA0"/>
    <w:rsid w:val="002F6053"/>
    <w:rsid w:val="002F6181"/>
    <w:rsid w:val="002F6E80"/>
    <w:rsid w:val="002F73C1"/>
    <w:rsid w:val="002F7667"/>
    <w:rsid w:val="002F79F5"/>
    <w:rsid w:val="00300227"/>
    <w:rsid w:val="00300700"/>
    <w:rsid w:val="0030086C"/>
    <w:rsid w:val="00301481"/>
    <w:rsid w:val="00301978"/>
    <w:rsid w:val="00301B84"/>
    <w:rsid w:val="00302049"/>
    <w:rsid w:val="00302B11"/>
    <w:rsid w:val="003037ED"/>
    <w:rsid w:val="00303E47"/>
    <w:rsid w:val="00303EC8"/>
    <w:rsid w:val="00304420"/>
    <w:rsid w:val="0030468A"/>
    <w:rsid w:val="003046DE"/>
    <w:rsid w:val="00304B33"/>
    <w:rsid w:val="0030501E"/>
    <w:rsid w:val="0030727C"/>
    <w:rsid w:val="003106D2"/>
    <w:rsid w:val="00310BF5"/>
    <w:rsid w:val="003125A5"/>
    <w:rsid w:val="00312D81"/>
    <w:rsid w:val="0031338E"/>
    <w:rsid w:val="00313EFC"/>
    <w:rsid w:val="00315A02"/>
    <w:rsid w:val="00315A03"/>
    <w:rsid w:val="00315C80"/>
    <w:rsid w:val="003163A4"/>
    <w:rsid w:val="003163C6"/>
    <w:rsid w:val="00317570"/>
    <w:rsid w:val="003179A7"/>
    <w:rsid w:val="00320098"/>
    <w:rsid w:val="0032045F"/>
    <w:rsid w:val="003209A0"/>
    <w:rsid w:val="00320E71"/>
    <w:rsid w:val="00321368"/>
    <w:rsid w:val="00321621"/>
    <w:rsid w:val="00321FA8"/>
    <w:rsid w:val="0032209A"/>
    <w:rsid w:val="0032243F"/>
    <w:rsid w:val="00322ADC"/>
    <w:rsid w:val="00323D67"/>
    <w:rsid w:val="0032465D"/>
    <w:rsid w:val="0032601D"/>
    <w:rsid w:val="00326D46"/>
    <w:rsid w:val="003270F1"/>
    <w:rsid w:val="00327229"/>
    <w:rsid w:val="003300B8"/>
    <w:rsid w:val="00330ADD"/>
    <w:rsid w:val="0033139A"/>
    <w:rsid w:val="00331866"/>
    <w:rsid w:val="00331FFD"/>
    <w:rsid w:val="00332033"/>
    <w:rsid w:val="003325C1"/>
    <w:rsid w:val="00332A2E"/>
    <w:rsid w:val="00333EF2"/>
    <w:rsid w:val="00334076"/>
    <w:rsid w:val="003343E9"/>
    <w:rsid w:val="00334C96"/>
    <w:rsid w:val="00335296"/>
    <w:rsid w:val="0033562B"/>
    <w:rsid w:val="00335640"/>
    <w:rsid w:val="00335AD8"/>
    <w:rsid w:val="003361F7"/>
    <w:rsid w:val="00336A95"/>
    <w:rsid w:val="003373BD"/>
    <w:rsid w:val="003375E7"/>
    <w:rsid w:val="00337744"/>
    <w:rsid w:val="00337B63"/>
    <w:rsid w:val="00337E66"/>
    <w:rsid w:val="00337FF5"/>
    <w:rsid w:val="00340081"/>
    <w:rsid w:val="003401FE"/>
    <w:rsid w:val="00340599"/>
    <w:rsid w:val="003415E0"/>
    <w:rsid w:val="003435A2"/>
    <w:rsid w:val="00343689"/>
    <w:rsid w:val="00343A9A"/>
    <w:rsid w:val="0034442B"/>
    <w:rsid w:val="0034489F"/>
    <w:rsid w:val="00345191"/>
    <w:rsid w:val="00345737"/>
    <w:rsid w:val="003458EB"/>
    <w:rsid w:val="00346FF5"/>
    <w:rsid w:val="00347C39"/>
    <w:rsid w:val="00347CE5"/>
    <w:rsid w:val="00347D4B"/>
    <w:rsid w:val="00350685"/>
    <w:rsid w:val="0035106E"/>
    <w:rsid w:val="00351A6B"/>
    <w:rsid w:val="0035420C"/>
    <w:rsid w:val="0035435A"/>
    <w:rsid w:val="00354903"/>
    <w:rsid w:val="003550AC"/>
    <w:rsid w:val="00355384"/>
    <w:rsid w:val="00355B88"/>
    <w:rsid w:val="003576A4"/>
    <w:rsid w:val="0035790B"/>
    <w:rsid w:val="0036043C"/>
    <w:rsid w:val="003612F5"/>
    <w:rsid w:val="003614B1"/>
    <w:rsid w:val="0036154D"/>
    <w:rsid w:val="003616BE"/>
    <w:rsid w:val="00361934"/>
    <w:rsid w:val="00361CE6"/>
    <w:rsid w:val="00361F58"/>
    <w:rsid w:val="003625C9"/>
    <w:rsid w:val="003635B8"/>
    <w:rsid w:val="00364A45"/>
    <w:rsid w:val="00365691"/>
    <w:rsid w:val="00365816"/>
    <w:rsid w:val="00365DE1"/>
    <w:rsid w:val="00365EE5"/>
    <w:rsid w:val="00365F99"/>
    <w:rsid w:val="003660DA"/>
    <w:rsid w:val="00366ED4"/>
    <w:rsid w:val="00367242"/>
    <w:rsid w:val="0036765C"/>
    <w:rsid w:val="0037010B"/>
    <w:rsid w:val="00370B42"/>
    <w:rsid w:val="003711E5"/>
    <w:rsid w:val="0037160E"/>
    <w:rsid w:val="003716B8"/>
    <w:rsid w:val="003718F1"/>
    <w:rsid w:val="00371E06"/>
    <w:rsid w:val="00372083"/>
    <w:rsid w:val="00372186"/>
    <w:rsid w:val="00372A52"/>
    <w:rsid w:val="00373885"/>
    <w:rsid w:val="003742AF"/>
    <w:rsid w:val="003746ED"/>
    <w:rsid w:val="00374BA7"/>
    <w:rsid w:val="00374EB3"/>
    <w:rsid w:val="00375228"/>
    <w:rsid w:val="003753B8"/>
    <w:rsid w:val="003764E2"/>
    <w:rsid w:val="0037704E"/>
    <w:rsid w:val="00377EA1"/>
    <w:rsid w:val="0038009F"/>
    <w:rsid w:val="0038050E"/>
    <w:rsid w:val="00380CC3"/>
    <w:rsid w:val="0038101B"/>
    <w:rsid w:val="003834BC"/>
    <w:rsid w:val="00383AC2"/>
    <w:rsid w:val="00383DDB"/>
    <w:rsid w:val="00385F27"/>
    <w:rsid w:val="0038610B"/>
    <w:rsid w:val="003868DB"/>
    <w:rsid w:val="00386B11"/>
    <w:rsid w:val="00386D14"/>
    <w:rsid w:val="003874E3"/>
    <w:rsid w:val="00387B22"/>
    <w:rsid w:val="003902B6"/>
    <w:rsid w:val="00390339"/>
    <w:rsid w:val="00390A7F"/>
    <w:rsid w:val="00390D38"/>
    <w:rsid w:val="0039162D"/>
    <w:rsid w:val="00391EC2"/>
    <w:rsid w:val="003924FD"/>
    <w:rsid w:val="00393067"/>
    <w:rsid w:val="0039324F"/>
    <w:rsid w:val="0039359B"/>
    <w:rsid w:val="003938A6"/>
    <w:rsid w:val="003941E6"/>
    <w:rsid w:val="0039461C"/>
    <w:rsid w:val="00394DA3"/>
    <w:rsid w:val="00395B05"/>
    <w:rsid w:val="00396A8D"/>
    <w:rsid w:val="003975AF"/>
    <w:rsid w:val="003A0479"/>
    <w:rsid w:val="003A07AD"/>
    <w:rsid w:val="003A0D81"/>
    <w:rsid w:val="003A183A"/>
    <w:rsid w:val="003A196C"/>
    <w:rsid w:val="003A222E"/>
    <w:rsid w:val="003A29D4"/>
    <w:rsid w:val="003A2D20"/>
    <w:rsid w:val="003A2D33"/>
    <w:rsid w:val="003A322A"/>
    <w:rsid w:val="003A39A8"/>
    <w:rsid w:val="003A4386"/>
    <w:rsid w:val="003A4A5F"/>
    <w:rsid w:val="003A4BE3"/>
    <w:rsid w:val="003A4D5C"/>
    <w:rsid w:val="003A5C36"/>
    <w:rsid w:val="003A642B"/>
    <w:rsid w:val="003A6C53"/>
    <w:rsid w:val="003A6D63"/>
    <w:rsid w:val="003A6F07"/>
    <w:rsid w:val="003A7D55"/>
    <w:rsid w:val="003B02F2"/>
    <w:rsid w:val="003B0BA5"/>
    <w:rsid w:val="003B0EE4"/>
    <w:rsid w:val="003B1377"/>
    <w:rsid w:val="003B1593"/>
    <w:rsid w:val="003B18E2"/>
    <w:rsid w:val="003B1972"/>
    <w:rsid w:val="003B1F6A"/>
    <w:rsid w:val="003B226C"/>
    <w:rsid w:val="003B2BF0"/>
    <w:rsid w:val="003B2CF9"/>
    <w:rsid w:val="003B2DC1"/>
    <w:rsid w:val="003B2F51"/>
    <w:rsid w:val="003B324A"/>
    <w:rsid w:val="003B3C7B"/>
    <w:rsid w:val="003B4457"/>
    <w:rsid w:val="003B466A"/>
    <w:rsid w:val="003B597B"/>
    <w:rsid w:val="003B6430"/>
    <w:rsid w:val="003B7B66"/>
    <w:rsid w:val="003B7BE3"/>
    <w:rsid w:val="003C007A"/>
    <w:rsid w:val="003C12CB"/>
    <w:rsid w:val="003C23DF"/>
    <w:rsid w:val="003C284C"/>
    <w:rsid w:val="003C2A20"/>
    <w:rsid w:val="003C346A"/>
    <w:rsid w:val="003C3564"/>
    <w:rsid w:val="003C3F86"/>
    <w:rsid w:val="003C5004"/>
    <w:rsid w:val="003C5197"/>
    <w:rsid w:val="003C52E2"/>
    <w:rsid w:val="003C5695"/>
    <w:rsid w:val="003C5AFF"/>
    <w:rsid w:val="003C6380"/>
    <w:rsid w:val="003C666F"/>
    <w:rsid w:val="003C70A4"/>
    <w:rsid w:val="003C78DE"/>
    <w:rsid w:val="003C79FD"/>
    <w:rsid w:val="003C7D2A"/>
    <w:rsid w:val="003C7DCA"/>
    <w:rsid w:val="003C7F04"/>
    <w:rsid w:val="003D0A74"/>
    <w:rsid w:val="003D0B56"/>
    <w:rsid w:val="003D0EFD"/>
    <w:rsid w:val="003D1200"/>
    <w:rsid w:val="003D18AF"/>
    <w:rsid w:val="003D19B7"/>
    <w:rsid w:val="003D2A6C"/>
    <w:rsid w:val="003D2FC7"/>
    <w:rsid w:val="003D3177"/>
    <w:rsid w:val="003D39CE"/>
    <w:rsid w:val="003D4C2E"/>
    <w:rsid w:val="003D4F40"/>
    <w:rsid w:val="003D51DF"/>
    <w:rsid w:val="003D555D"/>
    <w:rsid w:val="003D6653"/>
    <w:rsid w:val="003D6E24"/>
    <w:rsid w:val="003D75E7"/>
    <w:rsid w:val="003D76E4"/>
    <w:rsid w:val="003E00F4"/>
    <w:rsid w:val="003E0210"/>
    <w:rsid w:val="003E0B40"/>
    <w:rsid w:val="003E12CB"/>
    <w:rsid w:val="003E130C"/>
    <w:rsid w:val="003E1881"/>
    <w:rsid w:val="003E1CD3"/>
    <w:rsid w:val="003E2275"/>
    <w:rsid w:val="003E3242"/>
    <w:rsid w:val="003E359C"/>
    <w:rsid w:val="003E4285"/>
    <w:rsid w:val="003E4312"/>
    <w:rsid w:val="003E46B0"/>
    <w:rsid w:val="003E4A94"/>
    <w:rsid w:val="003E5305"/>
    <w:rsid w:val="003E62B9"/>
    <w:rsid w:val="003E63FA"/>
    <w:rsid w:val="003E6546"/>
    <w:rsid w:val="003E6C4E"/>
    <w:rsid w:val="003E71E8"/>
    <w:rsid w:val="003E7338"/>
    <w:rsid w:val="003E789F"/>
    <w:rsid w:val="003E7B46"/>
    <w:rsid w:val="003F01C7"/>
    <w:rsid w:val="003F0CA7"/>
    <w:rsid w:val="003F141F"/>
    <w:rsid w:val="003F1C83"/>
    <w:rsid w:val="003F2124"/>
    <w:rsid w:val="003F2597"/>
    <w:rsid w:val="003F2EA7"/>
    <w:rsid w:val="003F31D3"/>
    <w:rsid w:val="003F3461"/>
    <w:rsid w:val="003F358D"/>
    <w:rsid w:val="003F42F2"/>
    <w:rsid w:val="003F5108"/>
    <w:rsid w:val="003F57FC"/>
    <w:rsid w:val="003F59F9"/>
    <w:rsid w:val="003F5C07"/>
    <w:rsid w:val="003F6D46"/>
    <w:rsid w:val="003F6E44"/>
    <w:rsid w:val="003F72C9"/>
    <w:rsid w:val="003F7736"/>
    <w:rsid w:val="003F7788"/>
    <w:rsid w:val="00400DE1"/>
    <w:rsid w:val="00401090"/>
    <w:rsid w:val="00402A41"/>
    <w:rsid w:val="00402B56"/>
    <w:rsid w:val="00404464"/>
    <w:rsid w:val="004046D8"/>
    <w:rsid w:val="004049C8"/>
    <w:rsid w:val="00404A8B"/>
    <w:rsid w:val="00404BD3"/>
    <w:rsid w:val="00405005"/>
    <w:rsid w:val="004051B4"/>
    <w:rsid w:val="004058F7"/>
    <w:rsid w:val="00405BDC"/>
    <w:rsid w:val="00405E57"/>
    <w:rsid w:val="004061DB"/>
    <w:rsid w:val="00406484"/>
    <w:rsid w:val="0040691E"/>
    <w:rsid w:val="004074A7"/>
    <w:rsid w:val="0040790D"/>
    <w:rsid w:val="004110C5"/>
    <w:rsid w:val="00412515"/>
    <w:rsid w:val="004130B3"/>
    <w:rsid w:val="0041312C"/>
    <w:rsid w:val="004131E2"/>
    <w:rsid w:val="0041384D"/>
    <w:rsid w:val="00413952"/>
    <w:rsid w:val="0041409C"/>
    <w:rsid w:val="00414511"/>
    <w:rsid w:val="00414C54"/>
    <w:rsid w:val="00415414"/>
    <w:rsid w:val="00415ACC"/>
    <w:rsid w:val="00415BE1"/>
    <w:rsid w:val="00415D91"/>
    <w:rsid w:val="00416138"/>
    <w:rsid w:val="00416FEA"/>
    <w:rsid w:val="0041746A"/>
    <w:rsid w:val="00417763"/>
    <w:rsid w:val="004177EA"/>
    <w:rsid w:val="00420569"/>
    <w:rsid w:val="004214BE"/>
    <w:rsid w:val="00421F91"/>
    <w:rsid w:val="0042202F"/>
    <w:rsid w:val="0042215A"/>
    <w:rsid w:val="00422C5E"/>
    <w:rsid w:val="00423B8D"/>
    <w:rsid w:val="00423E36"/>
    <w:rsid w:val="00424015"/>
    <w:rsid w:val="00424177"/>
    <w:rsid w:val="00424230"/>
    <w:rsid w:val="004250E9"/>
    <w:rsid w:val="004258DF"/>
    <w:rsid w:val="00425D60"/>
    <w:rsid w:val="004262BA"/>
    <w:rsid w:val="00426374"/>
    <w:rsid w:val="00426956"/>
    <w:rsid w:val="00426E56"/>
    <w:rsid w:val="00427122"/>
    <w:rsid w:val="00427BCE"/>
    <w:rsid w:val="00430BDB"/>
    <w:rsid w:val="00431033"/>
    <w:rsid w:val="0043172C"/>
    <w:rsid w:val="00431896"/>
    <w:rsid w:val="00431A33"/>
    <w:rsid w:val="00432062"/>
    <w:rsid w:val="004320EE"/>
    <w:rsid w:val="00432477"/>
    <w:rsid w:val="004326C4"/>
    <w:rsid w:val="00432FCB"/>
    <w:rsid w:val="0043338C"/>
    <w:rsid w:val="004336F0"/>
    <w:rsid w:val="00434004"/>
    <w:rsid w:val="00434A14"/>
    <w:rsid w:val="00436CA0"/>
    <w:rsid w:val="004371B8"/>
    <w:rsid w:val="00437304"/>
    <w:rsid w:val="00437C0C"/>
    <w:rsid w:val="004406A9"/>
    <w:rsid w:val="00440CB4"/>
    <w:rsid w:val="004410C7"/>
    <w:rsid w:val="00441474"/>
    <w:rsid w:val="00441B7D"/>
    <w:rsid w:val="004425FE"/>
    <w:rsid w:val="00443041"/>
    <w:rsid w:val="00443069"/>
    <w:rsid w:val="004436B4"/>
    <w:rsid w:val="00443849"/>
    <w:rsid w:val="00443C98"/>
    <w:rsid w:val="004442BE"/>
    <w:rsid w:val="00444D3C"/>
    <w:rsid w:val="0044505E"/>
    <w:rsid w:val="00445657"/>
    <w:rsid w:val="0044616C"/>
    <w:rsid w:val="00446A7F"/>
    <w:rsid w:val="004471AC"/>
    <w:rsid w:val="0044770C"/>
    <w:rsid w:val="00447800"/>
    <w:rsid w:val="00450F3D"/>
    <w:rsid w:val="00451375"/>
    <w:rsid w:val="004516A8"/>
    <w:rsid w:val="00452429"/>
    <w:rsid w:val="00452C85"/>
    <w:rsid w:val="00452CE4"/>
    <w:rsid w:val="00453B47"/>
    <w:rsid w:val="004544ED"/>
    <w:rsid w:val="00454608"/>
    <w:rsid w:val="004548C3"/>
    <w:rsid w:val="004552EF"/>
    <w:rsid w:val="00455DEA"/>
    <w:rsid w:val="00455E90"/>
    <w:rsid w:val="00456953"/>
    <w:rsid w:val="00456995"/>
    <w:rsid w:val="004575D0"/>
    <w:rsid w:val="00460E23"/>
    <w:rsid w:val="004617D7"/>
    <w:rsid w:val="00461BCF"/>
    <w:rsid w:val="00462130"/>
    <w:rsid w:val="0046244A"/>
    <w:rsid w:val="00462853"/>
    <w:rsid w:val="00462CB7"/>
    <w:rsid w:val="00463689"/>
    <w:rsid w:val="0046395E"/>
    <w:rsid w:val="004639AF"/>
    <w:rsid w:val="00463B3F"/>
    <w:rsid w:val="00463E27"/>
    <w:rsid w:val="00464C2E"/>
    <w:rsid w:val="00464ED8"/>
    <w:rsid w:val="00465EF3"/>
    <w:rsid w:val="004668E6"/>
    <w:rsid w:val="00466D20"/>
    <w:rsid w:val="00466E29"/>
    <w:rsid w:val="00466F2A"/>
    <w:rsid w:val="00467602"/>
    <w:rsid w:val="00467887"/>
    <w:rsid w:val="00467F3B"/>
    <w:rsid w:val="004700B1"/>
    <w:rsid w:val="0047033F"/>
    <w:rsid w:val="00470373"/>
    <w:rsid w:val="00470C60"/>
    <w:rsid w:val="004712DE"/>
    <w:rsid w:val="00472121"/>
    <w:rsid w:val="004721F8"/>
    <w:rsid w:val="00472F1A"/>
    <w:rsid w:val="00473273"/>
    <w:rsid w:val="00473FD0"/>
    <w:rsid w:val="00475164"/>
    <w:rsid w:val="0047598D"/>
    <w:rsid w:val="00476094"/>
    <w:rsid w:val="004773F3"/>
    <w:rsid w:val="00477535"/>
    <w:rsid w:val="00477935"/>
    <w:rsid w:val="00477CB2"/>
    <w:rsid w:val="004805AA"/>
    <w:rsid w:val="00480DE8"/>
    <w:rsid w:val="004812B6"/>
    <w:rsid w:val="004816AD"/>
    <w:rsid w:val="004829CD"/>
    <w:rsid w:val="00482A3D"/>
    <w:rsid w:val="00482A69"/>
    <w:rsid w:val="00483744"/>
    <w:rsid w:val="00483DD1"/>
    <w:rsid w:val="00484BB3"/>
    <w:rsid w:val="00485B81"/>
    <w:rsid w:val="00485C68"/>
    <w:rsid w:val="0048632B"/>
    <w:rsid w:val="00486721"/>
    <w:rsid w:val="00486803"/>
    <w:rsid w:val="00486931"/>
    <w:rsid w:val="00486948"/>
    <w:rsid w:val="00486CF4"/>
    <w:rsid w:val="00486EC7"/>
    <w:rsid w:val="00486F6B"/>
    <w:rsid w:val="0048786F"/>
    <w:rsid w:val="00487D2B"/>
    <w:rsid w:val="0049006F"/>
    <w:rsid w:val="004916D2"/>
    <w:rsid w:val="004916FB"/>
    <w:rsid w:val="00491B4A"/>
    <w:rsid w:val="00492154"/>
    <w:rsid w:val="004933BD"/>
    <w:rsid w:val="00493CC9"/>
    <w:rsid w:val="004941D0"/>
    <w:rsid w:val="004958C5"/>
    <w:rsid w:val="004960DA"/>
    <w:rsid w:val="00496B50"/>
    <w:rsid w:val="00496D71"/>
    <w:rsid w:val="00497DC6"/>
    <w:rsid w:val="00497F48"/>
    <w:rsid w:val="004A0D77"/>
    <w:rsid w:val="004A147A"/>
    <w:rsid w:val="004A155A"/>
    <w:rsid w:val="004A2043"/>
    <w:rsid w:val="004A3F39"/>
    <w:rsid w:val="004A3F7F"/>
    <w:rsid w:val="004A414D"/>
    <w:rsid w:val="004A43BD"/>
    <w:rsid w:val="004A4E0D"/>
    <w:rsid w:val="004A52D1"/>
    <w:rsid w:val="004A5E32"/>
    <w:rsid w:val="004A663C"/>
    <w:rsid w:val="004A7166"/>
    <w:rsid w:val="004A725B"/>
    <w:rsid w:val="004A73D3"/>
    <w:rsid w:val="004B0498"/>
    <w:rsid w:val="004B0626"/>
    <w:rsid w:val="004B0745"/>
    <w:rsid w:val="004B1158"/>
    <w:rsid w:val="004B1231"/>
    <w:rsid w:val="004B1340"/>
    <w:rsid w:val="004B1540"/>
    <w:rsid w:val="004B1E54"/>
    <w:rsid w:val="004B2504"/>
    <w:rsid w:val="004B2668"/>
    <w:rsid w:val="004B33A9"/>
    <w:rsid w:val="004B33CE"/>
    <w:rsid w:val="004B34B9"/>
    <w:rsid w:val="004B3EB7"/>
    <w:rsid w:val="004B46DA"/>
    <w:rsid w:val="004B51B8"/>
    <w:rsid w:val="004B55C1"/>
    <w:rsid w:val="004B60EE"/>
    <w:rsid w:val="004B73F5"/>
    <w:rsid w:val="004B75CE"/>
    <w:rsid w:val="004B7607"/>
    <w:rsid w:val="004B7B7A"/>
    <w:rsid w:val="004C058A"/>
    <w:rsid w:val="004C0E7A"/>
    <w:rsid w:val="004C1D70"/>
    <w:rsid w:val="004C2699"/>
    <w:rsid w:val="004C3C23"/>
    <w:rsid w:val="004C3C37"/>
    <w:rsid w:val="004C440C"/>
    <w:rsid w:val="004C47BF"/>
    <w:rsid w:val="004C4F15"/>
    <w:rsid w:val="004C562C"/>
    <w:rsid w:val="004C5F93"/>
    <w:rsid w:val="004C6D51"/>
    <w:rsid w:val="004C73DA"/>
    <w:rsid w:val="004C7B8A"/>
    <w:rsid w:val="004C7DE7"/>
    <w:rsid w:val="004C7FBC"/>
    <w:rsid w:val="004D03CA"/>
    <w:rsid w:val="004D03DD"/>
    <w:rsid w:val="004D043F"/>
    <w:rsid w:val="004D14D1"/>
    <w:rsid w:val="004D21B8"/>
    <w:rsid w:val="004D27F4"/>
    <w:rsid w:val="004D2D0D"/>
    <w:rsid w:val="004D2D94"/>
    <w:rsid w:val="004D3A2A"/>
    <w:rsid w:val="004D4805"/>
    <w:rsid w:val="004D49F3"/>
    <w:rsid w:val="004D5FDD"/>
    <w:rsid w:val="004D6AFE"/>
    <w:rsid w:val="004D7951"/>
    <w:rsid w:val="004E0075"/>
    <w:rsid w:val="004E0798"/>
    <w:rsid w:val="004E14E9"/>
    <w:rsid w:val="004E1843"/>
    <w:rsid w:val="004E19E2"/>
    <w:rsid w:val="004E19E4"/>
    <w:rsid w:val="004E20BE"/>
    <w:rsid w:val="004E20F8"/>
    <w:rsid w:val="004E2442"/>
    <w:rsid w:val="004E279C"/>
    <w:rsid w:val="004E3E29"/>
    <w:rsid w:val="004E4932"/>
    <w:rsid w:val="004E506E"/>
    <w:rsid w:val="004E586A"/>
    <w:rsid w:val="004E5BB0"/>
    <w:rsid w:val="004E6732"/>
    <w:rsid w:val="004E6ABA"/>
    <w:rsid w:val="004E7043"/>
    <w:rsid w:val="004E7413"/>
    <w:rsid w:val="004E7BB8"/>
    <w:rsid w:val="004E7BEA"/>
    <w:rsid w:val="004F096F"/>
    <w:rsid w:val="004F0CA2"/>
    <w:rsid w:val="004F13AB"/>
    <w:rsid w:val="004F1718"/>
    <w:rsid w:val="004F178B"/>
    <w:rsid w:val="004F1F1C"/>
    <w:rsid w:val="004F2055"/>
    <w:rsid w:val="004F24C4"/>
    <w:rsid w:val="004F2CF0"/>
    <w:rsid w:val="004F3B7F"/>
    <w:rsid w:val="004F437D"/>
    <w:rsid w:val="004F466D"/>
    <w:rsid w:val="004F5702"/>
    <w:rsid w:val="004F5919"/>
    <w:rsid w:val="004F6273"/>
    <w:rsid w:val="004F653B"/>
    <w:rsid w:val="004F65EB"/>
    <w:rsid w:val="004F699A"/>
    <w:rsid w:val="004F6B0F"/>
    <w:rsid w:val="004F6CB0"/>
    <w:rsid w:val="004F6D9D"/>
    <w:rsid w:val="004F6F1B"/>
    <w:rsid w:val="004F7172"/>
    <w:rsid w:val="00500448"/>
    <w:rsid w:val="00502C98"/>
    <w:rsid w:val="00503AD2"/>
    <w:rsid w:val="00503F25"/>
    <w:rsid w:val="00504370"/>
    <w:rsid w:val="00504595"/>
    <w:rsid w:val="00504914"/>
    <w:rsid w:val="00504A35"/>
    <w:rsid w:val="00505A81"/>
    <w:rsid w:val="0050637C"/>
    <w:rsid w:val="0050671A"/>
    <w:rsid w:val="00506C19"/>
    <w:rsid w:val="00506CC7"/>
    <w:rsid w:val="00506EAF"/>
    <w:rsid w:val="00507579"/>
    <w:rsid w:val="00507995"/>
    <w:rsid w:val="0051006E"/>
    <w:rsid w:val="005112CE"/>
    <w:rsid w:val="0051162B"/>
    <w:rsid w:val="0051171F"/>
    <w:rsid w:val="00512462"/>
    <w:rsid w:val="00512BE6"/>
    <w:rsid w:val="00513624"/>
    <w:rsid w:val="00514570"/>
    <w:rsid w:val="00514E3B"/>
    <w:rsid w:val="0051516B"/>
    <w:rsid w:val="00515357"/>
    <w:rsid w:val="00515358"/>
    <w:rsid w:val="00515509"/>
    <w:rsid w:val="00516F51"/>
    <w:rsid w:val="00517299"/>
    <w:rsid w:val="005174DF"/>
    <w:rsid w:val="00517639"/>
    <w:rsid w:val="0051785E"/>
    <w:rsid w:val="00517887"/>
    <w:rsid w:val="005209E9"/>
    <w:rsid w:val="005212E8"/>
    <w:rsid w:val="005230AF"/>
    <w:rsid w:val="00523547"/>
    <w:rsid w:val="00524979"/>
    <w:rsid w:val="00525143"/>
    <w:rsid w:val="00525E0D"/>
    <w:rsid w:val="00525E7C"/>
    <w:rsid w:val="00525F7A"/>
    <w:rsid w:val="00525FAB"/>
    <w:rsid w:val="00526033"/>
    <w:rsid w:val="0052608C"/>
    <w:rsid w:val="005261B6"/>
    <w:rsid w:val="005261C3"/>
    <w:rsid w:val="00526C14"/>
    <w:rsid w:val="00526FDF"/>
    <w:rsid w:val="0052717C"/>
    <w:rsid w:val="00530430"/>
    <w:rsid w:val="005306B9"/>
    <w:rsid w:val="005309B6"/>
    <w:rsid w:val="00530C31"/>
    <w:rsid w:val="00530DA6"/>
    <w:rsid w:val="00532082"/>
    <w:rsid w:val="0053399E"/>
    <w:rsid w:val="00533A3D"/>
    <w:rsid w:val="00534570"/>
    <w:rsid w:val="005346E8"/>
    <w:rsid w:val="005353DD"/>
    <w:rsid w:val="0053596E"/>
    <w:rsid w:val="00535B5A"/>
    <w:rsid w:val="005360E5"/>
    <w:rsid w:val="005361C4"/>
    <w:rsid w:val="00536FF4"/>
    <w:rsid w:val="00537139"/>
    <w:rsid w:val="005377A2"/>
    <w:rsid w:val="00537DB5"/>
    <w:rsid w:val="00540121"/>
    <w:rsid w:val="005404D6"/>
    <w:rsid w:val="0054063B"/>
    <w:rsid w:val="00540C3A"/>
    <w:rsid w:val="00540DE4"/>
    <w:rsid w:val="005413DA"/>
    <w:rsid w:val="005414DB"/>
    <w:rsid w:val="0054283E"/>
    <w:rsid w:val="00542853"/>
    <w:rsid w:val="00543A15"/>
    <w:rsid w:val="00543F00"/>
    <w:rsid w:val="00543F24"/>
    <w:rsid w:val="00544B96"/>
    <w:rsid w:val="005450E7"/>
    <w:rsid w:val="005451E7"/>
    <w:rsid w:val="005455BC"/>
    <w:rsid w:val="005455D0"/>
    <w:rsid w:val="00546072"/>
    <w:rsid w:val="0055023D"/>
    <w:rsid w:val="0055079A"/>
    <w:rsid w:val="00550F9D"/>
    <w:rsid w:val="00552080"/>
    <w:rsid w:val="00552911"/>
    <w:rsid w:val="005531AC"/>
    <w:rsid w:val="00553447"/>
    <w:rsid w:val="00553C39"/>
    <w:rsid w:val="00553D83"/>
    <w:rsid w:val="00553F18"/>
    <w:rsid w:val="00554A32"/>
    <w:rsid w:val="0055517C"/>
    <w:rsid w:val="00555AF1"/>
    <w:rsid w:val="00555DE7"/>
    <w:rsid w:val="00556AFE"/>
    <w:rsid w:val="00556C47"/>
    <w:rsid w:val="00556C8C"/>
    <w:rsid w:val="00556D88"/>
    <w:rsid w:val="0055713B"/>
    <w:rsid w:val="00557C0A"/>
    <w:rsid w:val="0056048B"/>
    <w:rsid w:val="00562026"/>
    <w:rsid w:val="0056218D"/>
    <w:rsid w:val="005624AD"/>
    <w:rsid w:val="005627B8"/>
    <w:rsid w:val="00562CEE"/>
    <w:rsid w:val="00563103"/>
    <w:rsid w:val="00565D92"/>
    <w:rsid w:val="00565E63"/>
    <w:rsid w:val="0056630B"/>
    <w:rsid w:val="00566F4B"/>
    <w:rsid w:val="00567046"/>
    <w:rsid w:val="00567261"/>
    <w:rsid w:val="005674A1"/>
    <w:rsid w:val="0056791C"/>
    <w:rsid w:val="00567F10"/>
    <w:rsid w:val="00570471"/>
    <w:rsid w:val="005709D0"/>
    <w:rsid w:val="00570AA0"/>
    <w:rsid w:val="00570C83"/>
    <w:rsid w:val="00570F54"/>
    <w:rsid w:val="005714DA"/>
    <w:rsid w:val="00571FED"/>
    <w:rsid w:val="00572AB1"/>
    <w:rsid w:val="00572B2A"/>
    <w:rsid w:val="00572C3C"/>
    <w:rsid w:val="00573418"/>
    <w:rsid w:val="00573EE5"/>
    <w:rsid w:val="00574DFC"/>
    <w:rsid w:val="00574EAB"/>
    <w:rsid w:val="00574F6A"/>
    <w:rsid w:val="00575337"/>
    <w:rsid w:val="00575D41"/>
    <w:rsid w:val="00576AF0"/>
    <w:rsid w:val="00577491"/>
    <w:rsid w:val="0057774E"/>
    <w:rsid w:val="00577B5F"/>
    <w:rsid w:val="00577CA0"/>
    <w:rsid w:val="00577E03"/>
    <w:rsid w:val="005804F9"/>
    <w:rsid w:val="00580B08"/>
    <w:rsid w:val="00580B8B"/>
    <w:rsid w:val="00580CFC"/>
    <w:rsid w:val="00581D12"/>
    <w:rsid w:val="00581FEF"/>
    <w:rsid w:val="005827A5"/>
    <w:rsid w:val="005827DA"/>
    <w:rsid w:val="00582A4B"/>
    <w:rsid w:val="00582DC7"/>
    <w:rsid w:val="00582DEE"/>
    <w:rsid w:val="00582E71"/>
    <w:rsid w:val="00583083"/>
    <w:rsid w:val="0058319F"/>
    <w:rsid w:val="005831BF"/>
    <w:rsid w:val="0058340E"/>
    <w:rsid w:val="00583602"/>
    <w:rsid w:val="005842E6"/>
    <w:rsid w:val="00584354"/>
    <w:rsid w:val="00584A70"/>
    <w:rsid w:val="00585570"/>
    <w:rsid w:val="00585AA2"/>
    <w:rsid w:val="00585EB9"/>
    <w:rsid w:val="00586157"/>
    <w:rsid w:val="00586474"/>
    <w:rsid w:val="005866F0"/>
    <w:rsid w:val="00586C64"/>
    <w:rsid w:val="005873F1"/>
    <w:rsid w:val="00587A72"/>
    <w:rsid w:val="00587BC8"/>
    <w:rsid w:val="0059037A"/>
    <w:rsid w:val="00590572"/>
    <w:rsid w:val="00590959"/>
    <w:rsid w:val="005913D8"/>
    <w:rsid w:val="005914E9"/>
    <w:rsid w:val="005917F9"/>
    <w:rsid w:val="00592141"/>
    <w:rsid w:val="00592357"/>
    <w:rsid w:val="005941A5"/>
    <w:rsid w:val="00594CFD"/>
    <w:rsid w:val="00595610"/>
    <w:rsid w:val="00595F6B"/>
    <w:rsid w:val="00596442"/>
    <w:rsid w:val="00596BC9"/>
    <w:rsid w:val="00597F31"/>
    <w:rsid w:val="005A0210"/>
    <w:rsid w:val="005A0D00"/>
    <w:rsid w:val="005A136A"/>
    <w:rsid w:val="005A1577"/>
    <w:rsid w:val="005A1C4A"/>
    <w:rsid w:val="005A25C2"/>
    <w:rsid w:val="005A2EDF"/>
    <w:rsid w:val="005A3597"/>
    <w:rsid w:val="005A37B0"/>
    <w:rsid w:val="005A4CFF"/>
    <w:rsid w:val="005A50F4"/>
    <w:rsid w:val="005A51DE"/>
    <w:rsid w:val="005A5573"/>
    <w:rsid w:val="005A5A90"/>
    <w:rsid w:val="005A5FD6"/>
    <w:rsid w:val="005A61D0"/>
    <w:rsid w:val="005A64EB"/>
    <w:rsid w:val="005A64F5"/>
    <w:rsid w:val="005A6FE6"/>
    <w:rsid w:val="005B033E"/>
    <w:rsid w:val="005B05DB"/>
    <w:rsid w:val="005B0861"/>
    <w:rsid w:val="005B0B2A"/>
    <w:rsid w:val="005B123C"/>
    <w:rsid w:val="005B18CB"/>
    <w:rsid w:val="005B230C"/>
    <w:rsid w:val="005B296A"/>
    <w:rsid w:val="005B3176"/>
    <w:rsid w:val="005B3DDF"/>
    <w:rsid w:val="005B3E10"/>
    <w:rsid w:val="005B43C4"/>
    <w:rsid w:val="005B4A00"/>
    <w:rsid w:val="005B4AAA"/>
    <w:rsid w:val="005B5606"/>
    <w:rsid w:val="005B5829"/>
    <w:rsid w:val="005B5C3C"/>
    <w:rsid w:val="005B5F94"/>
    <w:rsid w:val="005B607C"/>
    <w:rsid w:val="005B6290"/>
    <w:rsid w:val="005B68F4"/>
    <w:rsid w:val="005B6D06"/>
    <w:rsid w:val="005B6F6D"/>
    <w:rsid w:val="005B719B"/>
    <w:rsid w:val="005B7278"/>
    <w:rsid w:val="005B73D5"/>
    <w:rsid w:val="005B76E4"/>
    <w:rsid w:val="005B7A7E"/>
    <w:rsid w:val="005C011F"/>
    <w:rsid w:val="005C102A"/>
    <w:rsid w:val="005C1218"/>
    <w:rsid w:val="005C1C08"/>
    <w:rsid w:val="005C2A4A"/>
    <w:rsid w:val="005C3863"/>
    <w:rsid w:val="005C3D1B"/>
    <w:rsid w:val="005C4105"/>
    <w:rsid w:val="005C43E9"/>
    <w:rsid w:val="005C4C86"/>
    <w:rsid w:val="005C51C4"/>
    <w:rsid w:val="005C5414"/>
    <w:rsid w:val="005C5716"/>
    <w:rsid w:val="005C6999"/>
    <w:rsid w:val="005C72AF"/>
    <w:rsid w:val="005C745B"/>
    <w:rsid w:val="005C74A7"/>
    <w:rsid w:val="005C76C9"/>
    <w:rsid w:val="005D00A9"/>
    <w:rsid w:val="005D03AF"/>
    <w:rsid w:val="005D1283"/>
    <w:rsid w:val="005D1488"/>
    <w:rsid w:val="005D1566"/>
    <w:rsid w:val="005D16F7"/>
    <w:rsid w:val="005D25D8"/>
    <w:rsid w:val="005D32C6"/>
    <w:rsid w:val="005D3516"/>
    <w:rsid w:val="005D364F"/>
    <w:rsid w:val="005D3AE1"/>
    <w:rsid w:val="005D41EF"/>
    <w:rsid w:val="005D4A66"/>
    <w:rsid w:val="005D4ADB"/>
    <w:rsid w:val="005D4B29"/>
    <w:rsid w:val="005D4F0F"/>
    <w:rsid w:val="005D5297"/>
    <w:rsid w:val="005D585D"/>
    <w:rsid w:val="005D592D"/>
    <w:rsid w:val="005D5A94"/>
    <w:rsid w:val="005D5E7B"/>
    <w:rsid w:val="005D7994"/>
    <w:rsid w:val="005D7C47"/>
    <w:rsid w:val="005E0C18"/>
    <w:rsid w:val="005E2539"/>
    <w:rsid w:val="005E269A"/>
    <w:rsid w:val="005E29BB"/>
    <w:rsid w:val="005E2DA1"/>
    <w:rsid w:val="005E2DB3"/>
    <w:rsid w:val="005E2F1C"/>
    <w:rsid w:val="005E2F37"/>
    <w:rsid w:val="005E3B37"/>
    <w:rsid w:val="005E40F2"/>
    <w:rsid w:val="005E439A"/>
    <w:rsid w:val="005E47C7"/>
    <w:rsid w:val="005E4D06"/>
    <w:rsid w:val="005E5B38"/>
    <w:rsid w:val="005E6BFE"/>
    <w:rsid w:val="005E7F1B"/>
    <w:rsid w:val="005F0CDA"/>
    <w:rsid w:val="005F0EDE"/>
    <w:rsid w:val="005F18B6"/>
    <w:rsid w:val="005F18EA"/>
    <w:rsid w:val="005F2614"/>
    <w:rsid w:val="005F2A33"/>
    <w:rsid w:val="005F2AAB"/>
    <w:rsid w:val="005F3125"/>
    <w:rsid w:val="005F4337"/>
    <w:rsid w:val="005F4382"/>
    <w:rsid w:val="005F4849"/>
    <w:rsid w:val="005F4985"/>
    <w:rsid w:val="005F4992"/>
    <w:rsid w:val="005F49E8"/>
    <w:rsid w:val="005F4B9E"/>
    <w:rsid w:val="005F57F0"/>
    <w:rsid w:val="005F580C"/>
    <w:rsid w:val="005F6B98"/>
    <w:rsid w:val="005F7510"/>
    <w:rsid w:val="005F7A40"/>
    <w:rsid w:val="00600094"/>
    <w:rsid w:val="0060048A"/>
    <w:rsid w:val="00600B19"/>
    <w:rsid w:val="006014E6"/>
    <w:rsid w:val="006015EE"/>
    <w:rsid w:val="00601841"/>
    <w:rsid w:val="006023F0"/>
    <w:rsid w:val="006032CD"/>
    <w:rsid w:val="0060368D"/>
    <w:rsid w:val="006038AE"/>
    <w:rsid w:val="006042B5"/>
    <w:rsid w:val="006044CD"/>
    <w:rsid w:val="00604F7B"/>
    <w:rsid w:val="006064FE"/>
    <w:rsid w:val="0060659D"/>
    <w:rsid w:val="00606A17"/>
    <w:rsid w:val="00606B79"/>
    <w:rsid w:val="00607C9B"/>
    <w:rsid w:val="00607D8D"/>
    <w:rsid w:val="00607F52"/>
    <w:rsid w:val="0061000F"/>
    <w:rsid w:val="0061057B"/>
    <w:rsid w:val="006105C2"/>
    <w:rsid w:val="0061109B"/>
    <w:rsid w:val="0061304B"/>
    <w:rsid w:val="006139F3"/>
    <w:rsid w:val="00613EB2"/>
    <w:rsid w:val="006141A6"/>
    <w:rsid w:val="0061456D"/>
    <w:rsid w:val="006148A6"/>
    <w:rsid w:val="0061512E"/>
    <w:rsid w:val="00615236"/>
    <w:rsid w:val="006156D0"/>
    <w:rsid w:val="00615D6C"/>
    <w:rsid w:val="0061621F"/>
    <w:rsid w:val="006170A1"/>
    <w:rsid w:val="0061754D"/>
    <w:rsid w:val="00617826"/>
    <w:rsid w:val="00617874"/>
    <w:rsid w:val="006178F7"/>
    <w:rsid w:val="006179A5"/>
    <w:rsid w:val="0062028E"/>
    <w:rsid w:val="006204C3"/>
    <w:rsid w:val="00620705"/>
    <w:rsid w:val="0062172A"/>
    <w:rsid w:val="006217E9"/>
    <w:rsid w:val="00621905"/>
    <w:rsid w:val="00621EE4"/>
    <w:rsid w:val="00621EF6"/>
    <w:rsid w:val="00622BE3"/>
    <w:rsid w:val="00622E6D"/>
    <w:rsid w:val="00623342"/>
    <w:rsid w:val="00623D67"/>
    <w:rsid w:val="0062548B"/>
    <w:rsid w:val="00625540"/>
    <w:rsid w:val="00626035"/>
    <w:rsid w:val="00626584"/>
    <w:rsid w:val="006265E9"/>
    <w:rsid w:val="00627104"/>
    <w:rsid w:val="00627405"/>
    <w:rsid w:val="00627601"/>
    <w:rsid w:val="0062783F"/>
    <w:rsid w:val="00627F55"/>
    <w:rsid w:val="00630521"/>
    <w:rsid w:val="006305D8"/>
    <w:rsid w:val="00630E97"/>
    <w:rsid w:val="006325DE"/>
    <w:rsid w:val="006328F1"/>
    <w:rsid w:val="0063380B"/>
    <w:rsid w:val="00633A0E"/>
    <w:rsid w:val="00634948"/>
    <w:rsid w:val="00634B13"/>
    <w:rsid w:val="006360B2"/>
    <w:rsid w:val="00636E9A"/>
    <w:rsid w:val="0063729E"/>
    <w:rsid w:val="006379B7"/>
    <w:rsid w:val="00637B00"/>
    <w:rsid w:val="00637B04"/>
    <w:rsid w:val="00637F73"/>
    <w:rsid w:val="0064157C"/>
    <w:rsid w:val="006417F2"/>
    <w:rsid w:val="00641C96"/>
    <w:rsid w:val="00641F16"/>
    <w:rsid w:val="0064214D"/>
    <w:rsid w:val="0064302A"/>
    <w:rsid w:val="00643FBD"/>
    <w:rsid w:val="006441CD"/>
    <w:rsid w:val="006444D0"/>
    <w:rsid w:val="00645508"/>
    <w:rsid w:val="006476C8"/>
    <w:rsid w:val="006501EB"/>
    <w:rsid w:val="0065052A"/>
    <w:rsid w:val="006518F9"/>
    <w:rsid w:val="00651AD8"/>
    <w:rsid w:val="00651B34"/>
    <w:rsid w:val="00651C6B"/>
    <w:rsid w:val="00651D3A"/>
    <w:rsid w:val="00651E9A"/>
    <w:rsid w:val="00652306"/>
    <w:rsid w:val="006527AB"/>
    <w:rsid w:val="006529D6"/>
    <w:rsid w:val="00653773"/>
    <w:rsid w:val="006541A4"/>
    <w:rsid w:val="00654C1F"/>
    <w:rsid w:val="00655C84"/>
    <w:rsid w:val="00655D3A"/>
    <w:rsid w:val="00657125"/>
    <w:rsid w:val="00660420"/>
    <w:rsid w:val="006608F7"/>
    <w:rsid w:val="00660EEF"/>
    <w:rsid w:val="0066141E"/>
    <w:rsid w:val="006619E1"/>
    <w:rsid w:val="0066224F"/>
    <w:rsid w:val="006627DF"/>
    <w:rsid w:val="00662852"/>
    <w:rsid w:val="00662CBE"/>
    <w:rsid w:val="006630B4"/>
    <w:rsid w:val="00663100"/>
    <w:rsid w:val="006634C1"/>
    <w:rsid w:val="00663608"/>
    <w:rsid w:val="00663B2F"/>
    <w:rsid w:val="00663D02"/>
    <w:rsid w:val="00663D3A"/>
    <w:rsid w:val="00663FAE"/>
    <w:rsid w:val="00664B86"/>
    <w:rsid w:val="006650B6"/>
    <w:rsid w:val="00665882"/>
    <w:rsid w:val="006659D9"/>
    <w:rsid w:val="006663AF"/>
    <w:rsid w:val="00666AAE"/>
    <w:rsid w:val="006674B5"/>
    <w:rsid w:val="0066782A"/>
    <w:rsid w:val="00667B51"/>
    <w:rsid w:val="00667FCF"/>
    <w:rsid w:val="006709C6"/>
    <w:rsid w:val="00670F2A"/>
    <w:rsid w:val="00670FDE"/>
    <w:rsid w:val="006710BC"/>
    <w:rsid w:val="00671440"/>
    <w:rsid w:val="006719FE"/>
    <w:rsid w:val="00672031"/>
    <w:rsid w:val="0067256B"/>
    <w:rsid w:val="00672821"/>
    <w:rsid w:val="00673EEF"/>
    <w:rsid w:val="00673F09"/>
    <w:rsid w:val="00674227"/>
    <w:rsid w:val="006745C4"/>
    <w:rsid w:val="00675261"/>
    <w:rsid w:val="00676362"/>
    <w:rsid w:val="00676450"/>
    <w:rsid w:val="0067709B"/>
    <w:rsid w:val="006772CE"/>
    <w:rsid w:val="0068016D"/>
    <w:rsid w:val="0068077C"/>
    <w:rsid w:val="006811A2"/>
    <w:rsid w:val="006817FE"/>
    <w:rsid w:val="00682129"/>
    <w:rsid w:val="0068250C"/>
    <w:rsid w:val="0068293B"/>
    <w:rsid w:val="006832C8"/>
    <w:rsid w:val="00683BD1"/>
    <w:rsid w:val="00685342"/>
    <w:rsid w:val="0068621B"/>
    <w:rsid w:val="00686504"/>
    <w:rsid w:val="00686D93"/>
    <w:rsid w:val="00686DD3"/>
    <w:rsid w:val="00690F53"/>
    <w:rsid w:val="00691A05"/>
    <w:rsid w:val="00691D41"/>
    <w:rsid w:val="00692F4F"/>
    <w:rsid w:val="00693B28"/>
    <w:rsid w:val="00693C0C"/>
    <w:rsid w:val="006943D5"/>
    <w:rsid w:val="00694C46"/>
    <w:rsid w:val="00694F8A"/>
    <w:rsid w:val="0069568A"/>
    <w:rsid w:val="006963C8"/>
    <w:rsid w:val="00696837"/>
    <w:rsid w:val="00696927"/>
    <w:rsid w:val="00696E34"/>
    <w:rsid w:val="006970E9"/>
    <w:rsid w:val="00697867"/>
    <w:rsid w:val="006978E9"/>
    <w:rsid w:val="00697E42"/>
    <w:rsid w:val="006A01FC"/>
    <w:rsid w:val="006A04F2"/>
    <w:rsid w:val="006A12E6"/>
    <w:rsid w:val="006A13BC"/>
    <w:rsid w:val="006A22D6"/>
    <w:rsid w:val="006A2587"/>
    <w:rsid w:val="006A2AE9"/>
    <w:rsid w:val="006A301E"/>
    <w:rsid w:val="006A39DE"/>
    <w:rsid w:val="006A4352"/>
    <w:rsid w:val="006A45B9"/>
    <w:rsid w:val="006A61D0"/>
    <w:rsid w:val="006A6590"/>
    <w:rsid w:val="006A6E1C"/>
    <w:rsid w:val="006A718E"/>
    <w:rsid w:val="006A71C1"/>
    <w:rsid w:val="006A7FC1"/>
    <w:rsid w:val="006B01C6"/>
    <w:rsid w:val="006B040F"/>
    <w:rsid w:val="006B1046"/>
    <w:rsid w:val="006B1A47"/>
    <w:rsid w:val="006B2A99"/>
    <w:rsid w:val="006B2E94"/>
    <w:rsid w:val="006B3056"/>
    <w:rsid w:val="006B3111"/>
    <w:rsid w:val="006B3280"/>
    <w:rsid w:val="006B3539"/>
    <w:rsid w:val="006B4033"/>
    <w:rsid w:val="006B4A10"/>
    <w:rsid w:val="006B4D51"/>
    <w:rsid w:val="006B4DB3"/>
    <w:rsid w:val="006B4E5A"/>
    <w:rsid w:val="006B4F07"/>
    <w:rsid w:val="006B4F30"/>
    <w:rsid w:val="006B531A"/>
    <w:rsid w:val="006B54E7"/>
    <w:rsid w:val="006B5B5A"/>
    <w:rsid w:val="006B682A"/>
    <w:rsid w:val="006B6B91"/>
    <w:rsid w:val="006B6CFE"/>
    <w:rsid w:val="006B6D4D"/>
    <w:rsid w:val="006C0600"/>
    <w:rsid w:val="006C13ED"/>
    <w:rsid w:val="006C1476"/>
    <w:rsid w:val="006C1605"/>
    <w:rsid w:val="006C1749"/>
    <w:rsid w:val="006C1E5F"/>
    <w:rsid w:val="006C222B"/>
    <w:rsid w:val="006C4E86"/>
    <w:rsid w:val="006C4F09"/>
    <w:rsid w:val="006C4FC7"/>
    <w:rsid w:val="006C5771"/>
    <w:rsid w:val="006C612C"/>
    <w:rsid w:val="006C64E3"/>
    <w:rsid w:val="006C6EB9"/>
    <w:rsid w:val="006C73A4"/>
    <w:rsid w:val="006C73C1"/>
    <w:rsid w:val="006C7641"/>
    <w:rsid w:val="006C79DC"/>
    <w:rsid w:val="006C7B73"/>
    <w:rsid w:val="006C7CA0"/>
    <w:rsid w:val="006D00B7"/>
    <w:rsid w:val="006D0447"/>
    <w:rsid w:val="006D07CB"/>
    <w:rsid w:val="006D0E54"/>
    <w:rsid w:val="006D212C"/>
    <w:rsid w:val="006D21A1"/>
    <w:rsid w:val="006D2358"/>
    <w:rsid w:val="006D2DC1"/>
    <w:rsid w:val="006D351A"/>
    <w:rsid w:val="006D3CA5"/>
    <w:rsid w:val="006D482C"/>
    <w:rsid w:val="006D49ED"/>
    <w:rsid w:val="006D50BF"/>
    <w:rsid w:val="006D544A"/>
    <w:rsid w:val="006D5DA7"/>
    <w:rsid w:val="006D6717"/>
    <w:rsid w:val="006D696B"/>
    <w:rsid w:val="006D6FA3"/>
    <w:rsid w:val="006D72D9"/>
    <w:rsid w:val="006D74F3"/>
    <w:rsid w:val="006D76F0"/>
    <w:rsid w:val="006D793A"/>
    <w:rsid w:val="006E0872"/>
    <w:rsid w:val="006E08C8"/>
    <w:rsid w:val="006E0A36"/>
    <w:rsid w:val="006E0A8F"/>
    <w:rsid w:val="006E0CD4"/>
    <w:rsid w:val="006E1CD3"/>
    <w:rsid w:val="006E1FBD"/>
    <w:rsid w:val="006E23F4"/>
    <w:rsid w:val="006E275E"/>
    <w:rsid w:val="006E2A69"/>
    <w:rsid w:val="006E2F53"/>
    <w:rsid w:val="006E32AE"/>
    <w:rsid w:val="006E3E32"/>
    <w:rsid w:val="006E3E55"/>
    <w:rsid w:val="006E46AD"/>
    <w:rsid w:val="006E51CF"/>
    <w:rsid w:val="006E6211"/>
    <w:rsid w:val="006E7183"/>
    <w:rsid w:val="006E71EA"/>
    <w:rsid w:val="006E7C56"/>
    <w:rsid w:val="006E7C8D"/>
    <w:rsid w:val="006F043B"/>
    <w:rsid w:val="006F0C94"/>
    <w:rsid w:val="006F1CC9"/>
    <w:rsid w:val="006F21D2"/>
    <w:rsid w:val="006F2C8F"/>
    <w:rsid w:val="006F2D19"/>
    <w:rsid w:val="006F3AEA"/>
    <w:rsid w:val="006F464E"/>
    <w:rsid w:val="006F511E"/>
    <w:rsid w:val="006F63CE"/>
    <w:rsid w:val="006F6C42"/>
    <w:rsid w:val="006F70E8"/>
    <w:rsid w:val="006F72E3"/>
    <w:rsid w:val="006F7A22"/>
    <w:rsid w:val="006F7C2E"/>
    <w:rsid w:val="00700DDD"/>
    <w:rsid w:val="007011BE"/>
    <w:rsid w:val="00701353"/>
    <w:rsid w:val="00701757"/>
    <w:rsid w:val="007017AD"/>
    <w:rsid w:val="00701EED"/>
    <w:rsid w:val="0070275E"/>
    <w:rsid w:val="007030C9"/>
    <w:rsid w:val="00703A40"/>
    <w:rsid w:val="00703A44"/>
    <w:rsid w:val="00703CEB"/>
    <w:rsid w:val="00704010"/>
    <w:rsid w:val="007046E9"/>
    <w:rsid w:val="00704F61"/>
    <w:rsid w:val="007052C7"/>
    <w:rsid w:val="0070536E"/>
    <w:rsid w:val="00705FBB"/>
    <w:rsid w:val="00706FCE"/>
    <w:rsid w:val="00707AAA"/>
    <w:rsid w:val="00710674"/>
    <w:rsid w:val="00710CC1"/>
    <w:rsid w:val="00711369"/>
    <w:rsid w:val="00711573"/>
    <w:rsid w:val="00711968"/>
    <w:rsid w:val="00711F4E"/>
    <w:rsid w:val="007124A8"/>
    <w:rsid w:val="0071398E"/>
    <w:rsid w:val="0071424E"/>
    <w:rsid w:val="0071469B"/>
    <w:rsid w:val="00714A45"/>
    <w:rsid w:val="00714EB2"/>
    <w:rsid w:val="00715325"/>
    <w:rsid w:val="0071599B"/>
    <w:rsid w:val="00715EC9"/>
    <w:rsid w:val="007162A8"/>
    <w:rsid w:val="00716339"/>
    <w:rsid w:val="007165B4"/>
    <w:rsid w:val="00716676"/>
    <w:rsid w:val="00716A62"/>
    <w:rsid w:val="00716BFC"/>
    <w:rsid w:val="00716DD0"/>
    <w:rsid w:val="00716EAC"/>
    <w:rsid w:val="00717005"/>
    <w:rsid w:val="00717585"/>
    <w:rsid w:val="0072018C"/>
    <w:rsid w:val="00720229"/>
    <w:rsid w:val="00721D76"/>
    <w:rsid w:val="00721EBF"/>
    <w:rsid w:val="00722438"/>
    <w:rsid w:val="00722844"/>
    <w:rsid w:val="00723911"/>
    <w:rsid w:val="00724967"/>
    <w:rsid w:val="00724C3A"/>
    <w:rsid w:val="007252C2"/>
    <w:rsid w:val="007256A3"/>
    <w:rsid w:val="00726855"/>
    <w:rsid w:val="00726AD0"/>
    <w:rsid w:val="00727E45"/>
    <w:rsid w:val="0073041C"/>
    <w:rsid w:val="00730838"/>
    <w:rsid w:val="00730F43"/>
    <w:rsid w:val="0073138D"/>
    <w:rsid w:val="00731947"/>
    <w:rsid w:val="00732063"/>
    <w:rsid w:val="007324CA"/>
    <w:rsid w:val="00732EFE"/>
    <w:rsid w:val="00733126"/>
    <w:rsid w:val="00733924"/>
    <w:rsid w:val="00733EDD"/>
    <w:rsid w:val="00733EEC"/>
    <w:rsid w:val="007341E0"/>
    <w:rsid w:val="00734696"/>
    <w:rsid w:val="00734F71"/>
    <w:rsid w:val="00735875"/>
    <w:rsid w:val="00735B8C"/>
    <w:rsid w:val="0073720C"/>
    <w:rsid w:val="007374BA"/>
    <w:rsid w:val="00737796"/>
    <w:rsid w:val="007414F7"/>
    <w:rsid w:val="00741875"/>
    <w:rsid w:val="00741C73"/>
    <w:rsid w:val="00741E11"/>
    <w:rsid w:val="00741E15"/>
    <w:rsid w:val="00741EF2"/>
    <w:rsid w:val="00742F36"/>
    <w:rsid w:val="007430B5"/>
    <w:rsid w:val="007434A1"/>
    <w:rsid w:val="00744C6F"/>
    <w:rsid w:val="00744E32"/>
    <w:rsid w:val="00745478"/>
    <w:rsid w:val="007456E5"/>
    <w:rsid w:val="00745A58"/>
    <w:rsid w:val="00746E2D"/>
    <w:rsid w:val="007471B7"/>
    <w:rsid w:val="00747212"/>
    <w:rsid w:val="0074779F"/>
    <w:rsid w:val="00747B9D"/>
    <w:rsid w:val="00747FB7"/>
    <w:rsid w:val="007501D5"/>
    <w:rsid w:val="00750F73"/>
    <w:rsid w:val="0075102A"/>
    <w:rsid w:val="007512F9"/>
    <w:rsid w:val="00751BF7"/>
    <w:rsid w:val="007523D6"/>
    <w:rsid w:val="007528FF"/>
    <w:rsid w:val="00753D23"/>
    <w:rsid w:val="0075455C"/>
    <w:rsid w:val="007549CA"/>
    <w:rsid w:val="00754A26"/>
    <w:rsid w:val="00755367"/>
    <w:rsid w:val="0075577C"/>
    <w:rsid w:val="00755E14"/>
    <w:rsid w:val="00756B53"/>
    <w:rsid w:val="007576B7"/>
    <w:rsid w:val="0075792A"/>
    <w:rsid w:val="00760A1E"/>
    <w:rsid w:val="00760A88"/>
    <w:rsid w:val="007612F0"/>
    <w:rsid w:val="00761AF6"/>
    <w:rsid w:val="00761B08"/>
    <w:rsid w:val="00762330"/>
    <w:rsid w:val="007629E1"/>
    <w:rsid w:val="007632BD"/>
    <w:rsid w:val="007644CB"/>
    <w:rsid w:val="00764E3A"/>
    <w:rsid w:val="0076581B"/>
    <w:rsid w:val="00765D1E"/>
    <w:rsid w:val="00766629"/>
    <w:rsid w:val="0076743E"/>
    <w:rsid w:val="00767891"/>
    <w:rsid w:val="007678A4"/>
    <w:rsid w:val="0077003B"/>
    <w:rsid w:val="00770473"/>
    <w:rsid w:val="007707FA"/>
    <w:rsid w:val="00770AE5"/>
    <w:rsid w:val="007714C3"/>
    <w:rsid w:val="007722C9"/>
    <w:rsid w:val="00772581"/>
    <w:rsid w:val="007725D7"/>
    <w:rsid w:val="00772EE9"/>
    <w:rsid w:val="0077368F"/>
    <w:rsid w:val="00773D40"/>
    <w:rsid w:val="007753CE"/>
    <w:rsid w:val="00775927"/>
    <w:rsid w:val="00775A8B"/>
    <w:rsid w:val="00775BC7"/>
    <w:rsid w:val="00775DF9"/>
    <w:rsid w:val="00776120"/>
    <w:rsid w:val="00776241"/>
    <w:rsid w:val="0077793C"/>
    <w:rsid w:val="007779C3"/>
    <w:rsid w:val="0078005E"/>
    <w:rsid w:val="00780F64"/>
    <w:rsid w:val="007814F8"/>
    <w:rsid w:val="0078167D"/>
    <w:rsid w:val="00781738"/>
    <w:rsid w:val="00781E3C"/>
    <w:rsid w:val="00781F1B"/>
    <w:rsid w:val="007829EA"/>
    <w:rsid w:val="00783013"/>
    <w:rsid w:val="00783777"/>
    <w:rsid w:val="007837A0"/>
    <w:rsid w:val="00785577"/>
    <w:rsid w:val="00786591"/>
    <w:rsid w:val="007868DF"/>
    <w:rsid w:val="00786EC8"/>
    <w:rsid w:val="0078742B"/>
    <w:rsid w:val="0078751F"/>
    <w:rsid w:val="00787C1B"/>
    <w:rsid w:val="00787D62"/>
    <w:rsid w:val="00787EE4"/>
    <w:rsid w:val="00790D21"/>
    <w:rsid w:val="00792C86"/>
    <w:rsid w:val="00792EFC"/>
    <w:rsid w:val="00793712"/>
    <w:rsid w:val="00793CA2"/>
    <w:rsid w:val="007961F4"/>
    <w:rsid w:val="00796911"/>
    <w:rsid w:val="00796A14"/>
    <w:rsid w:val="00797C38"/>
    <w:rsid w:val="007A1054"/>
    <w:rsid w:val="007A10DD"/>
    <w:rsid w:val="007A179D"/>
    <w:rsid w:val="007A1F06"/>
    <w:rsid w:val="007A2516"/>
    <w:rsid w:val="007A2931"/>
    <w:rsid w:val="007A2BFE"/>
    <w:rsid w:val="007A50D4"/>
    <w:rsid w:val="007A5A8B"/>
    <w:rsid w:val="007A5C12"/>
    <w:rsid w:val="007A6858"/>
    <w:rsid w:val="007A6AF2"/>
    <w:rsid w:val="007A703B"/>
    <w:rsid w:val="007B0798"/>
    <w:rsid w:val="007B19C4"/>
    <w:rsid w:val="007B1E76"/>
    <w:rsid w:val="007B2389"/>
    <w:rsid w:val="007B2988"/>
    <w:rsid w:val="007B29FB"/>
    <w:rsid w:val="007B2A54"/>
    <w:rsid w:val="007B3311"/>
    <w:rsid w:val="007B3411"/>
    <w:rsid w:val="007B37A1"/>
    <w:rsid w:val="007B48B8"/>
    <w:rsid w:val="007B49A6"/>
    <w:rsid w:val="007B502F"/>
    <w:rsid w:val="007B527A"/>
    <w:rsid w:val="007B5F5A"/>
    <w:rsid w:val="007B6434"/>
    <w:rsid w:val="007B68B7"/>
    <w:rsid w:val="007B70AC"/>
    <w:rsid w:val="007B721A"/>
    <w:rsid w:val="007B7405"/>
    <w:rsid w:val="007B7CC9"/>
    <w:rsid w:val="007B7DD8"/>
    <w:rsid w:val="007C03BF"/>
    <w:rsid w:val="007C077D"/>
    <w:rsid w:val="007C0A5D"/>
    <w:rsid w:val="007C1242"/>
    <w:rsid w:val="007C145E"/>
    <w:rsid w:val="007C1D9C"/>
    <w:rsid w:val="007C24D3"/>
    <w:rsid w:val="007C2733"/>
    <w:rsid w:val="007C3262"/>
    <w:rsid w:val="007C37AF"/>
    <w:rsid w:val="007C3905"/>
    <w:rsid w:val="007C4B36"/>
    <w:rsid w:val="007C4B95"/>
    <w:rsid w:val="007C4D22"/>
    <w:rsid w:val="007C52EA"/>
    <w:rsid w:val="007C5963"/>
    <w:rsid w:val="007C6C6C"/>
    <w:rsid w:val="007C7052"/>
    <w:rsid w:val="007C7F09"/>
    <w:rsid w:val="007D07FA"/>
    <w:rsid w:val="007D1D8F"/>
    <w:rsid w:val="007D206F"/>
    <w:rsid w:val="007D3646"/>
    <w:rsid w:val="007D3D06"/>
    <w:rsid w:val="007D421F"/>
    <w:rsid w:val="007D44E6"/>
    <w:rsid w:val="007D493F"/>
    <w:rsid w:val="007D4A0F"/>
    <w:rsid w:val="007D4BE8"/>
    <w:rsid w:val="007D4CE0"/>
    <w:rsid w:val="007D53D8"/>
    <w:rsid w:val="007D5B80"/>
    <w:rsid w:val="007D5C96"/>
    <w:rsid w:val="007D604F"/>
    <w:rsid w:val="007D6835"/>
    <w:rsid w:val="007D7064"/>
    <w:rsid w:val="007E0623"/>
    <w:rsid w:val="007E063C"/>
    <w:rsid w:val="007E1023"/>
    <w:rsid w:val="007E17D6"/>
    <w:rsid w:val="007E1A7C"/>
    <w:rsid w:val="007E31CD"/>
    <w:rsid w:val="007E3A50"/>
    <w:rsid w:val="007E470A"/>
    <w:rsid w:val="007E5349"/>
    <w:rsid w:val="007E53B9"/>
    <w:rsid w:val="007E59E1"/>
    <w:rsid w:val="007E68BA"/>
    <w:rsid w:val="007E6CC0"/>
    <w:rsid w:val="007E7B88"/>
    <w:rsid w:val="007E7CB2"/>
    <w:rsid w:val="007E7E49"/>
    <w:rsid w:val="007F02D7"/>
    <w:rsid w:val="007F0605"/>
    <w:rsid w:val="007F062C"/>
    <w:rsid w:val="007F066A"/>
    <w:rsid w:val="007F1D72"/>
    <w:rsid w:val="007F255D"/>
    <w:rsid w:val="007F2686"/>
    <w:rsid w:val="007F2FC0"/>
    <w:rsid w:val="007F42D1"/>
    <w:rsid w:val="007F538E"/>
    <w:rsid w:val="007F546F"/>
    <w:rsid w:val="007F5630"/>
    <w:rsid w:val="007F61D7"/>
    <w:rsid w:val="007F6383"/>
    <w:rsid w:val="007F76DB"/>
    <w:rsid w:val="0080026D"/>
    <w:rsid w:val="008003A5"/>
    <w:rsid w:val="00801479"/>
    <w:rsid w:val="0080257F"/>
    <w:rsid w:val="0080286C"/>
    <w:rsid w:val="00802985"/>
    <w:rsid w:val="008033EC"/>
    <w:rsid w:val="00803B0A"/>
    <w:rsid w:val="0080472C"/>
    <w:rsid w:val="00804D28"/>
    <w:rsid w:val="008050D6"/>
    <w:rsid w:val="008053BB"/>
    <w:rsid w:val="008056F9"/>
    <w:rsid w:val="008057D5"/>
    <w:rsid w:val="008059B5"/>
    <w:rsid w:val="00805A98"/>
    <w:rsid w:val="00805D03"/>
    <w:rsid w:val="00805DE3"/>
    <w:rsid w:val="008069FF"/>
    <w:rsid w:val="008076C3"/>
    <w:rsid w:val="00807E79"/>
    <w:rsid w:val="008101AB"/>
    <w:rsid w:val="008102F7"/>
    <w:rsid w:val="00810702"/>
    <w:rsid w:val="008107FE"/>
    <w:rsid w:val="008108F7"/>
    <w:rsid w:val="00810EDF"/>
    <w:rsid w:val="00811C04"/>
    <w:rsid w:val="00812486"/>
    <w:rsid w:val="008124B2"/>
    <w:rsid w:val="00812C6D"/>
    <w:rsid w:val="00812D6A"/>
    <w:rsid w:val="00814284"/>
    <w:rsid w:val="00814327"/>
    <w:rsid w:val="008149C5"/>
    <w:rsid w:val="00814F1A"/>
    <w:rsid w:val="00816B1A"/>
    <w:rsid w:val="00816BB2"/>
    <w:rsid w:val="00817D4D"/>
    <w:rsid w:val="00820AE9"/>
    <w:rsid w:val="00820B1E"/>
    <w:rsid w:val="00820D7A"/>
    <w:rsid w:val="00821034"/>
    <w:rsid w:val="00821197"/>
    <w:rsid w:val="00821251"/>
    <w:rsid w:val="00821A96"/>
    <w:rsid w:val="0082211F"/>
    <w:rsid w:val="008228D9"/>
    <w:rsid w:val="00822CAE"/>
    <w:rsid w:val="008238A5"/>
    <w:rsid w:val="00825799"/>
    <w:rsid w:val="00825E42"/>
    <w:rsid w:val="00825F0F"/>
    <w:rsid w:val="00826183"/>
    <w:rsid w:val="00826673"/>
    <w:rsid w:val="008300CC"/>
    <w:rsid w:val="00831169"/>
    <w:rsid w:val="0083124E"/>
    <w:rsid w:val="00831460"/>
    <w:rsid w:val="008315F4"/>
    <w:rsid w:val="00831D8C"/>
    <w:rsid w:val="008330A8"/>
    <w:rsid w:val="0083329F"/>
    <w:rsid w:val="008333EA"/>
    <w:rsid w:val="00833D3E"/>
    <w:rsid w:val="00833D8E"/>
    <w:rsid w:val="00833D96"/>
    <w:rsid w:val="00833F28"/>
    <w:rsid w:val="008345FC"/>
    <w:rsid w:val="00834BEB"/>
    <w:rsid w:val="00835183"/>
    <w:rsid w:val="0083550E"/>
    <w:rsid w:val="00835838"/>
    <w:rsid w:val="00835958"/>
    <w:rsid w:val="00835B93"/>
    <w:rsid w:val="00836141"/>
    <w:rsid w:val="008361E9"/>
    <w:rsid w:val="008369FA"/>
    <w:rsid w:val="00836D56"/>
    <w:rsid w:val="008374B4"/>
    <w:rsid w:val="00837FD8"/>
    <w:rsid w:val="00840BF2"/>
    <w:rsid w:val="00840F2B"/>
    <w:rsid w:val="008413C1"/>
    <w:rsid w:val="00841E4D"/>
    <w:rsid w:val="00841FCD"/>
    <w:rsid w:val="008430FF"/>
    <w:rsid w:val="0084381E"/>
    <w:rsid w:val="0084393E"/>
    <w:rsid w:val="00843997"/>
    <w:rsid w:val="00843DD4"/>
    <w:rsid w:val="00844079"/>
    <w:rsid w:val="008448D9"/>
    <w:rsid w:val="008453A9"/>
    <w:rsid w:val="00845464"/>
    <w:rsid w:val="00845621"/>
    <w:rsid w:val="00846516"/>
    <w:rsid w:val="00846B29"/>
    <w:rsid w:val="00847674"/>
    <w:rsid w:val="00850A80"/>
    <w:rsid w:val="0085160C"/>
    <w:rsid w:val="0085167F"/>
    <w:rsid w:val="008522DD"/>
    <w:rsid w:val="0085474C"/>
    <w:rsid w:val="00854C9B"/>
    <w:rsid w:val="00854CC4"/>
    <w:rsid w:val="00855017"/>
    <w:rsid w:val="00855253"/>
    <w:rsid w:val="0085581F"/>
    <w:rsid w:val="00856175"/>
    <w:rsid w:val="00856F9A"/>
    <w:rsid w:val="00857E1F"/>
    <w:rsid w:val="00857EA8"/>
    <w:rsid w:val="00857FB3"/>
    <w:rsid w:val="00860734"/>
    <w:rsid w:val="00860886"/>
    <w:rsid w:val="00861022"/>
    <w:rsid w:val="00861D59"/>
    <w:rsid w:val="00861ED2"/>
    <w:rsid w:val="00861F27"/>
    <w:rsid w:val="008623B3"/>
    <w:rsid w:val="00862473"/>
    <w:rsid w:val="00862535"/>
    <w:rsid w:val="008644ED"/>
    <w:rsid w:val="008656B3"/>
    <w:rsid w:val="00865BFC"/>
    <w:rsid w:val="008667E2"/>
    <w:rsid w:val="00867115"/>
    <w:rsid w:val="00867B2C"/>
    <w:rsid w:val="008702A8"/>
    <w:rsid w:val="008704CA"/>
    <w:rsid w:val="008706AC"/>
    <w:rsid w:val="00870B4A"/>
    <w:rsid w:val="00871108"/>
    <w:rsid w:val="008729B2"/>
    <w:rsid w:val="00875819"/>
    <w:rsid w:val="00875C13"/>
    <w:rsid w:val="00875DD2"/>
    <w:rsid w:val="008764BE"/>
    <w:rsid w:val="0087674B"/>
    <w:rsid w:val="008769BB"/>
    <w:rsid w:val="00876C87"/>
    <w:rsid w:val="00876C8A"/>
    <w:rsid w:val="00877222"/>
    <w:rsid w:val="008774E8"/>
    <w:rsid w:val="008814AC"/>
    <w:rsid w:val="00881B0B"/>
    <w:rsid w:val="00881DCB"/>
    <w:rsid w:val="00882501"/>
    <w:rsid w:val="0088255D"/>
    <w:rsid w:val="0088316A"/>
    <w:rsid w:val="008832DE"/>
    <w:rsid w:val="0088384B"/>
    <w:rsid w:val="00883BD0"/>
    <w:rsid w:val="00883E72"/>
    <w:rsid w:val="0088449B"/>
    <w:rsid w:val="00884578"/>
    <w:rsid w:val="008849CB"/>
    <w:rsid w:val="00884D13"/>
    <w:rsid w:val="00884E9D"/>
    <w:rsid w:val="008856A8"/>
    <w:rsid w:val="008858CE"/>
    <w:rsid w:val="00885C0E"/>
    <w:rsid w:val="00885CE8"/>
    <w:rsid w:val="00886718"/>
    <w:rsid w:val="00886AE5"/>
    <w:rsid w:val="00887673"/>
    <w:rsid w:val="0089032A"/>
    <w:rsid w:val="008905BC"/>
    <w:rsid w:val="00890F5F"/>
    <w:rsid w:val="008918AA"/>
    <w:rsid w:val="00891FDD"/>
    <w:rsid w:val="00892832"/>
    <w:rsid w:val="0089303A"/>
    <w:rsid w:val="00893717"/>
    <w:rsid w:val="00894773"/>
    <w:rsid w:val="008965C6"/>
    <w:rsid w:val="00896FD1"/>
    <w:rsid w:val="008978D6"/>
    <w:rsid w:val="00897B20"/>
    <w:rsid w:val="008A0235"/>
    <w:rsid w:val="008A052D"/>
    <w:rsid w:val="008A077B"/>
    <w:rsid w:val="008A117F"/>
    <w:rsid w:val="008A1224"/>
    <w:rsid w:val="008A21FF"/>
    <w:rsid w:val="008A360F"/>
    <w:rsid w:val="008A38EB"/>
    <w:rsid w:val="008A3D86"/>
    <w:rsid w:val="008A4E3F"/>
    <w:rsid w:val="008A5BA2"/>
    <w:rsid w:val="008A6DFB"/>
    <w:rsid w:val="008A7471"/>
    <w:rsid w:val="008A761F"/>
    <w:rsid w:val="008A762D"/>
    <w:rsid w:val="008B016B"/>
    <w:rsid w:val="008B1865"/>
    <w:rsid w:val="008B18EA"/>
    <w:rsid w:val="008B2003"/>
    <w:rsid w:val="008B2AB2"/>
    <w:rsid w:val="008B2C83"/>
    <w:rsid w:val="008B2E18"/>
    <w:rsid w:val="008B309D"/>
    <w:rsid w:val="008B3628"/>
    <w:rsid w:val="008B3D8D"/>
    <w:rsid w:val="008B4282"/>
    <w:rsid w:val="008B47C3"/>
    <w:rsid w:val="008B48A9"/>
    <w:rsid w:val="008B5295"/>
    <w:rsid w:val="008B54DF"/>
    <w:rsid w:val="008B58C8"/>
    <w:rsid w:val="008B6685"/>
    <w:rsid w:val="008B67DA"/>
    <w:rsid w:val="008B6A3B"/>
    <w:rsid w:val="008B7A2A"/>
    <w:rsid w:val="008C008A"/>
    <w:rsid w:val="008C00DA"/>
    <w:rsid w:val="008C107C"/>
    <w:rsid w:val="008C1167"/>
    <w:rsid w:val="008C14B7"/>
    <w:rsid w:val="008C16C1"/>
    <w:rsid w:val="008C1722"/>
    <w:rsid w:val="008C1DB7"/>
    <w:rsid w:val="008C3198"/>
    <w:rsid w:val="008C3B0D"/>
    <w:rsid w:val="008C4124"/>
    <w:rsid w:val="008C424D"/>
    <w:rsid w:val="008C5157"/>
    <w:rsid w:val="008C5D5B"/>
    <w:rsid w:val="008C66AA"/>
    <w:rsid w:val="008C6EFE"/>
    <w:rsid w:val="008C754D"/>
    <w:rsid w:val="008C7800"/>
    <w:rsid w:val="008C7BD7"/>
    <w:rsid w:val="008D0EF2"/>
    <w:rsid w:val="008D15F2"/>
    <w:rsid w:val="008D243E"/>
    <w:rsid w:val="008D34C5"/>
    <w:rsid w:val="008D427C"/>
    <w:rsid w:val="008D53C6"/>
    <w:rsid w:val="008D56BD"/>
    <w:rsid w:val="008D5890"/>
    <w:rsid w:val="008D6241"/>
    <w:rsid w:val="008D6567"/>
    <w:rsid w:val="008D66CC"/>
    <w:rsid w:val="008D6827"/>
    <w:rsid w:val="008D6DE0"/>
    <w:rsid w:val="008D7FE1"/>
    <w:rsid w:val="008E0016"/>
    <w:rsid w:val="008E03D5"/>
    <w:rsid w:val="008E1BA9"/>
    <w:rsid w:val="008E1C7E"/>
    <w:rsid w:val="008E1E88"/>
    <w:rsid w:val="008E2120"/>
    <w:rsid w:val="008E2135"/>
    <w:rsid w:val="008E30E1"/>
    <w:rsid w:val="008E3338"/>
    <w:rsid w:val="008E3869"/>
    <w:rsid w:val="008E427D"/>
    <w:rsid w:val="008E42F6"/>
    <w:rsid w:val="008E465B"/>
    <w:rsid w:val="008E50B5"/>
    <w:rsid w:val="008E531E"/>
    <w:rsid w:val="008E54DE"/>
    <w:rsid w:val="008E5850"/>
    <w:rsid w:val="008E5A4D"/>
    <w:rsid w:val="008E695F"/>
    <w:rsid w:val="008E7013"/>
    <w:rsid w:val="008E70D5"/>
    <w:rsid w:val="008E7C83"/>
    <w:rsid w:val="008F018C"/>
    <w:rsid w:val="008F01CB"/>
    <w:rsid w:val="008F074C"/>
    <w:rsid w:val="008F087F"/>
    <w:rsid w:val="008F0E02"/>
    <w:rsid w:val="008F12D5"/>
    <w:rsid w:val="008F18EA"/>
    <w:rsid w:val="008F1CAE"/>
    <w:rsid w:val="008F2818"/>
    <w:rsid w:val="008F2901"/>
    <w:rsid w:val="008F2ADD"/>
    <w:rsid w:val="008F2FF7"/>
    <w:rsid w:val="008F37C0"/>
    <w:rsid w:val="008F3AB7"/>
    <w:rsid w:val="008F3C47"/>
    <w:rsid w:val="008F55F7"/>
    <w:rsid w:val="008F5634"/>
    <w:rsid w:val="008F6993"/>
    <w:rsid w:val="008F69F3"/>
    <w:rsid w:val="008F6E7F"/>
    <w:rsid w:val="008F74ED"/>
    <w:rsid w:val="008F7C2B"/>
    <w:rsid w:val="0090050E"/>
    <w:rsid w:val="00900552"/>
    <w:rsid w:val="00900819"/>
    <w:rsid w:val="00900DDE"/>
    <w:rsid w:val="0090105E"/>
    <w:rsid w:val="0090149B"/>
    <w:rsid w:val="009023B6"/>
    <w:rsid w:val="00902C98"/>
    <w:rsid w:val="0090369C"/>
    <w:rsid w:val="009039BD"/>
    <w:rsid w:val="00904AED"/>
    <w:rsid w:val="00904D1E"/>
    <w:rsid w:val="0090548D"/>
    <w:rsid w:val="009062F4"/>
    <w:rsid w:val="00906BE0"/>
    <w:rsid w:val="00906F0B"/>
    <w:rsid w:val="009070D8"/>
    <w:rsid w:val="0090720F"/>
    <w:rsid w:val="0090729B"/>
    <w:rsid w:val="009072CE"/>
    <w:rsid w:val="00910B7F"/>
    <w:rsid w:val="00910F10"/>
    <w:rsid w:val="009119A1"/>
    <w:rsid w:val="00911C57"/>
    <w:rsid w:val="00911F5B"/>
    <w:rsid w:val="0091313A"/>
    <w:rsid w:val="00913324"/>
    <w:rsid w:val="009145D1"/>
    <w:rsid w:val="00915190"/>
    <w:rsid w:val="00916493"/>
    <w:rsid w:val="00916541"/>
    <w:rsid w:val="0091674D"/>
    <w:rsid w:val="0091677D"/>
    <w:rsid w:val="009167B6"/>
    <w:rsid w:val="00916CB5"/>
    <w:rsid w:val="00916E6A"/>
    <w:rsid w:val="0091705B"/>
    <w:rsid w:val="00917FA1"/>
    <w:rsid w:val="00920197"/>
    <w:rsid w:val="00920323"/>
    <w:rsid w:val="00920B52"/>
    <w:rsid w:val="009218E8"/>
    <w:rsid w:val="00921A0E"/>
    <w:rsid w:val="00921BF3"/>
    <w:rsid w:val="00921FA2"/>
    <w:rsid w:val="0092200D"/>
    <w:rsid w:val="009226F2"/>
    <w:rsid w:val="0092295B"/>
    <w:rsid w:val="009230E5"/>
    <w:rsid w:val="00924280"/>
    <w:rsid w:val="0092445C"/>
    <w:rsid w:val="009246B7"/>
    <w:rsid w:val="0092493D"/>
    <w:rsid w:val="00924E37"/>
    <w:rsid w:val="00926401"/>
    <w:rsid w:val="00926B76"/>
    <w:rsid w:val="00926CD5"/>
    <w:rsid w:val="00926D1D"/>
    <w:rsid w:val="00926D8A"/>
    <w:rsid w:val="00926ECF"/>
    <w:rsid w:val="00927092"/>
    <w:rsid w:val="009270F9"/>
    <w:rsid w:val="0092741B"/>
    <w:rsid w:val="0092748C"/>
    <w:rsid w:val="009275A5"/>
    <w:rsid w:val="00927CDE"/>
    <w:rsid w:val="009301C9"/>
    <w:rsid w:val="009304A5"/>
    <w:rsid w:val="0093075C"/>
    <w:rsid w:val="009307E1"/>
    <w:rsid w:val="009318C5"/>
    <w:rsid w:val="009325DC"/>
    <w:rsid w:val="009327B8"/>
    <w:rsid w:val="0093358C"/>
    <w:rsid w:val="009356B0"/>
    <w:rsid w:val="00935D35"/>
    <w:rsid w:val="00936A07"/>
    <w:rsid w:val="00936F69"/>
    <w:rsid w:val="009372EA"/>
    <w:rsid w:val="0093759B"/>
    <w:rsid w:val="0093762E"/>
    <w:rsid w:val="0093779A"/>
    <w:rsid w:val="00937C1C"/>
    <w:rsid w:val="00937F4E"/>
    <w:rsid w:val="00940AAA"/>
    <w:rsid w:val="009426E3"/>
    <w:rsid w:val="00942815"/>
    <w:rsid w:val="0094321D"/>
    <w:rsid w:val="009435F6"/>
    <w:rsid w:val="00944294"/>
    <w:rsid w:val="009445BF"/>
    <w:rsid w:val="009457E2"/>
    <w:rsid w:val="00945C32"/>
    <w:rsid w:val="00946EDF"/>
    <w:rsid w:val="00946FD7"/>
    <w:rsid w:val="0094708A"/>
    <w:rsid w:val="009472AA"/>
    <w:rsid w:val="00947871"/>
    <w:rsid w:val="00947975"/>
    <w:rsid w:val="00950876"/>
    <w:rsid w:val="00950D8E"/>
    <w:rsid w:val="00950F20"/>
    <w:rsid w:val="009511A0"/>
    <w:rsid w:val="009512D8"/>
    <w:rsid w:val="00951493"/>
    <w:rsid w:val="00951616"/>
    <w:rsid w:val="00951C90"/>
    <w:rsid w:val="009520AC"/>
    <w:rsid w:val="00952C32"/>
    <w:rsid w:val="00952C44"/>
    <w:rsid w:val="009532B5"/>
    <w:rsid w:val="0095362F"/>
    <w:rsid w:val="009544E5"/>
    <w:rsid w:val="0095489A"/>
    <w:rsid w:val="00954F91"/>
    <w:rsid w:val="0095635B"/>
    <w:rsid w:val="00956FDF"/>
    <w:rsid w:val="00960740"/>
    <w:rsid w:val="009618C7"/>
    <w:rsid w:val="009619DA"/>
    <w:rsid w:val="00962273"/>
    <w:rsid w:val="009625BF"/>
    <w:rsid w:val="0096286A"/>
    <w:rsid w:val="00962AD7"/>
    <w:rsid w:val="0096357A"/>
    <w:rsid w:val="00963A5B"/>
    <w:rsid w:val="00964C04"/>
    <w:rsid w:val="00964F5A"/>
    <w:rsid w:val="00965D04"/>
    <w:rsid w:val="009661CB"/>
    <w:rsid w:val="00966346"/>
    <w:rsid w:val="00966F64"/>
    <w:rsid w:val="009673CC"/>
    <w:rsid w:val="009704FE"/>
    <w:rsid w:val="00970793"/>
    <w:rsid w:val="00970F2E"/>
    <w:rsid w:val="009716D6"/>
    <w:rsid w:val="00971949"/>
    <w:rsid w:val="00971F3B"/>
    <w:rsid w:val="00972166"/>
    <w:rsid w:val="00972693"/>
    <w:rsid w:val="00972BA6"/>
    <w:rsid w:val="00972D52"/>
    <w:rsid w:val="0097305C"/>
    <w:rsid w:val="009738A2"/>
    <w:rsid w:val="00973F94"/>
    <w:rsid w:val="00974274"/>
    <w:rsid w:val="0097436E"/>
    <w:rsid w:val="00974373"/>
    <w:rsid w:val="009743E5"/>
    <w:rsid w:val="00975526"/>
    <w:rsid w:val="009755A5"/>
    <w:rsid w:val="00975709"/>
    <w:rsid w:val="00975927"/>
    <w:rsid w:val="00975B07"/>
    <w:rsid w:val="00975B29"/>
    <w:rsid w:val="00976862"/>
    <w:rsid w:val="009769CC"/>
    <w:rsid w:val="00976D8E"/>
    <w:rsid w:val="00977303"/>
    <w:rsid w:val="0097751E"/>
    <w:rsid w:val="0097792C"/>
    <w:rsid w:val="00977BAB"/>
    <w:rsid w:val="00980ABE"/>
    <w:rsid w:val="009810FF"/>
    <w:rsid w:val="00981324"/>
    <w:rsid w:val="009815D0"/>
    <w:rsid w:val="009816AD"/>
    <w:rsid w:val="00981B93"/>
    <w:rsid w:val="00982003"/>
    <w:rsid w:val="009820C4"/>
    <w:rsid w:val="00982267"/>
    <w:rsid w:val="0098286E"/>
    <w:rsid w:val="0098383E"/>
    <w:rsid w:val="0098399D"/>
    <w:rsid w:val="00983A3B"/>
    <w:rsid w:val="00983D6A"/>
    <w:rsid w:val="009842FC"/>
    <w:rsid w:val="00984736"/>
    <w:rsid w:val="00985A43"/>
    <w:rsid w:val="00985E4D"/>
    <w:rsid w:val="009863FE"/>
    <w:rsid w:val="009865B6"/>
    <w:rsid w:val="00986774"/>
    <w:rsid w:val="009867C4"/>
    <w:rsid w:val="00986976"/>
    <w:rsid w:val="00986B2D"/>
    <w:rsid w:val="00986B7B"/>
    <w:rsid w:val="00987121"/>
    <w:rsid w:val="009905D5"/>
    <w:rsid w:val="00990C42"/>
    <w:rsid w:val="00991699"/>
    <w:rsid w:val="009922E2"/>
    <w:rsid w:val="0099283F"/>
    <w:rsid w:val="00992C74"/>
    <w:rsid w:val="00992F51"/>
    <w:rsid w:val="0099318E"/>
    <w:rsid w:val="00993A11"/>
    <w:rsid w:val="00994019"/>
    <w:rsid w:val="00994345"/>
    <w:rsid w:val="00994433"/>
    <w:rsid w:val="00994A6E"/>
    <w:rsid w:val="00995E62"/>
    <w:rsid w:val="009965EC"/>
    <w:rsid w:val="00996C22"/>
    <w:rsid w:val="00997AFE"/>
    <w:rsid w:val="00997CA7"/>
    <w:rsid w:val="009A10A9"/>
    <w:rsid w:val="009A28D7"/>
    <w:rsid w:val="009A2D6F"/>
    <w:rsid w:val="009A36F7"/>
    <w:rsid w:val="009A3D8E"/>
    <w:rsid w:val="009A4028"/>
    <w:rsid w:val="009A4F32"/>
    <w:rsid w:val="009A592B"/>
    <w:rsid w:val="009A5E09"/>
    <w:rsid w:val="009A608F"/>
    <w:rsid w:val="009A6968"/>
    <w:rsid w:val="009A69BF"/>
    <w:rsid w:val="009A72C2"/>
    <w:rsid w:val="009A73D5"/>
    <w:rsid w:val="009A74B8"/>
    <w:rsid w:val="009A7C5F"/>
    <w:rsid w:val="009B0010"/>
    <w:rsid w:val="009B03F3"/>
    <w:rsid w:val="009B056D"/>
    <w:rsid w:val="009B1480"/>
    <w:rsid w:val="009B157A"/>
    <w:rsid w:val="009B1667"/>
    <w:rsid w:val="009B1A9B"/>
    <w:rsid w:val="009B242A"/>
    <w:rsid w:val="009B3335"/>
    <w:rsid w:val="009B3813"/>
    <w:rsid w:val="009B405C"/>
    <w:rsid w:val="009B4765"/>
    <w:rsid w:val="009B5154"/>
    <w:rsid w:val="009B5387"/>
    <w:rsid w:val="009B567F"/>
    <w:rsid w:val="009B578E"/>
    <w:rsid w:val="009B5A66"/>
    <w:rsid w:val="009B5DC4"/>
    <w:rsid w:val="009B64DE"/>
    <w:rsid w:val="009B6942"/>
    <w:rsid w:val="009B7A95"/>
    <w:rsid w:val="009C1D01"/>
    <w:rsid w:val="009C2604"/>
    <w:rsid w:val="009C2809"/>
    <w:rsid w:val="009C289D"/>
    <w:rsid w:val="009C2A79"/>
    <w:rsid w:val="009C2E35"/>
    <w:rsid w:val="009C3455"/>
    <w:rsid w:val="009C4D0C"/>
    <w:rsid w:val="009C4E2C"/>
    <w:rsid w:val="009C4F52"/>
    <w:rsid w:val="009C5665"/>
    <w:rsid w:val="009C58B0"/>
    <w:rsid w:val="009C70DD"/>
    <w:rsid w:val="009C79E0"/>
    <w:rsid w:val="009D0178"/>
    <w:rsid w:val="009D0A32"/>
    <w:rsid w:val="009D119E"/>
    <w:rsid w:val="009D1469"/>
    <w:rsid w:val="009D184E"/>
    <w:rsid w:val="009D222C"/>
    <w:rsid w:val="009D233D"/>
    <w:rsid w:val="009D27F6"/>
    <w:rsid w:val="009D2F64"/>
    <w:rsid w:val="009D3DD1"/>
    <w:rsid w:val="009D3E59"/>
    <w:rsid w:val="009D406C"/>
    <w:rsid w:val="009D4C43"/>
    <w:rsid w:val="009D5695"/>
    <w:rsid w:val="009D5D45"/>
    <w:rsid w:val="009D5FAB"/>
    <w:rsid w:val="009D67A3"/>
    <w:rsid w:val="009D6B97"/>
    <w:rsid w:val="009D7179"/>
    <w:rsid w:val="009D728C"/>
    <w:rsid w:val="009D74C7"/>
    <w:rsid w:val="009D7657"/>
    <w:rsid w:val="009D78DA"/>
    <w:rsid w:val="009D7BE4"/>
    <w:rsid w:val="009D7FAE"/>
    <w:rsid w:val="009E01E4"/>
    <w:rsid w:val="009E03C1"/>
    <w:rsid w:val="009E09CE"/>
    <w:rsid w:val="009E0DEF"/>
    <w:rsid w:val="009E1096"/>
    <w:rsid w:val="009E16D7"/>
    <w:rsid w:val="009E17FB"/>
    <w:rsid w:val="009E1AC3"/>
    <w:rsid w:val="009E2372"/>
    <w:rsid w:val="009E2460"/>
    <w:rsid w:val="009E26F9"/>
    <w:rsid w:val="009E299A"/>
    <w:rsid w:val="009E2B63"/>
    <w:rsid w:val="009E2CB3"/>
    <w:rsid w:val="009E37DE"/>
    <w:rsid w:val="009E497D"/>
    <w:rsid w:val="009E5F3F"/>
    <w:rsid w:val="009E6D63"/>
    <w:rsid w:val="009E7F40"/>
    <w:rsid w:val="009F058A"/>
    <w:rsid w:val="009F0D78"/>
    <w:rsid w:val="009F170F"/>
    <w:rsid w:val="009F1AD0"/>
    <w:rsid w:val="009F1B0A"/>
    <w:rsid w:val="009F2DB4"/>
    <w:rsid w:val="009F3467"/>
    <w:rsid w:val="009F3732"/>
    <w:rsid w:val="009F41BB"/>
    <w:rsid w:val="009F4256"/>
    <w:rsid w:val="009F4978"/>
    <w:rsid w:val="009F4EF3"/>
    <w:rsid w:val="009F4F41"/>
    <w:rsid w:val="009F57F0"/>
    <w:rsid w:val="009F5D7C"/>
    <w:rsid w:val="009F6C1C"/>
    <w:rsid w:val="009F7673"/>
    <w:rsid w:val="009F7BBA"/>
    <w:rsid w:val="009F7E01"/>
    <w:rsid w:val="009F7F7F"/>
    <w:rsid w:val="00A001CC"/>
    <w:rsid w:val="00A00F2A"/>
    <w:rsid w:val="00A0167B"/>
    <w:rsid w:val="00A01EEB"/>
    <w:rsid w:val="00A02C9B"/>
    <w:rsid w:val="00A02EF4"/>
    <w:rsid w:val="00A03036"/>
    <w:rsid w:val="00A03729"/>
    <w:rsid w:val="00A04E14"/>
    <w:rsid w:val="00A04FE5"/>
    <w:rsid w:val="00A053C7"/>
    <w:rsid w:val="00A0667C"/>
    <w:rsid w:val="00A0696A"/>
    <w:rsid w:val="00A06C8C"/>
    <w:rsid w:val="00A06E27"/>
    <w:rsid w:val="00A07E17"/>
    <w:rsid w:val="00A07E1B"/>
    <w:rsid w:val="00A10440"/>
    <w:rsid w:val="00A10595"/>
    <w:rsid w:val="00A11480"/>
    <w:rsid w:val="00A11581"/>
    <w:rsid w:val="00A116E0"/>
    <w:rsid w:val="00A12800"/>
    <w:rsid w:val="00A12D28"/>
    <w:rsid w:val="00A12F06"/>
    <w:rsid w:val="00A12F9C"/>
    <w:rsid w:val="00A13362"/>
    <w:rsid w:val="00A13B4E"/>
    <w:rsid w:val="00A14864"/>
    <w:rsid w:val="00A158FC"/>
    <w:rsid w:val="00A1623C"/>
    <w:rsid w:val="00A1687A"/>
    <w:rsid w:val="00A16A7A"/>
    <w:rsid w:val="00A16FF5"/>
    <w:rsid w:val="00A177E0"/>
    <w:rsid w:val="00A1797D"/>
    <w:rsid w:val="00A179A8"/>
    <w:rsid w:val="00A17FEB"/>
    <w:rsid w:val="00A20048"/>
    <w:rsid w:val="00A211FA"/>
    <w:rsid w:val="00A2177E"/>
    <w:rsid w:val="00A21944"/>
    <w:rsid w:val="00A21D25"/>
    <w:rsid w:val="00A224B3"/>
    <w:rsid w:val="00A229E2"/>
    <w:rsid w:val="00A22A55"/>
    <w:rsid w:val="00A24069"/>
    <w:rsid w:val="00A24A5B"/>
    <w:rsid w:val="00A25740"/>
    <w:rsid w:val="00A258EA"/>
    <w:rsid w:val="00A26140"/>
    <w:rsid w:val="00A266CA"/>
    <w:rsid w:val="00A27560"/>
    <w:rsid w:val="00A27DA5"/>
    <w:rsid w:val="00A302A6"/>
    <w:rsid w:val="00A302C5"/>
    <w:rsid w:val="00A312CD"/>
    <w:rsid w:val="00A31648"/>
    <w:rsid w:val="00A3169B"/>
    <w:rsid w:val="00A31AE8"/>
    <w:rsid w:val="00A32869"/>
    <w:rsid w:val="00A33440"/>
    <w:rsid w:val="00A3370B"/>
    <w:rsid w:val="00A33745"/>
    <w:rsid w:val="00A346A1"/>
    <w:rsid w:val="00A34EF9"/>
    <w:rsid w:val="00A34FA6"/>
    <w:rsid w:val="00A35676"/>
    <w:rsid w:val="00A3659C"/>
    <w:rsid w:val="00A36CAD"/>
    <w:rsid w:val="00A37299"/>
    <w:rsid w:val="00A37DC3"/>
    <w:rsid w:val="00A40A07"/>
    <w:rsid w:val="00A40CCA"/>
    <w:rsid w:val="00A410CE"/>
    <w:rsid w:val="00A41266"/>
    <w:rsid w:val="00A4244B"/>
    <w:rsid w:val="00A42840"/>
    <w:rsid w:val="00A428B3"/>
    <w:rsid w:val="00A42964"/>
    <w:rsid w:val="00A4302D"/>
    <w:rsid w:val="00A430F1"/>
    <w:rsid w:val="00A43861"/>
    <w:rsid w:val="00A43C70"/>
    <w:rsid w:val="00A453D7"/>
    <w:rsid w:val="00A453DE"/>
    <w:rsid w:val="00A45546"/>
    <w:rsid w:val="00A455A9"/>
    <w:rsid w:val="00A45A3C"/>
    <w:rsid w:val="00A460FD"/>
    <w:rsid w:val="00A502B9"/>
    <w:rsid w:val="00A51203"/>
    <w:rsid w:val="00A51427"/>
    <w:rsid w:val="00A51548"/>
    <w:rsid w:val="00A52495"/>
    <w:rsid w:val="00A52C02"/>
    <w:rsid w:val="00A52E30"/>
    <w:rsid w:val="00A53EA0"/>
    <w:rsid w:val="00A541C1"/>
    <w:rsid w:val="00A54648"/>
    <w:rsid w:val="00A54A8E"/>
    <w:rsid w:val="00A54E7F"/>
    <w:rsid w:val="00A54EBA"/>
    <w:rsid w:val="00A550EB"/>
    <w:rsid w:val="00A55926"/>
    <w:rsid w:val="00A55DFD"/>
    <w:rsid w:val="00A5675B"/>
    <w:rsid w:val="00A56A10"/>
    <w:rsid w:val="00A56CC0"/>
    <w:rsid w:val="00A5718C"/>
    <w:rsid w:val="00A57DDF"/>
    <w:rsid w:val="00A57FC8"/>
    <w:rsid w:val="00A60085"/>
    <w:rsid w:val="00A60668"/>
    <w:rsid w:val="00A60C42"/>
    <w:rsid w:val="00A60C5F"/>
    <w:rsid w:val="00A61A66"/>
    <w:rsid w:val="00A61FA8"/>
    <w:rsid w:val="00A63F97"/>
    <w:rsid w:val="00A63FE6"/>
    <w:rsid w:val="00A6444F"/>
    <w:rsid w:val="00A64625"/>
    <w:rsid w:val="00A648F1"/>
    <w:rsid w:val="00A65146"/>
    <w:rsid w:val="00A668B6"/>
    <w:rsid w:val="00A66CAB"/>
    <w:rsid w:val="00A67AF1"/>
    <w:rsid w:val="00A705B6"/>
    <w:rsid w:val="00A71642"/>
    <w:rsid w:val="00A71B6E"/>
    <w:rsid w:val="00A72689"/>
    <w:rsid w:val="00A72F25"/>
    <w:rsid w:val="00A73E1F"/>
    <w:rsid w:val="00A740C2"/>
    <w:rsid w:val="00A7413C"/>
    <w:rsid w:val="00A748AB"/>
    <w:rsid w:val="00A74A5F"/>
    <w:rsid w:val="00A74CE1"/>
    <w:rsid w:val="00A74E0C"/>
    <w:rsid w:val="00A76394"/>
    <w:rsid w:val="00A764C7"/>
    <w:rsid w:val="00A76BFD"/>
    <w:rsid w:val="00A771DD"/>
    <w:rsid w:val="00A776ED"/>
    <w:rsid w:val="00A77858"/>
    <w:rsid w:val="00A77E41"/>
    <w:rsid w:val="00A8058E"/>
    <w:rsid w:val="00A805D7"/>
    <w:rsid w:val="00A80E2A"/>
    <w:rsid w:val="00A81C1C"/>
    <w:rsid w:val="00A81D25"/>
    <w:rsid w:val="00A827B4"/>
    <w:rsid w:val="00A82AF3"/>
    <w:rsid w:val="00A82C68"/>
    <w:rsid w:val="00A832BF"/>
    <w:rsid w:val="00A83439"/>
    <w:rsid w:val="00A837ED"/>
    <w:rsid w:val="00A83A40"/>
    <w:rsid w:val="00A83A6D"/>
    <w:rsid w:val="00A84394"/>
    <w:rsid w:val="00A847DB"/>
    <w:rsid w:val="00A853FB"/>
    <w:rsid w:val="00A86788"/>
    <w:rsid w:val="00A86A1D"/>
    <w:rsid w:val="00A8760A"/>
    <w:rsid w:val="00A87696"/>
    <w:rsid w:val="00A90053"/>
    <w:rsid w:val="00A90095"/>
    <w:rsid w:val="00A9034C"/>
    <w:rsid w:val="00A9039F"/>
    <w:rsid w:val="00A90581"/>
    <w:rsid w:val="00A90679"/>
    <w:rsid w:val="00A9118B"/>
    <w:rsid w:val="00A91AFA"/>
    <w:rsid w:val="00A92C35"/>
    <w:rsid w:val="00A92E93"/>
    <w:rsid w:val="00A9334D"/>
    <w:rsid w:val="00A935EB"/>
    <w:rsid w:val="00A93E2E"/>
    <w:rsid w:val="00A945E3"/>
    <w:rsid w:val="00A94E2F"/>
    <w:rsid w:val="00A95254"/>
    <w:rsid w:val="00A95709"/>
    <w:rsid w:val="00A9604C"/>
    <w:rsid w:val="00A9606F"/>
    <w:rsid w:val="00A96592"/>
    <w:rsid w:val="00A968E3"/>
    <w:rsid w:val="00A97211"/>
    <w:rsid w:val="00A976CF"/>
    <w:rsid w:val="00AA027B"/>
    <w:rsid w:val="00AA05C5"/>
    <w:rsid w:val="00AA134C"/>
    <w:rsid w:val="00AA1592"/>
    <w:rsid w:val="00AA1612"/>
    <w:rsid w:val="00AA1869"/>
    <w:rsid w:val="00AA1EE0"/>
    <w:rsid w:val="00AA2041"/>
    <w:rsid w:val="00AA206D"/>
    <w:rsid w:val="00AA2BEF"/>
    <w:rsid w:val="00AA2D5F"/>
    <w:rsid w:val="00AA3B31"/>
    <w:rsid w:val="00AA4A02"/>
    <w:rsid w:val="00AA52EC"/>
    <w:rsid w:val="00AA5747"/>
    <w:rsid w:val="00AA5BCF"/>
    <w:rsid w:val="00AA5E88"/>
    <w:rsid w:val="00AA648C"/>
    <w:rsid w:val="00AA66B6"/>
    <w:rsid w:val="00AA74BA"/>
    <w:rsid w:val="00AA7BEF"/>
    <w:rsid w:val="00AB0383"/>
    <w:rsid w:val="00AB0B3F"/>
    <w:rsid w:val="00AB0EAC"/>
    <w:rsid w:val="00AB10FB"/>
    <w:rsid w:val="00AB1666"/>
    <w:rsid w:val="00AB2AE6"/>
    <w:rsid w:val="00AB2B1F"/>
    <w:rsid w:val="00AB3F33"/>
    <w:rsid w:val="00AB41CC"/>
    <w:rsid w:val="00AB45EA"/>
    <w:rsid w:val="00AB4D03"/>
    <w:rsid w:val="00AB50D4"/>
    <w:rsid w:val="00AB551D"/>
    <w:rsid w:val="00AB56AA"/>
    <w:rsid w:val="00AB6413"/>
    <w:rsid w:val="00AB6546"/>
    <w:rsid w:val="00AB671B"/>
    <w:rsid w:val="00AB6D97"/>
    <w:rsid w:val="00AB74A9"/>
    <w:rsid w:val="00AB7875"/>
    <w:rsid w:val="00AB78DE"/>
    <w:rsid w:val="00AC005D"/>
    <w:rsid w:val="00AC0642"/>
    <w:rsid w:val="00AC17F1"/>
    <w:rsid w:val="00AC1884"/>
    <w:rsid w:val="00AC2638"/>
    <w:rsid w:val="00AC38C1"/>
    <w:rsid w:val="00AC3EFF"/>
    <w:rsid w:val="00AC4380"/>
    <w:rsid w:val="00AC4631"/>
    <w:rsid w:val="00AC46CB"/>
    <w:rsid w:val="00AC49CB"/>
    <w:rsid w:val="00AC4D14"/>
    <w:rsid w:val="00AC5623"/>
    <w:rsid w:val="00AC5C21"/>
    <w:rsid w:val="00AC6090"/>
    <w:rsid w:val="00AC6AF8"/>
    <w:rsid w:val="00AC714F"/>
    <w:rsid w:val="00AC7A10"/>
    <w:rsid w:val="00AC7BA3"/>
    <w:rsid w:val="00AC7BF5"/>
    <w:rsid w:val="00AD023C"/>
    <w:rsid w:val="00AD080D"/>
    <w:rsid w:val="00AD0E04"/>
    <w:rsid w:val="00AD10B9"/>
    <w:rsid w:val="00AD1399"/>
    <w:rsid w:val="00AD1585"/>
    <w:rsid w:val="00AD1A1B"/>
    <w:rsid w:val="00AD2AB8"/>
    <w:rsid w:val="00AD2D47"/>
    <w:rsid w:val="00AD3073"/>
    <w:rsid w:val="00AD33D5"/>
    <w:rsid w:val="00AD33E9"/>
    <w:rsid w:val="00AD340E"/>
    <w:rsid w:val="00AD3722"/>
    <w:rsid w:val="00AD3DC2"/>
    <w:rsid w:val="00AD45B9"/>
    <w:rsid w:val="00AD48BC"/>
    <w:rsid w:val="00AD4F7B"/>
    <w:rsid w:val="00AD5095"/>
    <w:rsid w:val="00AD603B"/>
    <w:rsid w:val="00AD66B8"/>
    <w:rsid w:val="00AD69DA"/>
    <w:rsid w:val="00AD7768"/>
    <w:rsid w:val="00AD7DDC"/>
    <w:rsid w:val="00AD7F19"/>
    <w:rsid w:val="00AE001C"/>
    <w:rsid w:val="00AE04C6"/>
    <w:rsid w:val="00AE0720"/>
    <w:rsid w:val="00AE0771"/>
    <w:rsid w:val="00AE109B"/>
    <w:rsid w:val="00AE1A82"/>
    <w:rsid w:val="00AE1BC9"/>
    <w:rsid w:val="00AE2375"/>
    <w:rsid w:val="00AE2423"/>
    <w:rsid w:val="00AE289F"/>
    <w:rsid w:val="00AE2AF0"/>
    <w:rsid w:val="00AE2C4D"/>
    <w:rsid w:val="00AE3124"/>
    <w:rsid w:val="00AE31B1"/>
    <w:rsid w:val="00AE33B6"/>
    <w:rsid w:val="00AE38F8"/>
    <w:rsid w:val="00AE3CEC"/>
    <w:rsid w:val="00AE4C20"/>
    <w:rsid w:val="00AE54B7"/>
    <w:rsid w:val="00AE5805"/>
    <w:rsid w:val="00AE713D"/>
    <w:rsid w:val="00AE7503"/>
    <w:rsid w:val="00AE78AC"/>
    <w:rsid w:val="00AE7D70"/>
    <w:rsid w:val="00AF02E3"/>
    <w:rsid w:val="00AF0C48"/>
    <w:rsid w:val="00AF1AA3"/>
    <w:rsid w:val="00AF26B3"/>
    <w:rsid w:val="00AF3394"/>
    <w:rsid w:val="00AF55D1"/>
    <w:rsid w:val="00AF5C2C"/>
    <w:rsid w:val="00AF5D0B"/>
    <w:rsid w:val="00AF6283"/>
    <w:rsid w:val="00AF688C"/>
    <w:rsid w:val="00AF692D"/>
    <w:rsid w:val="00AF6A30"/>
    <w:rsid w:val="00AF6E9B"/>
    <w:rsid w:val="00AF6FD3"/>
    <w:rsid w:val="00AF78A9"/>
    <w:rsid w:val="00AF7960"/>
    <w:rsid w:val="00AF7DAF"/>
    <w:rsid w:val="00B00172"/>
    <w:rsid w:val="00B0096E"/>
    <w:rsid w:val="00B00D2D"/>
    <w:rsid w:val="00B00D61"/>
    <w:rsid w:val="00B00FD8"/>
    <w:rsid w:val="00B01909"/>
    <w:rsid w:val="00B01EEB"/>
    <w:rsid w:val="00B021CD"/>
    <w:rsid w:val="00B03F98"/>
    <w:rsid w:val="00B041A1"/>
    <w:rsid w:val="00B045AA"/>
    <w:rsid w:val="00B0539F"/>
    <w:rsid w:val="00B0736E"/>
    <w:rsid w:val="00B0766C"/>
    <w:rsid w:val="00B07789"/>
    <w:rsid w:val="00B079F0"/>
    <w:rsid w:val="00B10527"/>
    <w:rsid w:val="00B105EF"/>
    <w:rsid w:val="00B116DA"/>
    <w:rsid w:val="00B11990"/>
    <w:rsid w:val="00B11B4C"/>
    <w:rsid w:val="00B1239D"/>
    <w:rsid w:val="00B12A8E"/>
    <w:rsid w:val="00B12D0A"/>
    <w:rsid w:val="00B13496"/>
    <w:rsid w:val="00B13786"/>
    <w:rsid w:val="00B1380C"/>
    <w:rsid w:val="00B14431"/>
    <w:rsid w:val="00B148CE"/>
    <w:rsid w:val="00B14DE0"/>
    <w:rsid w:val="00B16194"/>
    <w:rsid w:val="00B169B0"/>
    <w:rsid w:val="00B16B36"/>
    <w:rsid w:val="00B16C21"/>
    <w:rsid w:val="00B16F95"/>
    <w:rsid w:val="00B1726F"/>
    <w:rsid w:val="00B1742F"/>
    <w:rsid w:val="00B17E09"/>
    <w:rsid w:val="00B17ED2"/>
    <w:rsid w:val="00B20518"/>
    <w:rsid w:val="00B206BD"/>
    <w:rsid w:val="00B21A9C"/>
    <w:rsid w:val="00B21FE7"/>
    <w:rsid w:val="00B23417"/>
    <w:rsid w:val="00B2358E"/>
    <w:rsid w:val="00B23B5E"/>
    <w:rsid w:val="00B23CD3"/>
    <w:rsid w:val="00B23E86"/>
    <w:rsid w:val="00B247C3"/>
    <w:rsid w:val="00B24913"/>
    <w:rsid w:val="00B249AF"/>
    <w:rsid w:val="00B24A05"/>
    <w:rsid w:val="00B258B2"/>
    <w:rsid w:val="00B25C39"/>
    <w:rsid w:val="00B25E0B"/>
    <w:rsid w:val="00B26005"/>
    <w:rsid w:val="00B26192"/>
    <w:rsid w:val="00B2641E"/>
    <w:rsid w:val="00B26BB7"/>
    <w:rsid w:val="00B26F47"/>
    <w:rsid w:val="00B277F0"/>
    <w:rsid w:val="00B27C0E"/>
    <w:rsid w:val="00B30825"/>
    <w:rsid w:val="00B315D6"/>
    <w:rsid w:val="00B322C3"/>
    <w:rsid w:val="00B322D5"/>
    <w:rsid w:val="00B3231B"/>
    <w:rsid w:val="00B32D86"/>
    <w:rsid w:val="00B33709"/>
    <w:rsid w:val="00B34038"/>
    <w:rsid w:val="00B34EE7"/>
    <w:rsid w:val="00B3519F"/>
    <w:rsid w:val="00B36A53"/>
    <w:rsid w:val="00B377B3"/>
    <w:rsid w:val="00B37D0F"/>
    <w:rsid w:val="00B37DA2"/>
    <w:rsid w:val="00B37DEF"/>
    <w:rsid w:val="00B37FEE"/>
    <w:rsid w:val="00B40867"/>
    <w:rsid w:val="00B40A14"/>
    <w:rsid w:val="00B426A5"/>
    <w:rsid w:val="00B43B98"/>
    <w:rsid w:val="00B43BE5"/>
    <w:rsid w:val="00B43C1B"/>
    <w:rsid w:val="00B43D7F"/>
    <w:rsid w:val="00B43F7B"/>
    <w:rsid w:val="00B44831"/>
    <w:rsid w:val="00B44D60"/>
    <w:rsid w:val="00B4543D"/>
    <w:rsid w:val="00B45A6D"/>
    <w:rsid w:val="00B45E3F"/>
    <w:rsid w:val="00B4605A"/>
    <w:rsid w:val="00B461E0"/>
    <w:rsid w:val="00B4667E"/>
    <w:rsid w:val="00B467DB"/>
    <w:rsid w:val="00B468FC"/>
    <w:rsid w:val="00B47A0E"/>
    <w:rsid w:val="00B47E80"/>
    <w:rsid w:val="00B50A2A"/>
    <w:rsid w:val="00B51BA1"/>
    <w:rsid w:val="00B51E74"/>
    <w:rsid w:val="00B51EFD"/>
    <w:rsid w:val="00B52731"/>
    <w:rsid w:val="00B52D1A"/>
    <w:rsid w:val="00B52DC3"/>
    <w:rsid w:val="00B53115"/>
    <w:rsid w:val="00B531E2"/>
    <w:rsid w:val="00B548FA"/>
    <w:rsid w:val="00B54D4D"/>
    <w:rsid w:val="00B54DBF"/>
    <w:rsid w:val="00B55164"/>
    <w:rsid w:val="00B571CF"/>
    <w:rsid w:val="00B57311"/>
    <w:rsid w:val="00B573B7"/>
    <w:rsid w:val="00B579DE"/>
    <w:rsid w:val="00B57A48"/>
    <w:rsid w:val="00B60C5E"/>
    <w:rsid w:val="00B60DE8"/>
    <w:rsid w:val="00B61167"/>
    <w:rsid w:val="00B6178D"/>
    <w:rsid w:val="00B617B2"/>
    <w:rsid w:val="00B61A54"/>
    <w:rsid w:val="00B640F8"/>
    <w:rsid w:val="00B6413E"/>
    <w:rsid w:val="00B64DF5"/>
    <w:rsid w:val="00B64FB9"/>
    <w:rsid w:val="00B6515C"/>
    <w:rsid w:val="00B65765"/>
    <w:rsid w:val="00B658D4"/>
    <w:rsid w:val="00B65E48"/>
    <w:rsid w:val="00B6627C"/>
    <w:rsid w:val="00B6711D"/>
    <w:rsid w:val="00B674AF"/>
    <w:rsid w:val="00B710E1"/>
    <w:rsid w:val="00B7194C"/>
    <w:rsid w:val="00B71A3D"/>
    <w:rsid w:val="00B726D1"/>
    <w:rsid w:val="00B72D6C"/>
    <w:rsid w:val="00B72E07"/>
    <w:rsid w:val="00B7342A"/>
    <w:rsid w:val="00B74660"/>
    <w:rsid w:val="00B74D8C"/>
    <w:rsid w:val="00B761D8"/>
    <w:rsid w:val="00B76557"/>
    <w:rsid w:val="00B774AC"/>
    <w:rsid w:val="00B7753F"/>
    <w:rsid w:val="00B77D67"/>
    <w:rsid w:val="00B81E5F"/>
    <w:rsid w:val="00B82911"/>
    <w:rsid w:val="00B83BF4"/>
    <w:rsid w:val="00B83D0E"/>
    <w:rsid w:val="00B84C8C"/>
    <w:rsid w:val="00B84E33"/>
    <w:rsid w:val="00B85F76"/>
    <w:rsid w:val="00B86386"/>
    <w:rsid w:val="00B86C1E"/>
    <w:rsid w:val="00B8732D"/>
    <w:rsid w:val="00B8753B"/>
    <w:rsid w:val="00B877DF"/>
    <w:rsid w:val="00B90AB6"/>
    <w:rsid w:val="00B9169E"/>
    <w:rsid w:val="00B91814"/>
    <w:rsid w:val="00B9183D"/>
    <w:rsid w:val="00B921FC"/>
    <w:rsid w:val="00B92339"/>
    <w:rsid w:val="00B926C2"/>
    <w:rsid w:val="00B92CD8"/>
    <w:rsid w:val="00B930D3"/>
    <w:rsid w:val="00B93527"/>
    <w:rsid w:val="00B93B36"/>
    <w:rsid w:val="00B93BE3"/>
    <w:rsid w:val="00B948B3"/>
    <w:rsid w:val="00B948DF"/>
    <w:rsid w:val="00B956FD"/>
    <w:rsid w:val="00B95AE6"/>
    <w:rsid w:val="00B95E76"/>
    <w:rsid w:val="00B96D78"/>
    <w:rsid w:val="00B96ED0"/>
    <w:rsid w:val="00B97933"/>
    <w:rsid w:val="00B97B78"/>
    <w:rsid w:val="00BA018F"/>
    <w:rsid w:val="00BA07C3"/>
    <w:rsid w:val="00BA0EF9"/>
    <w:rsid w:val="00BA0F62"/>
    <w:rsid w:val="00BA0F9C"/>
    <w:rsid w:val="00BA13BD"/>
    <w:rsid w:val="00BA1D8A"/>
    <w:rsid w:val="00BA22DE"/>
    <w:rsid w:val="00BA28B6"/>
    <w:rsid w:val="00BA411E"/>
    <w:rsid w:val="00BA42A4"/>
    <w:rsid w:val="00BA46DF"/>
    <w:rsid w:val="00BA4832"/>
    <w:rsid w:val="00BA5CC5"/>
    <w:rsid w:val="00BA5E75"/>
    <w:rsid w:val="00BA623C"/>
    <w:rsid w:val="00BA64A8"/>
    <w:rsid w:val="00BA6D4D"/>
    <w:rsid w:val="00BA7FE0"/>
    <w:rsid w:val="00BB03CC"/>
    <w:rsid w:val="00BB069C"/>
    <w:rsid w:val="00BB0B79"/>
    <w:rsid w:val="00BB10EB"/>
    <w:rsid w:val="00BB11B3"/>
    <w:rsid w:val="00BB137F"/>
    <w:rsid w:val="00BB16FB"/>
    <w:rsid w:val="00BB1AF9"/>
    <w:rsid w:val="00BB1BB1"/>
    <w:rsid w:val="00BB1BCC"/>
    <w:rsid w:val="00BB2258"/>
    <w:rsid w:val="00BB2792"/>
    <w:rsid w:val="00BB298D"/>
    <w:rsid w:val="00BB2FAE"/>
    <w:rsid w:val="00BB35C9"/>
    <w:rsid w:val="00BB3CE4"/>
    <w:rsid w:val="00BB42AC"/>
    <w:rsid w:val="00BB4318"/>
    <w:rsid w:val="00BB6BDF"/>
    <w:rsid w:val="00BB6ECD"/>
    <w:rsid w:val="00BB7148"/>
    <w:rsid w:val="00BB734E"/>
    <w:rsid w:val="00BC02F8"/>
    <w:rsid w:val="00BC0699"/>
    <w:rsid w:val="00BC0A77"/>
    <w:rsid w:val="00BC12C2"/>
    <w:rsid w:val="00BC1D59"/>
    <w:rsid w:val="00BC3B72"/>
    <w:rsid w:val="00BC4255"/>
    <w:rsid w:val="00BC4486"/>
    <w:rsid w:val="00BC45AF"/>
    <w:rsid w:val="00BC47B7"/>
    <w:rsid w:val="00BC48B3"/>
    <w:rsid w:val="00BC5AF7"/>
    <w:rsid w:val="00BC5D60"/>
    <w:rsid w:val="00BC6573"/>
    <w:rsid w:val="00BC67E2"/>
    <w:rsid w:val="00BC6962"/>
    <w:rsid w:val="00BC6FAE"/>
    <w:rsid w:val="00BC7202"/>
    <w:rsid w:val="00BC774E"/>
    <w:rsid w:val="00BC7A75"/>
    <w:rsid w:val="00BD0399"/>
    <w:rsid w:val="00BD149A"/>
    <w:rsid w:val="00BD18B7"/>
    <w:rsid w:val="00BD1A70"/>
    <w:rsid w:val="00BD2011"/>
    <w:rsid w:val="00BD3579"/>
    <w:rsid w:val="00BD36D0"/>
    <w:rsid w:val="00BD3B9C"/>
    <w:rsid w:val="00BD4203"/>
    <w:rsid w:val="00BD4371"/>
    <w:rsid w:val="00BD44DB"/>
    <w:rsid w:val="00BD4574"/>
    <w:rsid w:val="00BD49FF"/>
    <w:rsid w:val="00BD52A7"/>
    <w:rsid w:val="00BD5955"/>
    <w:rsid w:val="00BD6CC7"/>
    <w:rsid w:val="00BD72B8"/>
    <w:rsid w:val="00BD777A"/>
    <w:rsid w:val="00BE076F"/>
    <w:rsid w:val="00BE1746"/>
    <w:rsid w:val="00BE2391"/>
    <w:rsid w:val="00BE29BD"/>
    <w:rsid w:val="00BE2ABF"/>
    <w:rsid w:val="00BE328B"/>
    <w:rsid w:val="00BE39B5"/>
    <w:rsid w:val="00BE3DE1"/>
    <w:rsid w:val="00BE3FC0"/>
    <w:rsid w:val="00BE4A0F"/>
    <w:rsid w:val="00BE589C"/>
    <w:rsid w:val="00BE64F0"/>
    <w:rsid w:val="00BE6761"/>
    <w:rsid w:val="00BE68AB"/>
    <w:rsid w:val="00BE7518"/>
    <w:rsid w:val="00BE754A"/>
    <w:rsid w:val="00BF0562"/>
    <w:rsid w:val="00BF06B5"/>
    <w:rsid w:val="00BF0856"/>
    <w:rsid w:val="00BF1023"/>
    <w:rsid w:val="00BF10D4"/>
    <w:rsid w:val="00BF16B0"/>
    <w:rsid w:val="00BF1D87"/>
    <w:rsid w:val="00BF1EF3"/>
    <w:rsid w:val="00BF20B3"/>
    <w:rsid w:val="00BF245F"/>
    <w:rsid w:val="00BF351D"/>
    <w:rsid w:val="00BF3795"/>
    <w:rsid w:val="00BF6A37"/>
    <w:rsid w:val="00BF6AC7"/>
    <w:rsid w:val="00BF7104"/>
    <w:rsid w:val="00BF735F"/>
    <w:rsid w:val="00BF7870"/>
    <w:rsid w:val="00BF79A5"/>
    <w:rsid w:val="00BF7C3B"/>
    <w:rsid w:val="00C00951"/>
    <w:rsid w:val="00C01238"/>
    <w:rsid w:val="00C01719"/>
    <w:rsid w:val="00C0187D"/>
    <w:rsid w:val="00C029B4"/>
    <w:rsid w:val="00C02ADD"/>
    <w:rsid w:val="00C02C51"/>
    <w:rsid w:val="00C02D9A"/>
    <w:rsid w:val="00C02E87"/>
    <w:rsid w:val="00C02FEA"/>
    <w:rsid w:val="00C03B16"/>
    <w:rsid w:val="00C03E47"/>
    <w:rsid w:val="00C03E80"/>
    <w:rsid w:val="00C03ED6"/>
    <w:rsid w:val="00C04AF2"/>
    <w:rsid w:val="00C0502E"/>
    <w:rsid w:val="00C051CD"/>
    <w:rsid w:val="00C06AF4"/>
    <w:rsid w:val="00C06B89"/>
    <w:rsid w:val="00C06E3D"/>
    <w:rsid w:val="00C10155"/>
    <w:rsid w:val="00C11830"/>
    <w:rsid w:val="00C11CA5"/>
    <w:rsid w:val="00C129CB"/>
    <w:rsid w:val="00C13250"/>
    <w:rsid w:val="00C13A50"/>
    <w:rsid w:val="00C13AA6"/>
    <w:rsid w:val="00C1401C"/>
    <w:rsid w:val="00C1414E"/>
    <w:rsid w:val="00C14903"/>
    <w:rsid w:val="00C15002"/>
    <w:rsid w:val="00C151A4"/>
    <w:rsid w:val="00C1560A"/>
    <w:rsid w:val="00C16B73"/>
    <w:rsid w:val="00C203DF"/>
    <w:rsid w:val="00C20471"/>
    <w:rsid w:val="00C20785"/>
    <w:rsid w:val="00C2121A"/>
    <w:rsid w:val="00C21251"/>
    <w:rsid w:val="00C21489"/>
    <w:rsid w:val="00C21993"/>
    <w:rsid w:val="00C2219E"/>
    <w:rsid w:val="00C237B1"/>
    <w:rsid w:val="00C23CE4"/>
    <w:rsid w:val="00C2421C"/>
    <w:rsid w:val="00C24506"/>
    <w:rsid w:val="00C252F9"/>
    <w:rsid w:val="00C257C4"/>
    <w:rsid w:val="00C263E8"/>
    <w:rsid w:val="00C267FA"/>
    <w:rsid w:val="00C26DDE"/>
    <w:rsid w:val="00C27FAF"/>
    <w:rsid w:val="00C30B9D"/>
    <w:rsid w:val="00C30DB2"/>
    <w:rsid w:val="00C30FE4"/>
    <w:rsid w:val="00C318CC"/>
    <w:rsid w:val="00C31ACC"/>
    <w:rsid w:val="00C31E29"/>
    <w:rsid w:val="00C31E35"/>
    <w:rsid w:val="00C3232B"/>
    <w:rsid w:val="00C3264D"/>
    <w:rsid w:val="00C33053"/>
    <w:rsid w:val="00C335E8"/>
    <w:rsid w:val="00C33712"/>
    <w:rsid w:val="00C338A4"/>
    <w:rsid w:val="00C33A29"/>
    <w:rsid w:val="00C33C78"/>
    <w:rsid w:val="00C33DD6"/>
    <w:rsid w:val="00C34AF3"/>
    <w:rsid w:val="00C35E92"/>
    <w:rsid w:val="00C361DA"/>
    <w:rsid w:val="00C36D92"/>
    <w:rsid w:val="00C371B1"/>
    <w:rsid w:val="00C37F44"/>
    <w:rsid w:val="00C37FB8"/>
    <w:rsid w:val="00C410D6"/>
    <w:rsid w:val="00C413CB"/>
    <w:rsid w:val="00C417D4"/>
    <w:rsid w:val="00C41B8E"/>
    <w:rsid w:val="00C42018"/>
    <w:rsid w:val="00C420B1"/>
    <w:rsid w:val="00C42DA9"/>
    <w:rsid w:val="00C43193"/>
    <w:rsid w:val="00C435AE"/>
    <w:rsid w:val="00C43A4C"/>
    <w:rsid w:val="00C43D91"/>
    <w:rsid w:val="00C44B98"/>
    <w:rsid w:val="00C44CC0"/>
    <w:rsid w:val="00C46594"/>
    <w:rsid w:val="00C46F23"/>
    <w:rsid w:val="00C47128"/>
    <w:rsid w:val="00C4753A"/>
    <w:rsid w:val="00C47A10"/>
    <w:rsid w:val="00C514CE"/>
    <w:rsid w:val="00C518ED"/>
    <w:rsid w:val="00C51EEF"/>
    <w:rsid w:val="00C520F0"/>
    <w:rsid w:val="00C5244B"/>
    <w:rsid w:val="00C525BE"/>
    <w:rsid w:val="00C525C6"/>
    <w:rsid w:val="00C5359C"/>
    <w:rsid w:val="00C539E2"/>
    <w:rsid w:val="00C551EC"/>
    <w:rsid w:val="00C560A4"/>
    <w:rsid w:val="00C564B5"/>
    <w:rsid w:val="00C56831"/>
    <w:rsid w:val="00C56C6A"/>
    <w:rsid w:val="00C57219"/>
    <w:rsid w:val="00C57957"/>
    <w:rsid w:val="00C60470"/>
    <w:rsid w:val="00C6151C"/>
    <w:rsid w:val="00C6216A"/>
    <w:rsid w:val="00C647D4"/>
    <w:rsid w:val="00C64E80"/>
    <w:rsid w:val="00C6531B"/>
    <w:rsid w:val="00C6606C"/>
    <w:rsid w:val="00C668A8"/>
    <w:rsid w:val="00C669F2"/>
    <w:rsid w:val="00C67089"/>
    <w:rsid w:val="00C67315"/>
    <w:rsid w:val="00C67320"/>
    <w:rsid w:val="00C67859"/>
    <w:rsid w:val="00C679E1"/>
    <w:rsid w:val="00C67A0F"/>
    <w:rsid w:val="00C67E13"/>
    <w:rsid w:val="00C701C6"/>
    <w:rsid w:val="00C7085D"/>
    <w:rsid w:val="00C70C79"/>
    <w:rsid w:val="00C711D5"/>
    <w:rsid w:val="00C7175B"/>
    <w:rsid w:val="00C7181B"/>
    <w:rsid w:val="00C71FC1"/>
    <w:rsid w:val="00C72B2C"/>
    <w:rsid w:val="00C730F6"/>
    <w:rsid w:val="00C74297"/>
    <w:rsid w:val="00C748B8"/>
    <w:rsid w:val="00C74C0D"/>
    <w:rsid w:val="00C76491"/>
    <w:rsid w:val="00C76B0B"/>
    <w:rsid w:val="00C76D06"/>
    <w:rsid w:val="00C7753D"/>
    <w:rsid w:val="00C804F5"/>
    <w:rsid w:val="00C80DF4"/>
    <w:rsid w:val="00C811A4"/>
    <w:rsid w:val="00C814CD"/>
    <w:rsid w:val="00C8192A"/>
    <w:rsid w:val="00C82A89"/>
    <w:rsid w:val="00C82D75"/>
    <w:rsid w:val="00C832C4"/>
    <w:rsid w:val="00C83330"/>
    <w:rsid w:val="00C83451"/>
    <w:rsid w:val="00C83EE3"/>
    <w:rsid w:val="00C842DF"/>
    <w:rsid w:val="00C8509B"/>
    <w:rsid w:val="00C85430"/>
    <w:rsid w:val="00C8580A"/>
    <w:rsid w:val="00C858DA"/>
    <w:rsid w:val="00C85ACD"/>
    <w:rsid w:val="00C85CA9"/>
    <w:rsid w:val="00C8660D"/>
    <w:rsid w:val="00C87847"/>
    <w:rsid w:val="00C87C7A"/>
    <w:rsid w:val="00C87E8C"/>
    <w:rsid w:val="00C9044A"/>
    <w:rsid w:val="00C9053B"/>
    <w:rsid w:val="00C905E5"/>
    <w:rsid w:val="00C906DA"/>
    <w:rsid w:val="00C907D4"/>
    <w:rsid w:val="00C90AD4"/>
    <w:rsid w:val="00C91CE4"/>
    <w:rsid w:val="00C91F43"/>
    <w:rsid w:val="00C92711"/>
    <w:rsid w:val="00C927E9"/>
    <w:rsid w:val="00C93226"/>
    <w:rsid w:val="00C93382"/>
    <w:rsid w:val="00C93859"/>
    <w:rsid w:val="00C94007"/>
    <w:rsid w:val="00C94049"/>
    <w:rsid w:val="00C94381"/>
    <w:rsid w:val="00C94FAF"/>
    <w:rsid w:val="00C958B0"/>
    <w:rsid w:val="00C95D12"/>
    <w:rsid w:val="00C95E84"/>
    <w:rsid w:val="00C96056"/>
    <w:rsid w:val="00C96646"/>
    <w:rsid w:val="00C96B31"/>
    <w:rsid w:val="00C96DAF"/>
    <w:rsid w:val="00C97006"/>
    <w:rsid w:val="00C978C6"/>
    <w:rsid w:val="00C97F34"/>
    <w:rsid w:val="00CA0341"/>
    <w:rsid w:val="00CA0C56"/>
    <w:rsid w:val="00CA0E6D"/>
    <w:rsid w:val="00CA1A37"/>
    <w:rsid w:val="00CA1B78"/>
    <w:rsid w:val="00CA21C8"/>
    <w:rsid w:val="00CA22DD"/>
    <w:rsid w:val="00CA2EE2"/>
    <w:rsid w:val="00CA3433"/>
    <w:rsid w:val="00CA3B43"/>
    <w:rsid w:val="00CA3F5F"/>
    <w:rsid w:val="00CA41DC"/>
    <w:rsid w:val="00CA4C09"/>
    <w:rsid w:val="00CA53CE"/>
    <w:rsid w:val="00CA589F"/>
    <w:rsid w:val="00CA5BA7"/>
    <w:rsid w:val="00CA5EE3"/>
    <w:rsid w:val="00CA69A3"/>
    <w:rsid w:val="00CA6F73"/>
    <w:rsid w:val="00CA7029"/>
    <w:rsid w:val="00CA77B4"/>
    <w:rsid w:val="00CA7AEE"/>
    <w:rsid w:val="00CA7D8A"/>
    <w:rsid w:val="00CB08D8"/>
    <w:rsid w:val="00CB112C"/>
    <w:rsid w:val="00CB151E"/>
    <w:rsid w:val="00CB1819"/>
    <w:rsid w:val="00CB18BD"/>
    <w:rsid w:val="00CB2747"/>
    <w:rsid w:val="00CB2919"/>
    <w:rsid w:val="00CB2CDA"/>
    <w:rsid w:val="00CB329E"/>
    <w:rsid w:val="00CB3448"/>
    <w:rsid w:val="00CB3F02"/>
    <w:rsid w:val="00CB425A"/>
    <w:rsid w:val="00CB4F17"/>
    <w:rsid w:val="00CB51C2"/>
    <w:rsid w:val="00CB51F2"/>
    <w:rsid w:val="00CB62B5"/>
    <w:rsid w:val="00CB66FD"/>
    <w:rsid w:val="00CB7360"/>
    <w:rsid w:val="00CB7A2B"/>
    <w:rsid w:val="00CC0B00"/>
    <w:rsid w:val="00CC1B2E"/>
    <w:rsid w:val="00CC2631"/>
    <w:rsid w:val="00CC2846"/>
    <w:rsid w:val="00CC29BF"/>
    <w:rsid w:val="00CC3065"/>
    <w:rsid w:val="00CC36F3"/>
    <w:rsid w:val="00CC3F57"/>
    <w:rsid w:val="00CC405F"/>
    <w:rsid w:val="00CC4067"/>
    <w:rsid w:val="00CC6FC4"/>
    <w:rsid w:val="00CD0911"/>
    <w:rsid w:val="00CD096F"/>
    <w:rsid w:val="00CD0CB4"/>
    <w:rsid w:val="00CD157C"/>
    <w:rsid w:val="00CD193B"/>
    <w:rsid w:val="00CD199B"/>
    <w:rsid w:val="00CD1ADA"/>
    <w:rsid w:val="00CD2654"/>
    <w:rsid w:val="00CD2C5F"/>
    <w:rsid w:val="00CD31A9"/>
    <w:rsid w:val="00CD37C9"/>
    <w:rsid w:val="00CD3954"/>
    <w:rsid w:val="00CD3995"/>
    <w:rsid w:val="00CD435F"/>
    <w:rsid w:val="00CD485E"/>
    <w:rsid w:val="00CD4E9F"/>
    <w:rsid w:val="00CD53E4"/>
    <w:rsid w:val="00CD56F7"/>
    <w:rsid w:val="00CD650B"/>
    <w:rsid w:val="00CD6B08"/>
    <w:rsid w:val="00CD7113"/>
    <w:rsid w:val="00CD71CE"/>
    <w:rsid w:val="00CD7F8E"/>
    <w:rsid w:val="00CE272B"/>
    <w:rsid w:val="00CE2F5C"/>
    <w:rsid w:val="00CE3533"/>
    <w:rsid w:val="00CE3CE6"/>
    <w:rsid w:val="00CE3E30"/>
    <w:rsid w:val="00CE47E1"/>
    <w:rsid w:val="00CE5A58"/>
    <w:rsid w:val="00CE5D24"/>
    <w:rsid w:val="00CE5DF7"/>
    <w:rsid w:val="00CE5E86"/>
    <w:rsid w:val="00CE634C"/>
    <w:rsid w:val="00CE7B22"/>
    <w:rsid w:val="00CE7D7C"/>
    <w:rsid w:val="00CF01D2"/>
    <w:rsid w:val="00CF037B"/>
    <w:rsid w:val="00CF0518"/>
    <w:rsid w:val="00CF0AAF"/>
    <w:rsid w:val="00CF107E"/>
    <w:rsid w:val="00CF117A"/>
    <w:rsid w:val="00CF11DF"/>
    <w:rsid w:val="00CF1444"/>
    <w:rsid w:val="00CF159D"/>
    <w:rsid w:val="00CF1834"/>
    <w:rsid w:val="00CF2264"/>
    <w:rsid w:val="00CF331A"/>
    <w:rsid w:val="00CF3B6A"/>
    <w:rsid w:val="00CF3DDE"/>
    <w:rsid w:val="00CF4597"/>
    <w:rsid w:val="00CF4AD0"/>
    <w:rsid w:val="00CF4E35"/>
    <w:rsid w:val="00CF4F8C"/>
    <w:rsid w:val="00CF51F3"/>
    <w:rsid w:val="00CF52BB"/>
    <w:rsid w:val="00CF5308"/>
    <w:rsid w:val="00CF55BD"/>
    <w:rsid w:val="00CF59BA"/>
    <w:rsid w:val="00CF6868"/>
    <w:rsid w:val="00CF6C36"/>
    <w:rsid w:val="00CF6E3F"/>
    <w:rsid w:val="00CF7539"/>
    <w:rsid w:val="00CF7B6E"/>
    <w:rsid w:val="00CF7D82"/>
    <w:rsid w:val="00CF7E1A"/>
    <w:rsid w:val="00CF7FCB"/>
    <w:rsid w:val="00D001BD"/>
    <w:rsid w:val="00D003B4"/>
    <w:rsid w:val="00D00802"/>
    <w:rsid w:val="00D00FE2"/>
    <w:rsid w:val="00D01A39"/>
    <w:rsid w:val="00D01A8E"/>
    <w:rsid w:val="00D046A0"/>
    <w:rsid w:val="00D05AEA"/>
    <w:rsid w:val="00D064E8"/>
    <w:rsid w:val="00D068EE"/>
    <w:rsid w:val="00D06CBB"/>
    <w:rsid w:val="00D07B21"/>
    <w:rsid w:val="00D1030F"/>
    <w:rsid w:val="00D1057F"/>
    <w:rsid w:val="00D10950"/>
    <w:rsid w:val="00D10A83"/>
    <w:rsid w:val="00D10F19"/>
    <w:rsid w:val="00D11C2B"/>
    <w:rsid w:val="00D123F2"/>
    <w:rsid w:val="00D1358A"/>
    <w:rsid w:val="00D13A0F"/>
    <w:rsid w:val="00D143FE"/>
    <w:rsid w:val="00D14479"/>
    <w:rsid w:val="00D144DD"/>
    <w:rsid w:val="00D15476"/>
    <w:rsid w:val="00D15956"/>
    <w:rsid w:val="00D15AFD"/>
    <w:rsid w:val="00D15B15"/>
    <w:rsid w:val="00D15B8C"/>
    <w:rsid w:val="00D165DC"/>
    <w:rsid w:val="00D168D8"/>
    <w:rsid w:val="00D16E30"/>
    <w:rsid w:val="00D17223"/>
    <w:rsid w:val="00D17B89"/>
    <w:rsid w:val="00D17BB4"/>
    <w:rsid w:val="00D17D45"/>
    <w:rsid w:val="00D17E51"/>
    <w:rsid w:val="00D20426"/>
    <w:rsid w:val="00D20D6B"/>
    <w:rsid w:val="00D214C1"/>
    <w:rsid w:val="00D21E25"/>
    <w:rsid w:val="00D22619"/>
    <w:rsid w:val="00D228DD"/>
    <w:rsid w:val="00D22995"/>
    <w:rsid w:val="00D229E9"/>
    <w:rsid w:val="00D236EB"/>
    <w:rsid w:val="00D2409F"/>
    <w:rsid w:val="00D246BE"/>
    <w:rsid w:val="00D24F21"/>
    <w:rsid w:val="00D2518A"/>
    <w:rsid w:val="00D25A3D"/>
    <w:rsid w:val="00D25BF8"/>
    <w:rsid w:val="00D260C2"/>
    <w:rsid w:val="00D2692A"/>
    <w:rsid w:val="00D26F3E"/>
    <w:rsid w:val="00D3122C"/>
    <w:rsid w:val="00D314CF"/>
    <w:rsid w:val="00D316B4"/>
    <w:rsid w:val="00D3181B"/>
    <w:rsid w:val="00D324F3"/>
    <w:rsid w:val="00D32828"/>
    <w:rsid w:val="00D32D65"/>
    <w:rsid w:val="00D331F3"/>
    <w:rsid w:val="00D3323C"/>
    <w:rsid w:val="00D335DF"/>
    <w:rsid w:val="00D338DF"/>
    <w:rsid w:val="00D34427"/>
    <w:rsid w:val="00D34879"/>
    <w:rsid w:val="00D34A11"/>
    <w:rsid w:val="00D34FB6"/>
    <w:rsid w:val="00D3515D"/>
    <w:rsid w:val="00D351FA"/>
    <w:rsid w:val="00D3529A"/>
    <w:rsid w:val="00D3691E"/>
    <w:rsid w:val="00D36B01"/>
    <w:rsid w:val="00D36EA7"/>
    <w:rsid w:val="00D379F7"/>
    <w:rsid w:val="00D40A38"/>
    <w:rsid w:val="00D40BD5"/>
    <w:rsid w:val="00D4107D"/>
    <w:rsid w:val="00D41134"/>
    <w:rsid w:val="00D416F5"/>
    <w:rsid w:val="00D43D31"/>
    <w:rsid w:val="00D43D7C"/>
    <w:rsid w:val="00D43FF2"/>
    <w:rsid w:val="00D44253"/>
    <w:rsid w:val="00D4479E"/>
    <w:rsid w:val="00D4541B"/>
    <w:rsid w:val="00D45942"/>
    <w:rsid w:val="00D46282"/>
    <w:rsid w:val="00D467EA"/>
    <w:rsid w:val="00D46818"/>
    <w:rsid w:val="00D46852"/>
    <w:rsid w:val="00D46A5C"/>
    <w:rsid w:val="00D46AAA"/>
    <w:rsid w:val="00D47889"/>
    <w:rsid w:val="00D47A5F"/>
    <w:rsid w:val="00D5063E"/>
    <w:rsid w:val="00D508C7"/>
    <w:rsid w:val="00D51177"/>
    <w:rsid w:val="00D517D1"/>
    <w:rsid w:val="00D51F46"/>
    <w:rsid w:val="00D5266B"/>
    <w:rsid w:val="00D53539"/>
    <w:rsid w:val="00D53A64"/>
    <w:rsid w:val="00D54135"/>
    <w:rsid w:val="00D5413C"/>
    <w:rsid w:val="00D5458E"/>
    <w:rsid w:val="00D54646"/>
    <w:rsid w:val="00D55CB6"/>
    <w:rsid w:val="00D56A22"/>
    <w:rsid w:val="00D577FA"/>
    <w:rsid w:val="00D57F8B"/>
    <w:rsid w:val="00D60619"/>
    <w:rsid w:val="00D61CE0"/>
    <w:rsid w:val="00D62310"/>
    <w:rsid w:val="00D63121"/>
    <w:rsid w:val="00D63462"/>
    <w:rsid w:val="00D63D14"/>
    <w:rsid w:val="00D64AF7"/>
    <w:rsid w:val="00D64C4C"/>
    <w:rsid w:val="00D65312"/>
    <w:rsid w:val="00D66510"/>
    <w:rsid w:val="00D66D24"/>
    <w:rsid w:val="00D679BF"/>
    <w:rsid w:val="00D67AEC"/>
    <w:rsid w:val="00D67BF5"/>
    <w:rsid w:val="00D70062"/>
    <w:rsid w:val="00D7043F"/>
    <w:rsid w:val="00D706E0"/>
    <w:rsid w:val="00D7087B"/>
    <w:rsid w:val="00D71BB8"/>
    <w:rsid w:val="00D72255"/>
    <w:rsid w:val="00D73754"/>
    <w:rsid w:val="00D73C0B"/>
    <w:rsid w:val="00D74EFD"/>
    <w:rsid w:val="00D74F9C"/>
    <w:rsid w:val="00D74FDA"/>
    <w:rsid w:val="00D74FE5"/>
    <w:rsid w:val="00D75080"/>
    <w:rsid w:val="00D758AF"/>
    <w:rsid w:val="00D759AC"/>
    <w:rsid w:val="00D75B42"/>
    <w:rsid w:val="00D75EF1"/>
    <w:rsid w:val="00D764A1"/>
    <w:rsid w:val="00D767F0"/>
    <w:rsid w:val="00D775BD"/>
    <w:rsid w:val="00D7793A"/>
    <w:rsid w:val="00D779B0"/>
    <w:rsid w:val="00D77BFA"/>
    <w:rsid w:val="00D8022B"/>
    <w:rsid w:val="00D8037C"/>
    <w:rsid w:val="00D80F19"/>
    <w:rsid w:val="00D81E70"/>
    <w:rsid w:val="00D82115"/>
    <w:rsid w:val="00D82564"/>
    <w:rsid w:val="00D83419"/>
    <w:rsid w:val="00D8346F"/>
    <w:rsid w:val="00D83C31"/>
    <w:rsid w:val="00D83E5F"/>
    <w:rsid w:val="00D85A36"/>
    <w:rsid w:val="00D865BE"/>
    <w:rsid w:val="00D86602"/>
    <w:rsid w:val="00D8676A"/>
    <w:rsid w:val="00D878D0"/>
    <w:rsid w:val="00D87D7D"/>
    <w:rsid w:val="00D90E16"/>
    <w:rsid w:val="00D90FD8"/>
    <w:rsid w:val="00D9162E"/>
    <w:rsid w:val="00D916CC"/>
    <w:rsid w:val="00D91AF0"/>
    <w:rsid w:val="00D91B93"/>
    <w:rsid w:val="00D91D5C"/>
    <w:rsid w:val="00D925A7"/>
    <w:rsid w:val="00D93479"/>
    <w:rsid w:val="00D937DD"/>
    <w:rsid w:val="00D938BE"/>
    <w:rsid w:val="00D93A9E"/>
    <w:rsid w:val="00D94B1B"/>
    <w:rsid w:val="00D95547"/>
    <w:rsid w:val="00D955BA"/>
    <w:rsid w:val="00D964E1"/>
    <w:rsid w:val="00D96853"/>
    <w:rsid w:val="00D96877"/>
    <w:rsid w:val="00D96C81"/>
    <w:rsid w:val="00D96E41"/>
    <w:rsid w:val="00D97815"/>
    <w:rsid w:val="00D97DCD"/>
    <w:rsid w:val="00DA036D"/>
    <w:rsid w:val="00DA126A"/>
    <w:rsid w:val="00DA1A18"/>
    <w:rsid w:val="00DA1C0C"/>
    <w:rsid w:val="00DA1D1E"/>
    <w:rsid w:val="00DA1EE0"/>
    <w:rsid w:val="00DA24D0"/>
    <w:rsid w:val="00DA295B"/>
    <w:rsid w:val="00DA2ABE"/>
    <w:rsid w:val="00DA2E5B"/>
    <w:rsid w:val="00DA2E8B"/>
    <w:rsid w:val="00DA345A"/>
    <w:rsid w:val="00DA38DA"/>
    <w:rsid w:val="00DA4490"/>
    <w:rsid w:val="00DA4D83"/>
    <w:rsid w:val="00DA5137"/>
    <w:rsid w:val="00DA5569"/>
    <w:rsid w:val="00DA56A2"/>
    <w:rsid w:val="00DA5FC2"/>
    <w:rsid w:val="00DA651C"/>
    <w:rsid w:val="00DA6781"/>
    <w:rsid w:val="00DA6825"/>
    <w:rsid w:val="00DA69D5"/>
    <w:rsid w:val="00DA7936"/>
    <w:rsid w:val="00DA7F02"/>
    <w:rsid w:val="00DB070B"/>
    <w:rsid w:val="00DB194D"/>
    <w:rsid w:val="00DB2028"/>
    <w:rsid w:val="00DB2550"/>
    <w:rsid w:val="00DB2847"/>
    <w:rsid w:val="00DB2929"/>
    <w:rsid w:val="00DB4207"/>
    <w:rsid w:val="00DB4278"/>
    <w:rsid w:val="00DB4731"/>
    <w:rsid w:val="00DB4C60"/>
    <w:rsid w:val="00DB54BE"/>
    <w:rsid w:val="00DB59A9"/>
    <w:rsid w:val="00DB5AF6"/>
    <w:rsid w:val="00DB5B5D"/>
    <w:rsid w:val="00DB73CD"/>
    <w:rsid w:val="00DB77E3"/>
    <w:rsid w:val="00DB7CBA"/>
    <w:rsid w:val="00DB7D78"/>
    <w:rsid w:val="00DC041D"/>
    <w:rsid w:val="00DC0749"/>
    <w:rsid w:val="00DC0A0E"/>
    <w:rsid w:val="00DC0EB2"/>
    <w:rsid w:val="00DC1552"/>
    <w:rsid w:val="00DC1733"/>
    <w:rsid w:val="00DC19CF"/>
    <w:rsid w:val="00DC1DCA"/>
    <w:rsid w:val="00DC21A7"/>
    <w:rsid w:val="00DC2A61"/>
    <w:rsid w:val="00DC30D6"/>
    <w:rsid w:val="00DC360C"/>
    <w:rsid w:val="00DC3C0B"/>
    <w:rsid w:val="00DC40F1"/>
    <w:rsid w:val="00DC40F6"/>
    <w:rsid w:val="00DC426A"/>
    <w:rsid w:val="00DC4408"/>
    <w:rsid w:val="00DC46D7"/>
    <w:rsid w:val="00DC4750"/>
    <w:rsid w:val="00DC4B77"/>
    <w:rsid w:val="00DC4E61"/>
    <w:rsid w:val="00DC5B8F"/>
    <w:rsid w:val="00DC5F36"/>
    <w:rsid w:val="00DC5F3D"/>
    <w:rsid w:val="00DC617B"/>
    <w:rsid w:val="00DC63DF"/>
    <w:rsid w:val="00DC6C2A"/>
    <w:rsid w:val="00DC6D7D"/>
    <w:rsid w:val="00DC6E42"/>
    <w:rsid w:val="00DC718C"/>
    <w:rsid w:val="00DD05C5"/>
    <w:rsid w:val="00DD0799"/>
    <w:rsid w:val="00DD0C2E"/>
    <w:rsid w:val="00DD109F"/>
    <w:rsid w:val="00DD18CD"/>
    <w:rsid w:val="00DD2194"/>
    <w:rsid w:val="00DD348B"/>
    <w:rsid w:val="00DD3BC6"/>
    <w:rsid w:val="00DD545F"/>
    <w:rsid w:val="00DD626B"/>
    <w:rsid w:val="00DD6A8C"/>
    <w:rsid w:val="00DD6CBF"/>
    <w:rsid w:val="00DD716E"/>
    <w:rsid w:val="00DD7AF2"/>
    <w:rsid w:val="00DD7C47"/>
    <w:rsid w:val="00DE02DB"/>
    <w:rsid w:val="00DE14F0"/>
    <w:rsid w:val="00DE1AB9"/>
    <w:rsid w:val="00DE3A8B"/>
    <w:rsid w:val="00DE6342"/>
    <w:rsid w:val="00DE6DB8"/>
    <w:rsid w:val="00DE76B1"/>
    <w:rsid w:val="00DE7BB1"/>
    <w:rsid w:val="00DE7F79"/>
    <w:rsid w:val="00DF07B0"/>
    <w:rsid w:val="00DF0CD4"/>
    <w:rsid w:val="00DF1A10"/>
    <w:rsid w:val="00DF22FC"/>
    <w:rsid w:val="00DF2688"/>
    <w:rsid w:val="00DF2FBC"/>
    <w:rsid w:val="00DF33B1"/>
    <w:rsid w:val="00DF3684"/>
    <w:rsid w:val="00DF4FA7"/>
    <w:rsid w:val="00DF5161"/>
    <w:rsid w:val="00DF51F6"/>
    <w:rsid w:val="00DF6F5A"/>
    <w:rsid w:val="00DF6F74"/>
    <w:rsid w:val="00DF6FA3"/>
    <w:rsid w:val="00DF7C15"/>
    <w:rsid w:val="00E00DC7"/>
    <w:rsid w:val="00E00EA1"/>
    <w:rsid w:val="00E01142"/>
    <w:rsid w:val="00E014FD"/>
    <w:rsid w:val="00E01B41"/>
    <w:rsid w:val="00E02101"/>
    <w:rsid w:val="00E0276D"/>
    <w:rsid w:val="00E0305D"/>
    <w:rsid w:val="00E03E32"/>
    <w:rsid w:val="00E0439F"/>
    <w:rsid w:val="00E049DB"/>
    <w:rsid w:val="00E04B11"/>
    <w:rsid w:val="00E04F12"/>
    <w:rsid w:val="00E057EB"/>
    <w:rsid w:val="00E05A45"/>
    <w:rsid w:val="00E05A46"/>
    <w:rsid w:val="00E06847"/>
    <w:rsid w:val="00E07BBE"/>
    <w:rsid w:val="00E1035D"/>
    <w:rsid w:val="00E108D1"/>
    <w:rsid w:val="00E10DFF"/>
    <w:rsid w:val="00E116A8"/>
    <w:rsid w:val="00E11A28"/>
    <w:rsid w:val="00E11AF0"/>
    <w:rsid w:val="00E11C16"/>
    <w:rsid w:val="00E11CAD"/>
    <w:rsid w:val="00E12251"/>
    <w:rsid w:val="00E122B9"/>
    <w:rsid w:val="00E1250C"/>
    <w:rsid w:val="00E127A5"/>
    <w:rsid w:val="00E127FC"/>
    <w:rsid w:val="00E12852"/>
    <w:rsid w:val="00E13316"/>
    <w:rsid w:val="00E136B3"/>
    <w:rsid w:val="00E13F48"/>
    <w:rsid w:val="00E14285"/>
    <w:rsid w:val="00E14BA2"/>
    <w:rsid w:val="00E15254"/>
    <w:rsid w:val="00E15318"/>
    <w:rsid w:val="00E155F9"/>
    <w:rsid w:val="00E15644"/>
    <w:rsid w:val="00E15E9D"/>
    <w:rsid w:val="00E15F11"/>
    <w:rsid w:val="00E171B5"/>
    <w:rsid w:val="00E174BF"/>
    <w:rsid w:val="00E17F17"/>
    <w:rsid w:val="00E200CB"/>
    <w:rsid w:val="00E20C78"/>
    <w:rsid w:val="00E210EB"/>
    <w:rsid w:val="00E21692"/>
    <w:rsid w:val="00E217DA"/>
    <w:rsid w:val="00E2192E"/>
    <w:rsid w:val="00E22833"/>
    <w:rsid w:val="00E22AAC"/>
    <w:rsid w:val="00E22C7B"/>
    <w:rsid w:val="00E22E70"/>
    <w:rsid w:val="00E2388B"/>
    <w:rsid w:val="00E2481C"/>
    <w:rsid w:val="00E257A2"/>
    <w:rsid w:val="00E25AD2"/>
    <w:rsid w:val="00E25D20"/>
    <w:rsid w:val="00E25FB9"/>
    <w:rsid w:val="00E26A9E"/>
    <w:rsid w:val="00E27B92"/>
    <w:rsid w:val="00E27DD3"/>
    <w:rsid w:val="00E27EF6"/>
    <w:rsid w:val="00E303B4"/>
    <w:rsid w:val="00E309DB"/>
    <w:rsid w:val="00E30A0B"/>
    <w:rsid w:val="00E30B9F"/>
    <w:rsid w:val="00E31404"/>
    <w:rsid w:val="00E31594"/>
    <w:rsid w:val="00E317A7"/>
    <w:rsid w:val="00E32273"/>
    <w:rsid w:val="00E32B46"/>
    <w:rsid w:val="00E32D40"/>
    <w:rsid w:val="00E333A4"/>
    <w:rsid w:val="00E335E9"/>
    <w:rsid w:val="00E337D6"/>
    <w:rsid w:val="00E34472"/>
    <w:rsid w:val="00E346F9"/>
    <w:rsid w:val="00E3499F"/>
    <w:rsid w:val="00E3509F"/>
    <w:rsid w:val="00E35B5B"/>
    <w:rsid w:val="00E364B0"/>
    <w:rsid w:val="00E364CB"/>
    <w:rsid w:val="00E36B79"/>
    <w:rsid w:val="00E37014"/>
    <w:rsid w:val="00E374D6"/>
    <w:rsid w:val="00E40218"/>
    <w:rsid w:val="00E40650"/>
    <w:rsid w:val="00E40D94"/>
    <w:rsid w:val="00E4183A"/>
    <w:rsid w:val="00E41980"/>
    <w:rsid w:val="00E41CA8"/>
    <w:rsid w:val="00E4211F"/>
    <w:rsid w:val="00E42CF3"/>
    <w:rsid w:val="00E4413A"/>
    <w:rsid w:val="00E443F7"/>
    <w:rsid w:val="00E445F1"/>
    <w:rsid w:val="00E44956"/>
    <w:rsid w:val="00E4530C"/>
    <w:rsid w:val="00E4542F"/>
    <w:rsid w:val="00E46AE6"/>
    <w:rsid w:val="00E46F3B"/>
    <w:rsid w:val="00E47183"/>
    <w:rsid w:val="00E479D0"/>
    <w:rsid w:val="00E47B15"/>
    <w:rsid w:val="00E5012B"/>
    <w:rsid w:val="00E50840"/>
    <w:rsid w:val="00E51036"/>
    <w:rsid w:val="00E515B0"/>
    <w:rsid w:val="00E52412"/>
    <w:rsid w:val="00E52B9E"/>
    <w:rsid w:val="00E53235"/>
    <w:rsid w:val="00E543BF"/>
    <w:rsid w:val="00E5496E"/>
    <w:rsid w:val="00E54AE2"/>
    <w:rsid w:val="00E55241"/>
    <w:rsid w:val="00E556A9"/>
    <w:rsid w:val="00E556F2"/>
    <w:rsid w:val="00E55E86"/>
    <w:rsid w:val="00E5627D"/>
    <w:rsid w:val="00E56282"/>
    <w:rsid w:val="00E573E7"/>
    <w:rsid w:val="00E57657"/>
    <w:rsid w:val="00E57AFD"/>
    <w:rsid w:val="00E57D61"/>
    <w:rsid w:val="00E60746"/>
    <w:rsid w:val="00E623CD"/>
    <w:rsid w:val="00E63FBD"/>
    <w:rsid w:val="00E63FDD"/>
    <w:rsid w:val="00E643A1"/>
    <w:rsid w:val="00E6447D"/>
    <w:rsid w:val="00E65813"/>
    <w:rsid w:val="00E672AE"/>
    <w:rsid w:val="00E67385"/>
    <w:rsid w:val="00E67864"/>
    <w:rsid w:val="00E700CB"/>
    <w:rsid w:val="00E7073C"/>
    <w:rsid w:val="00E70853"/>
    <w:rsid w:val="00E71EE2"/>
    <w:rsid w:val="00E72489"/>
    <w:rsid w:val="00E74129"/>
    <w:rsid w:val="00E747FC"/>
    <w:rsid w:val="00E74C98"/>
    <w:rsid w:val="00E74FEB"/>
    <w:rsid w:val="00E75339"/>
    <w:rsid w:val="00E756A4"/>
    <w:rsid w:val="00E75C01"/>
    <w:rsid w:val="00E778C0"/>
    <w:rsid w:val="00E805D9"/>
    <w:rsid w:val="00E80E85"/>
    <w:rsid w:val="00E80F80"/>
    <w:rsid w:val="00E81068"/>
    <w:rsid w:val="00E83085"/>
    <w:rsid w:val="00E831D8"/>
    <w:rsid w:val="00E834A1"/>
    <w:rsid w:val="00E83563"/>
    <w:rsid w:val="00E8356D"/>
    <w:rsid w:val="00E83CAB"/>
    <w:rsid w:val="00E84DAA"/>
    <w:rsid w:val="00E85BB7"/>
    <w:rsid w:val="00E85ECE"/>
    <w:rsid w:val="00E86519"/>
    <w:rsid w:val="00E86617"/>
    <w:rsid w:val="00E868F6"/>
    <w:rsid w:val="00E87226"/>
    <w:rsid w:val="00E907B2"/>
    <w:rsid w:val="00E90CD0"/>
    <w:rsid w:val="00E90E3D"/>
    <w:rsid w:val="00E910AA"/>
    <w:rsid w:val="00E910AD"/>
    <w:rsid w:val="00E93074"/>
    <w:rsid w:val="00E93357"/>
    <w:rsid w:val="00E934E4"/>
    <w:rsid w:val="00E93D10"/>
    <w:rsid w:val="00E943D8"/>
    <w:rsid w:val="00E943E2"/>
    <w:rsid w:val="00E94A95"/>
    <w:rsid w:val="00E94D92"/>
    <w:rsid w:val="00E94F06"/>
    <w:rsid w:val="00E95639"/>
    <w:rsid w:val="00E958EC"/>
    <w:rsid w:val="00E96C2A"/>
    <w:rsid w:val="00E96E7A"/>
    <w:rsid w:val="00E974F9"/>
    <w:rsid w:val="00E97582"/>
    <w:rsid w:val="00E97821"/>
    <w:rsid w:val="00E97841"/>
    <w:rsid w:val="00E97E50"/>
    <w:rsid w:val="00EA0727"/>
    <w:rsid w:val="00EA081B"/>
    <w:rsid w:val="00EA0ACE"/>
    <w:rsid w:val="00EA118C"/>
    <w:rsid w:val="00EA136E"/>
    <w:rsid w:val="00EA16EC"/>
    <w:rsid w:val="00EA248D"/>
    <w:rsid w:val="00EA2591"/>
    <w:rsid w:val="00EA2600"/>
    <w:rsid w:val="00EA36C8"/>
    <w:rsid w:val="00EA381C"/>
    <w:rsid w:val="00EA3E03"/>
    <w:rsid w:val="00EA420F"/>
    <w:rsid w:val="00EA432C"/>
    <w:rsid w:val="00EA546F"/>
    <w:rsid w:val="00EA5ED3"/>
    <w:rsid w:val="00EA6B78"/>
    <w:rsid w:val="00EA6F25"/>
    <w:rsid w:val="00EA752B"/>
    <w:rsid w:val="00EA7911"/>
    <w:rsid w:val="00EA7ACE"/>
    <w:rsid w:val="00EB04D2"/>
    <w:rsid w:val="00EB04DC"/>
    <w:rsid w:val="00EB0C8B"/>
    <w:rsid w:val="00EB1292"/>
    <w:rsid w:val="00EB1479"/>
    <w:rsid w:val="00EB1BED"/>
    <w:rsid w:val="00EB1D5E"/>
    <w:rsid w:val="00EB1EBC"/>
    <w:rsid w:val="00EB20BD"/>
    <w:rsid w:val="00EB2224"/>
    <w:rsid w:val="00EB23BA"/>
    <w:rsid w:val="00EB27C1"/>
    <w:rsid w:val="00EB28C5"/>
    <w:rsid w:val="00EB3018"/>
    <w:rsid w:val="00EB339F"/>
    <w:rsid w:val="00EB3948"/>
    <w:rsid w:val="00EB41DF"/>
    <w:rsid w:val="00EB52E0"/>
    <w:rsid w:val="00EB532C"/>
    <w:rsid w:val="00EB625A"/>
    <w:rsid w:val="00EB62BC"/>
    <w:rsid w:val="00EB7200"/>
    <w:rsid w:val="00EB7393"/>
    <w:rsid w:val="00EB7E6C"/>
    <w:rsid w:val="00EC024F"/>
    <w:rsid w:val="00EC03A8"/>
    <w:rsid w:val="00EC06E7"/>
    <w:rsid w:val="00EC11BF"/>
    <w:rsid w:val="00EC15B5"/>
    <w:rsid w:val="00EC1B12"/>
    <w:rsid w:val="00EC1EE6"/>
    <w:rsid w:val="00EC204F"/>
    <w:rsid w:val="00EC286E"/>
    <w:rsid w:val="00EC2C95"/>
    <w:rsid w:val="00EC2F07"/>
    <w:rsid w:val="00EC3FD2"/>
    <w:rsid w:val="00EC6112"/>
    <w:rsid w:val="00EC65E4"/>
    <w:rsid w:val="00EC715E"/>
    <w:rsid w:val="00EC72C5"/>
    <w:rsid w:val="00ED0123"/>
    <w:rsid w:val="00ED0AC0"/>
    <w:rsid w:val="00ED0DB0"/>
    <w:rsid w:val="00ED1EDC"/>
    <w:rsid w:val="00ED2E3B"/>
    <w:rsid w:val="00ED313C"/>
    <w:rsid w:val="00ED3246"/>
    <w:rsid w:val="00ED3434"/>
    <w:rsid w:val="00ED3715"/>
    <w:rsid w:val="00ED3AD3"/>
    <w:rsid w:val="00ED3D16"/>
    <w:rsid w:val="00ED3D9A"/>
    <w:rsid w:val="00ED421D"/>
    <w:rsid w:val="00ED4726"/>
    <w:rsid w:val="00ED4F5B"/>
    <w:rsid w:val="00ED53CA"/>
    <w:rsid w:val="00ED5A47"/>
    <w:rsid w:val="00ED5EC9"/>
    <w:rsid w:val="00ED743D"/>
    <w:rsid w:val="00ED7484"/>
    <w:rsid w:val="00ED7827"/>
    <w:rsid w:val="00ED79FD"/>
    <w:rsid w:val="00EE0013"/>
    <w:rsid w:val="00EE068A"/>
    <w:rsid w:val="00EE07C7"/>
    <w:rsid w:val="00EE144D"/>
    <w:rsid w:val="00EE147F"/>
    <w:rsid w:val="00EE1C95"/>
    <w:rsid w:val="00EE2A27"/>
    <w:rsid w:val="00EE2A4F"/>
    <w:rsid w:val="00EE2E27"/>
    <w:rsid w:val="00EE2E85"/>
    <w:rsid w:val="00EE2F4F"/>
    <w:rsid w:val="00EE3080"/>
    <w:rsid w:val="00EE31C9"/>
    <w:rsid w:val="00EE3355"/>
    <w:rsid w:val="00EE33C4"/>
    <w:rsid w:val="00EE3719"/>
    <w:rsid w:val="00EE371E"/>
    <w:rsid w:val="00EE3896"/>
    <w:rsid w:val="00EE3A29"/>
    <w:rsid w:val="00EE53E4"/>
    <w:rsid w:val="00EE583B"/>
    <w:rsid w:val="00EE64FF"/>
    <w:rsid w:val="00EE6DF5"/>
    <w:rsid w:val="00EE7202"/>
    <w:rsid w:val="00EE75E3"/>
    <w:rsid w:val="00EE7995"/>
    <w:rsid w:val="00EF1678"/>
    <w:rsid w:val="00EF17AD"/>
    <w:rsid w:val="00EF1A13"/>
    <w:rsid w:val="00EF1CE2"/>
    <w:rsid w:val="00EF2C2F"/>
    <w:rsid w:val="00EF2F6C"/>
    <w:rsid w:val="00EF3DEF"/>
    <w:rsid w:val="00EF4FAD"/>
    <w:rsid w:val="00EF5F96"/>
    <w:rsid w:val="00EF66C9"/>
    <w:rsid w:val="00EF7B0C"/>
    <w:rsid w:val="00F002EA"/>
    <w:rsid w:val="00F013BE"/>
    <w:rsid w:val="00F01510"/>
    <w:rsid w:val="00F01597"/>
    <w:rsid w:val="00F01603"/>
    <w:rsid w:val="00F01638"/>
    <w:rsid w:val="00F018FA"/>
    <w:rsid w:val="00F01B3F"/>
    <w:rsid w:val="00F026CC"/>
    <w:rsid w:val="00F02BF3"/>
    <w:rsid w:val="00F0355B"/>
    <w:rsid w:val="00F03870"/>
    <w:rsid w:val="00F0401E"/>
    <w:rsid w:val="00F0429E"/>
    <w:rsid w:val="00F0434D"/>
    <w:rsid w:val="00F043CE"/>
    <w:rsid w:val="00F04C79"/>
    <w:rsid w:val="00F05D7A"/>
    <w:rsid w:val="00F0612E"/>
    <w:rsid w:val="00F06421"/>
    <w:rsid w:val="00F06E70"/>
    <w:rsid w:val="00F103CB"/>
    <w:rsid w:val="00F1063B"/>
    <w:rsid w:val="00F11392"/>
    <w:rsid w:val="00F120DA"/>
    <w:rsid w:val="00F121E4"/>
    <w:rsid w:val="00F123F5"/>
    <w:rsid w:val="00F12617"/>
    <w:rsid w:val="00F12DD4"/>
    <w:rsid w:val="00F12FB6"/>
    <w:rsid w:val="00F135C2"/>
    <w:rsid w:val="00F13A6D"/>
    <w:rsid w:val="00F147EA"/>
    <w:rsid w:val="00F151F4"/>
    <w:rsid w:val="00F15D8F"/>
    <w:rsid w:val="00F15DDC"/>
    <w:rsid w:val="00F168C1"/>
    <w:rsid w:val="00F16E31"/>
    <w:rsid w:val="00F17204"/>
    <w:rsid w:val="00F2068D"/>
    <w:rsid w:val="00F2070E"/>
    <w:rsid w:val="00F22391"/>
    <w:rsid w:val="00F2239B"/>
    <w:rsid w:val="00F22BB3"/>
    <w:rsid w:val="00F22E2C"/>
    <w:rsid w:val="00F237BA"/>
    <w:rsid w:val="00F24F78"/>
    <w:rsid w:val="00F250F9"/>
    <w:rsid w:val="00F25196"/>
    <w:rsid w:val="00F253A0"/>
    <w:rsid w:val="00F2590C"/>
    <w:rsid w:val="00F2597C"/>
    <w:rsid w:val="00F25981"/>
    <w:rsid w:val="00F26343"/>
    <w:rsid w:val="00F2732D"/>
    <w:rsid w:val="00F27A40"/>
    <w:rsid w:val="00F27E38"/>
    <w:rsid w:val="00F27FC6"/>
    <w:rsid w:val="00F3024B"/>
    <w:rsid w:val="00F315C6"/>
    <w:rsid w:val="00F31B80"/>
    <w:rsid w:val="00F31E6B"/>
    <w:rsid w:val="00F31E93"/>
    <w:rsid w:val="00F329A6"/>
    <w:rsid w:val="00F337A9"/>
    <w:rsid w:val="00F33B0C"/>
    <w:rsid w:val="00F342C9"/>
    <w:rsid w:val="00F343F5"/>
    <w:rsid w:val="00F34BB3"/>
    <w:rsid w:val="00F35651"/>
    <w:rsid w:val="00F35B45"/>
    <w:rsid w:val="00F35BF7"/>
    <w:rsid w:val="00F35E3C"/>
    <w:rsid w:val="00F36112"/>
    <w:rsid w:val="00F3677B"/>
    <w:rsid w:val="00F3686A"/>
    <w:rsid w:val="00F378F6"/>
    <w:rsid w:val="00F4027B"/>
    <w:rsid w:val="00F40378"/>
    <w:rsid w:val="00F40AC9"/>
    <w:rsid w:val="00F40C1F"/>
    <w:rsid w:val="00F41057"/>
    <w:rsid w:val="00F412FE"/>
    <w:rsid w:val="00F41E42"/>
    <w:rsid w:val="00F41ED7"/>
    <w:rsid w:val="00F42BA0"/>
    <w:rsid w:val="00F43658"/>
    <w:rsid w:val="00F43A76"/>
    <w:rsid w:val="00F43CB9"/>
    <w:rsid w:val="00F44181"/>
    <w:rsid w:val="00F4428A"/>
    <w:rsid w:val="00F448DD"/>
    <w:rsid w:val="00F44DD7"/>
    <w:rsid w:val="00F4671B"/>
    <w:rsid w:val="00F46D85"/>
    <w:rsid w:val="00F4714C"/>
    <w:rsid w:val="00F47861"/>
    <w:rsid w:val="00F502B6"/>
    <w:rsid w:val="00F506CC"/>
    <w:rsid w:val="00F508A9"/>
    <w:rsid w:val="00F509C5"/>
    <w:rsid w:val="00F510A2"/>
    <w:rsid w:val="00F51ECA"/>
    <w:rsid w:val="00F525D7"/>
    <w:rsid w:val="00F527CF"/>
    <w:rsid w:val="00F5305F"/>
    <w:rsid w:val="00F53272"/>
    <w:rsid w:val="00F53698"/>
    <w:rsid w:val="00F538DB"/>
    <w:rsid w:val="00F5475E"/>
    <w:rsid w:val="00F54B9E"/>
    <w:rsid w:val="00F54E92"/>
    <w:rsid w:val="00F55556"/>
    <w:rsid w:val="00F55D9A"/>
    <w:rsid w:val="00F562A4"/>
    <w:rsid w:val="00F562D6"/>
    <w:rsid w:val="00F574FD"/>
    <w:rsid w:val="00F615D5"/>
    <w:rsid w:val="00F61BD3"/>
    <w:rsid w:val="00F625EF"/>
    <w:rsid w:val="00F62B41"/>
    <w:rsid w:val="00F63642"/>
    <w:rsid w:val="00F63D91"/>
    <w:rsid w:val="00F64005"/>
    <w:rsid w:val="00F64879"/>
    <w:rsid w:val="00F649AC"/>
    <w:rsid w:val="00F663E7"/>
    <w:rsid w:val="00F667EE"/>
    <w:rsid w:val="00F66D9B"/>
    <w:rsid w:val="00F673FB"/>
    <w:rsid w:val="00F705AB"/>
    <w:rsid w:val="00F707EA"/>
    <w:rsid w:val="00F70E05"/>
    <w:rsid w:val="00F70F35"/>
    <w:rsid w:val="00F715BB"/>
    <w:rsid w:val="00F71958"/>
    <w:rsid w:val="00F71BD5"/>
    <w:rsid w:val="00F71C7D"/>
    <w:rsid w:val="00F71E2B"/>
    <w:rsid w:val="00F723A4"/>
    <w:rsid w:val="00F73AFB"/>
    <w:rsid w:val="00F73E48"/>
    <w:rsid w:val="00F74A5D"/>
    <w:rsid w:val="00F74CFB"/>
    <w:rsid w:val="00F75C78"/>
    <w:rsid w:val="00F75E1B"/>
    <w:rsid w:val="00F7675A"/>
    <w:rsid w:val="00F767B5"/>
    <w:rsid w:val="00F77469"/>
    <w:rsid w:val="00F778D3"/>
    <w:rsid w:val="00F77911"/>
    <w:rsid w:val="00F8015C"/>
    <w:rsid w:val="00F80242"/>
    <w:rsid w:val="00F80682"/>
    <w:rsid w:val="00F809E0"/>
    <w:rsid w:val="00F814DE"/>
    <w:rsid w:val="00F81810"/>
    <w:rsid w:val="00F82319"/>
    <w:rsid w:val="00F82EF4"/>
    <w:rsid w:val="00F8385C"/>
    <w:rsid w:val="00F83A01"/>
    <w:rsid w:val="00F83C52"/>
    <w:rsid w:val="00F840C4"/>
    <w:rsid w:val="00F8441C"/>
    <w:rsid w:val="00F8495B"/>
    <w:rsid w:val="00F84E6F"/>
    <w:rsid w:val="00F851FA"/>
    <w:rsid w:val="00F8532E"/>
    <w:rsid w:val="00F85459"/>
    <w:rsid w:val="00F85B51"/>
    <w:rsid w:val="00F866B0"/>
    <w:rsid w:val="00F868DA"/>
    <w:rsid w:val="00F86A74"/>
    <w:rsid w:val="00F87314"/>
    <w:rsid w:val="00F87A9F"/>
    <w:rsid w:val="00F906AC"/>
    <w:rsid w:val="00F90C86"/>
    <w:rsid w:val="00F90E95"/>
    <w:rsid w:val="00F91340"/>
    <w:rsid w:val="00F91F76"/>
    <w:rsid w:val="00F922FA"/>
    <w:rsid w:val="00F9270E"/>
    <w:rsid w:val="00F9294D"/>
    <w:rsid w:val="00F941E0"/>
    <w:rsid w:val="00F94574"/>
    <w:rsid w:val="00F948FE"/>
    <w:rsid w:val="00F94C72"/>
    <w:rsid w:val="00F95155"/>
    <w:rsid w:val="00F95F59"/>
    <w:rsid w:val="00F9601E"/>
    <w:rsid w:val="00F96789"/>
    <w:rsid w:val="00F97C8F"/>
    <w:rsid w:val="00FA0238"/>
    <w:rsid w:val="00FA0245"/>
    <w:rsid w:val="00FA1D37"/>
    <w:rsid w:val="00FA2793"/>
    <w:rsid w:val="00FA28F9"/>
    <w:rsid w:val="00FA2BEA"/>
    <w:rsid w:val="00FA3207"/>
    <w:rsid w:val="00FA376F"/>
    <w:rsid w:val="00FA4336"/>
    <w:rsid w:val="00FA4801"/>
    <w:rsid w:val="00FA48E8"/>
    <w:rsid w:val="00FA49B6"/>
    <w:rsid w:val="00FA51E6"/>
    <w:rsid w:val="00FA5F4A"/>
    <w:rsid w:val="00FA5F95"/>
    <w:rsid w:val="00FA614B"/>
    <w:rsid w:val="00FA696C"/>
    <w:rsid w:val="00FA6EBC"/>
    <w:rsid w:val="00FA7415"/>
    <w:rsid w:val="00FA7685"/>
    <w:rsid w:val="00FA7EAE"/>
    <w:rsid w:val="00FB0D2F"/>
    <w:rsid w:val="00FB0E22"/>
    <w:rsid w:val="00FB0E42"/>
    <w:rsid w:val="00FB0E4D"/>
    <w:rsid w:val="00FB0E74"/>
    <w:rsid w:val="00FB130E"/>
    <w:rsid w:val="00FB13E5"/>
    <w:rsid w:val="00FB1468"/>
    <w:rsid w:val="00FB16A9"/>
    <w:rsid w:val="00FB17FE"/>
    <w:rsid w:val="00FB1879"/>
    <w:rsid w:val="00FB1970"/>
    <w:rsid w:val="00FB1993"/>
    <w:rsid w:val="00FB24FD"/>
    <w:rsid w:val="00FB2A3F"/>
    <w:rsid w:val="00FB2DCE"/>
    <w:rsid w:val="00FB3404"/>
    <w:rsid w:val="00FB3498"/>
    <w:rsid w:val="00FB4051"/>
    <w:rsid w:val="00FB4AC9"/>
    <w:rsid w:val="00FB4B6E"/>
    <w:rsid w:val="00FB53A9"/>
    <w:rsid w:val="00FB5A15"/>
    <w:rsid w:val="00FB5DAE"/>
    <w:rsid w:val="00FB705C"/>
    <w:rsid w:val="00FB7917"/>
    <w:rsid w:val="00FB7B14"/>
    <w:rsid w:val="00FC06A3"/>
    <w:rsid w:val="00FC06FB"/>
    <w:rsid w:val="00FC0C40"/>
    <w:rsid w:val="00FC16A0"/>
    <w:rsid w:val="00FC17C3"/>
    <w:rsid w:val="00FC181E"/>
    <w:rsid w:val="00FC1AA4"/>
    <w:rsid w:val="00FC1CD2"/>
    <w:rsid w:val="00FC1FC0"/>
    <w:rsid w:val="00FC211C"/>
    <w:rsid w:val="00FC2198"/>
    <w:rsid w:val="00FC2804"/>
    <w:rsid w:val="00FC2CB0"/>
    <w:rsid w:val="00FC2D5C"/>
    <w:rsid w:val="00FC30AE"/>
    <w:rsid w:val="00FC3111"/>
    <w:rsid w:val="00FC33DD"/>
    <w:rsid w:val="00FC36EE"/>
    <w:rsid w:val="00FC3805"/>
    <w:rsid w:val="00FC3B79"/>
    <w:rsid w:val="00FC4740"/>
    <w:rsid w:val="00FC499C"/>
    <w:rsid w:val="00FC53CB"/>
    <w:rsid w:val="00FC55A8"/>
    <w:rsid w:val="00FC61F3"/>
    <w:rsid w:val="00FC73F0"/>
    <w:rsid w:val="00FC7436"/>
    <w:rsid w:val="00FC74F8"/>
    <w:rsid w:val="00FC75DD"/>
    <w:rsid w:val="00FC78B6"/>
    <w:rsid w:val="00FC79B5"/>
    <w:rsid w:val="00FC7E73"/>
    <w:rsid w:val="00FD086C"/>
    <w:rsid w:val="00FD0B81"/>
    <w:rsid w:val="00FD0CBF"/>
    <w:rsid w:val="00FD0CF2"/>
    <w:rsid w:val="00FD0F91"/>
    <w:rsid w:val="00FD1631"/>
    <w:rsid w:val="00FD242A"/>
    <w:rsid w:val="00FD251C"/>
    <w:rsid w:val="00FD27F5"/>
    <w:rsid w:val="00FD2CFC"/>
    <w:rsid w:val="00FD3812"/>
    <w:rsid w:val="00FD39B1"/>
    <w:rsid w:val="00FD4CE8"/>
    <w:rsid w:val="00FD591E"/>
    <w:rsid w:val="00FD59E2"/>
    <w:rsid w:val="00FD64BD"/>
    <w:rsid w:val="00FD6F6E"/>
    <w:rsid w:val="00FD6FF9"/>
    <w:rsid w:val="00FD783C"/>
    <w:rsid w:val="00FE063F"/>
    <w:rsid w:val="00FE177C"/>
    <w:rsid w:val="00FE2520"/>
    <w:rsid w:val="00FE2583"/>
    <w:rsid w:val="00FE2637"/>
    <w:rsid w:val="00FE2B09"/>
    <w:rsid w:val="00FE36CC"/>
    <w:rsid w:val="00FE3702"/>
    <w:rsid w:val="00FE3924"/>
    <w:rsid w:val="00FE41AC"/>
    <w:rsid w:val="00FE4652"/>
    <w:rsid w:val="00FE4865"/>
    <w:rsid w:val="00FE4E9F"/>
    <w:rsid w:val="00FE5445"/>
    <w:rsid w:val="00FE5528"/>
    <w:rsid w:val="00FE64F7"/>
    <w:rsid w:val="00FE73D5"/>
    <w:rsid w:val="00FE7442"/>
    <w:rsid w:val="00FE7CD0"/>
    <w:rsid w:val="00FE7E1B"/>
    <w:rsid w:val="00FF02FB"/>
    <w:rsid w:val="00FF1113"/>
    <w:rsid w:val="00FF122C"/>
    <w:rsid w:val="00FF128C"/>
    <w:rsid w:val="00FF1739"/>
    <w:rsid w:val="00FF17B3"/>
    <w:rsid w:val="00FF2A44"/>
    <w:rsid w:val="00FF3667"/>
    <w:rsid w:val="00FF37F2"/>
    <w:rsid w:val="00FF388F"/>
    <w:rsid w:val="00FF462D"/>
    <w:rsid w:val="00FF4908"/>
    <w:rsid w:val="00FF4F09"/>
    <w:rsid w:val="00FF5175"/>
    <w:rsid w:val="00FF5D10"/>
    <w:rsid w:val="00FF62BB"/>
    <w:rsid w:val="00FF6398"/>
    <w:rsid w:val="00FF6967"/>
    <w:rsid w:val="00FF77B8"/>
    <w:rsid w:val="00FF7C62"/>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F771B3"/>
  <w15:docId w15:val="{97DF1338-4B46-4160-81CC-02CC6C50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C68"/>
    <w:rPr>
      <w:sz w:val="24"/>
      <w:szCs w:val="24"/>
      <w:lang w:val="en-GB" w:eastAsia="bs-Latn-BA"/>
    </w:rPr>
  </w:style>
  <w:style w:type="paragraph" w:styleId="Heading1">
    <w:name w:val="heading 1"/>
    <w:basedOn w:val="Normal"/>
    <w:next w:val="Normal"/>
    <w:link w:val="Heading1Char"/>
    <w:qFormat/>
    <w:rsid w:val="00991699"/>
    <w:pPr>
      <w:keepNext/>
      <w:spacing w:before="240" w:after="60" w:line="360" w:lineRule="auto"/>
      <w:outlineLvl w:val="0"/>
    </w:pPr>
    <w:rPr>
      <w:b/>
      <w:bCs/>
      <w:color w:val="1F497D" w:themeColor="text2"/>
      <w:kern w:val="32"/>
      <w:sz w:val="32"/>
      <w:szCs w:val="32"/>
    </w:rPr>
  </w:style>
  <w:style w:type="paragraph" w:styleId="Heading2">
    <w:name w:val="heading 2"/>
    <w:basedOn w:val="Normal"/>
    <w:next w:val="Normal"/>
    <w:link w:val="Heading2Char"/>
    <w:qFormat/>
    <w:rsid w:val="00B93527"/>
    <w:pPr>
      <w:keepNext/>
      <w:ind w:firstLine="720"/>
      <w:jc w:val="center"/>
      <w:outlineLvl w:val="1"/>
    </w:pPr>
    <w:rPr>
      <w:b/>
      <w:bCs/>
      <w:lang w:eastAsia="en-US"/>
    </w:rPr>
  </w:style>
  <w:style w:type="paragraph" w:styleId="Heading3">
    <w:name w:val="heading 3"/>
    <w:basedOn w:val="Normal"/>
    <w:next w:val="Normal"/>
    <w:link w:val="Heading3Char"/>
    <w:uiPriority w:val="9"/>
    <w:qFormat/>
    <w:rsid w:val="000D2933"/>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B93527"/>
    <w:pPr>
      <w:keepNext/>
      <w:jc w:val="both"/>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1699"/>
    <w:rPr>
      <w:b/>
      <w:bCs/>
      <w:color w:val="1F497D" w:themeColor="text2"/>
      <w:kern w:val="32"/>
      <w:sz w:val="32"/>
      <w:szCs w:val="32"/>
      <w:lang w:val="en-GB" w:eastAsia="bs-Latn-BA"/>
    </w:rPr>
  </w:style>
  <w:style w:type="character" w:customStyle="1" w:styleId="Heading2Char">
    <w:name w:val="Heading 2 Char"/>
    <w:link w:val="Heading2"/>
    <w:rsid w:val="00E81068"/>
    <w:rPr>
      <w:b/>
      <w:bCs/>
      <w:sz w:val="24"/>
      <w:szCs w:val="24"/>
      <w:lang w:eastAsia="en-US"/>
    </w:rPr>
  </w:style>
  <w:style w:type="character" w:customStyle="1" w:styleId="Heading3Char">
    <w:name w:val="Heading 3 Char"/>
    <w:link w:val="Heading3"/>
    <w:uiPriority w:val="9"/>
    <w:rsid w:val="000D2933"/>
    <w:rPr>
      <w:rFonts w:ascii="Cambria" w:hAnsi="Cambria"/>
      <w:b/>
      <w:bCs/>
      <w:sz w:val="26"/>
      <w:szCs w:val="26"/>
    </w:rPr>
  </w:style>
  <w:style w:type="character" w:customStyle="1" w:styleId="Heading6Char">
    <w:name w:val="Heading 6 Char"/>
    <w:link w:val="Heading6"/>
    <w:rsid w:val="00E81068"/>
    <w:rPr>
      <w:i/>
      <w:iCs/>
      <w:sz w:val="24"/>
      <w:szCs w:val="24"/>
      <w:lang w:val="en-US" w:eastAsia="en-US"/>
    </w:rPr>
  </w:style>
  <w:style w:type="character" w:styleId="Hyperlink">
    <w:name w:val="Hyperlink"/>
    <w:uiPriority w:val="99"/>
    <w:rsid w:val="00BB298D"/>
    <w:rPr>
      <w:color w:val="0000FF"/>
      <w:u w:val="single"/>
    </w:rPr>
  </w:style>
  <w:style w:type="paragraph" w:styleId="HTMLPreformatted">
    <w:name w:val="HTML Preformatted"/>
    <w:basedOn w:val="Normal"/>
    <w:link w:val="HTMLPreformattedChar"/>
    <w:rsid w:val="00BB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E81068"/>
    <w:rPr>
      <w:rFonts w:ascii="Courier New" w:hAnsi="Courier New" w:cs="Courier New"/>
      <w:lang w:eastAsia="bs-Latn-BA"/>
    </w:rPr>
  </w:style>
  <w:style w:type="paragraph" w:styleId="Title">
    <w:name w:val="Title"/>
    <w:basedOn w:val="Normal"/>
    <w:link w:val="TitleChar"/>
    <w:qFormat/>
    <w:rsid w:val="00BB298D"/>
    <w:pPr>
      <w:jc w:val="center"/>
    </w:pPr>
    <w:rPr>
      <w:b/>
      <w:szCs w:val="20"/>
      <w:lang w:val="en-US" w:eastAsia="en-US"/>
    </w:rPr>
  </w:style>
  <w:style w:type="character" w:customStyle="1" w:styleId="TitleChar">
    <w:name w:val="Title Char"/>
    <w:link w:val="Title"/>
    <w:rsid w:val="00E81068"/>
    <w:rPr>
      <w:b/>
      <w:sz w:val="24"/>
      <w:lang w:val="en-US" w:eastAsia="en-US"/>
    </w:rPr>
  </w:style>
  <w:style w:type="paragraph" w:styleId="NormalWeb">
    <w:name w:val="Normal (Web)"/>
    <w:basedOn w:val="Normal"/>
    <w:uiPriority w:val="99"/>
    <w:rsid w:val="00ED0AC0"/>
    <w:pPr>
      <w:spacing w:before="100" w:beforeAutospacing="1" w:after="100" w:afterAutospacing="1"/>
    </w:pPr>
  </w:style>
  <w:style w:type="character" w:styleId="CommentReference">
    <w:name w:val="annotation reference"/>
    <w:uiPriority w:val="99"/>
    <w:semiHidden/>
    <w:rsid w:val="00ED0AC0"/>
    <w:rPr>
      <w:sz w:val="16"/>
      <w:szCs w:val="16"/>
    </w:rPr>
  </w:style>
  <w:style w:type="paragraph" w:styleId="CommentText">
    <w:name w:val="annotation text"/>
    <w:basedOn w:val="Normal"/>
    <w:link w:val="CommentTextChar"/>
    <w:uiPriority w:val="99"/>
    <w:semiHidden/>
    <w:rsid w:val="00ED0AC0"/>
    <w:rPr>
      <w:sz w:val="20"/>
      <w:szCs w:val="20"/>
      <w:lang w:val="bs-Latn-BA"/>
    </w:rPr>
  </w:style>
  <w:style w:type="character" w:customStyle="1" w:styleId="CommentTextChar">
    <w:name w:val="Comment Text Char"/>
    <w:link w:val="CommentText"/>
    <w:uiPriority w:val="99"/>
    <w:semiHidden/>
    <w:rsid w:val="00804D28"/>
    <w:rPr>
      <w:lang w:val="bs-Latn-BA" w:eastAsia="bs-Latn-BA"/>
    </w:rPr>
  </w:style>
  <w:style w:type="paragraph" w:styleId="BalloonText">
    <w:name w:val="Balloon Text"/>
    <w:basedOn w:val="Normal"/>
    <w:link w:val="BalloonTextChar"/>
    <w:uiPriority w:val="99"/>
    <w:semiHidden/>
    <w:rsid w:val="00ED0AC0"/>
    <w:rPr>
      <w:rFonts w:ascii="Tahoma" w:hAnsi="Tahoma"/>
      <w:sz w:val="16"/>
      <w:szCs w:val="16"/>
      <w:lang w:val="bs-Latn-BA"/>
    </w:rPr>
  </w:style>
  <w:style w:type="character" w:customStyle="1" w:styleId="BalloonTextChar">
    <w:name w:val="Balloon Text Char"/>
    <w:link w:val="BalloonText"/>
    <w:uiPriority w:val="99"/>
    <w:semiHidden/>
    <w:rsid w:val="004E2442"/>
    <w:rPr>
      <w:rFonts w:ascii="Tahoma" w:hAnsi="Tahoma" w:cs="Tahoma"/>
      <w:sz w:val="16"/>
      <w:szCs w:val="16"/>
      <w:lang w:val="bs-Latn-BA" w:eastAsia="bs-Latn-BA"/>
    </w:rPr>
  </w:style>
  <w:style w:type="paragraph" w:styleId="CommentSubject">
    <w:name w:val="annotation subject"/>
    <w:basedOn w:val="CommentText"/>
    <w:next w:val="CommentText"/>
    <w:link w:val="CommentSubjectChar"/>
    <w:semiHidden/>
    <w:rsid w:val="00DC718C"/>
    <w:rPr>
      <w:b/>
      <w:bCs/>
    </w:rPr>
  </w:style>
  <w:style w:type="character" w:customStyle="1" w:styleId="CommentSubjectChar">
    <w:name w:val="Comment Subject Char"/>
    <w:link w:val="CommentSubject"/>
    <w:semiHidden/>
    <w:rsid w:val="00E81068"/>
    <w:rPr>
      <w:b/>
      <w:bCs/>
      <w:lang w:val="bs-Latn-BA" w:eastAsia="bs-Latn-BA"/>
    </w:rPr>
  </w:style>
  <w:style w:type="paragraph" w:styleId="FootnoteText">
    <w:name w:val="footnote text"/>
    <w:basedOn w:val="Normal"/>
    <w:link w:val="FootnoteTextChar"/>
    <w:uiPriority w:val="99"/>
    <w:semiHidden/>
    <w:rsid w:val="00AB10FB"/>
    <w:rPr>
      <w:sz w:val="20"/>
      <w:szCs w:val="20"/>
      <w:lang w:val="bs-Latn-BA"/>
    </w:rPr>
  </w:style>
  <w:style w:type="character" w:customStyle="1" w:styleId="FootnoteTextChar">
    <w:name w:val="Footnote Text Char"/>
    <w:link w:val="FootnoteText"/>
    <w:uiPriority w:val="99"/>
    <w:semiHidden/>
    <w:rsid w:val="001901AA"/>
    <w:rPr>
      <w:lang w:val="bs-Latn-BA" w:eastAsia="bs-Latn-BA"/>
    </w:rPr>
  </w:style>
  <w:style w:type="character" w:styleId="FootnoteReference">
    <w:name w:val="footnote reference"/>
    <w:uiPriority w:val="99"/>
    <w:semiHidden/>
    <w:rsid w:val="00AB10FB"/>
    <w:rPr>
      <w:vertAlign w:val="superscript"/>
    </w:rPr>
  </w:style>
  <w:style w:type="paragraph" w:styleId="Footer">
    <w:name w:val="footer"/>
    <w:basedOn w:val="Normal"/>
    <w:link w:val="FooterChar"/>
    <w:uiPriority w:val="99"/>
    <w:rsid w:val="00D068EE"/>
    <w:pPr>
      <w:tabs>
        <w:tab w:val="center" w:pos="4153"/>
        <w:tab w:val="right" w:pos="8306"/>
      </w:tabs>
    </w:pPr>
  </w:style>
  <w:style w:type="character" w:customStyle="1" w:styleId="FooterChar">
    <w:name w:val="Footer Char"/>
    <w:link w:val="Footer"/>
    <w:uiPriority w:val="99"/>
    <w:rsid w:val="000D2933"/>
    <w:rPr>
      <w:sz w:val="24"/>
      <w:szCs w:val="24"/>
      <w:lang w:eastAsia="bs-Latn-BA"/>
    </w:rPr>
  </w:style>
  <w:style w:type="character" w:styleId="PageNumber">
    <w:name w:val="page number"/>
    <w:basedOn w:val="DefaultParagraphFont"/>
    <w:rsid w:val="00D068EE"/>
  </w:style>
  <w:style w:type="character" w:customStyle="1" w:styleId="footnotetex">
    <w:name w:val="footnote tex"/>
    <w:rsid w:val="001E5A74"/>
  </w:style>
  <w:style w:type="character" w:customStyle="1" w:styleId="endnoterefe">
    <w:name w:val="endnote refe"/>
    <w:rsid w:val="001E5A74"/>
  </w:style>
  <w:style w:type="paragraph" w:customStyle="1" w:styleId="ColorfulList-Accent11">
    <w:name w:val="Colorful List - Accent 11"/>
    <w:basedOn w:val="Normal"/>
    <w:uiPriority w:val="34"/>
    <w:qFormat/>
    <w:rsid w:val="00E02101"/>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nhideWhenUsed/>
    <w:rsid w:val="004E2442"/>
    <w:pPr>
      <w:tabs>
        <w:tab w:val="center" w:pos="4536"/>
        <w:tab w:val="right" w:pos="9072"/>
      </w:tabs>
    </w:pPr>
    <w:rPr>
      <w:lang w:val="bs-Latn-BA"/>
    </w:rPr>
  </w:style>
  <w:style w:type="character" w:customStyle="1" w:styleId="HeaderChar">
    <w:name w:val="Header Char"/>
    <w:link w:val="Header"/>
    <w:rsid w:val="004E2442"/>
    <w:rPr>
      <w:sz w:val="24"/>
      <w:szCs w:val="24"/>
      <w:lang w:val="bs-Latn-BA" w:eastAsia="bs-Latn-BA"/>
    </w:rPr>
  </w:style>
  <w:style w:type="paragraph" w:styleId="DocumentMap">
    <w:name w:val="Document Map"/>
    <w:basedOn w:val="Normal"/>
    <w:link w:val="DocumentMapChar"/>
    <w:uiPriority w:val="99"/>
    <w:semiHidden/>
    <w:unhideWhenUsed/>
    <w:rsid w:val="004E2442"/>
    <w:rPr>
      <w:rFonts w:ascii="Tahoma" w:hAnsi="Tahoma"/>
      <w:sz w:val="16"/>
      <w:szCs w:val="16"/>
      <w:lang w:val="bs-Latn-BA"/>
    </w:rPr>
  </w:style>
  <w:style w:type="character" w:customStyle="1" w:styleId="DocumentMapChar">
    <w:name w:val="Document Map Char"/>
    <w:link w:val="DocumentMap"/>
    <w:uiPriority w:val="99"/>
    <w:semiHidden/>
    <w:rsid w:val="004E2442"/>
    <w:rPr>
      <w:rFonts w:ascii="Tahoma" w:hAnsi="Tahoma" w:cs="Tahoma"/>
      <w:sz w:val="16"/>
      <w:szCs w:val="16"/>
      <w:lang w:val="bs-Latn-BA" w:eastAsia="bs-Latn-BA"/>
    </w:rPr>
  </w:style>
  <w:style w:type="table" w:styleId="TableGrid">
    <w:name w:val="Table Grid"/>
    <w:basedOn w:val="TableNormal"/>
    <w:uiPriority w:val="59"/>
    <w:rsid w:val="000C51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FD591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11">
    <w:name w:val="Medium Shading 2 - Accent 11"/>
    <w:basedOn w:val="TableNormal"/>
    <w:uiPriority w:val="64"/>
    <w:rsid w:val="00E910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0D2933"/>
    <w:rPr>
      <w:color w:val="808080"/>
    </w:rPr>
  </w:style>
  <w:style w:type="table" w:styleId="MediumGrid3-Accent5">
    <w:name w:val="Medium Grid 3 Accent 5"/>
    <w:basedOn w:val="TableNormal"/>
    <w:uiPriority w:val="60"/>
    <w:rsid w:val="000D293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2">
    <w:name w:val="Light List Accent 2"/>
    <w:basedOn w:val="TableNormal"/>
    <w:uiPriority w:val="66"/>
    <w:rsid w:val="000D293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0D293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next w:val="Normal"/>
    <w:link w:val="SubtitleChar"/>
    <w:uiPriority w:val="11"/>
    <w:qFormat/>
    <w:rsid w:val="000D2933"/>
    <w:pPr>
      <w:spacing w:after="60"/>
      <w:jc w:val="center"/>
      <w:outlineLvl w:val="1"/>
    </w:pPr>
    <w:rPr>
      <w:rFonts w:ascii="Cambria" w:hAnsi="Cambria"/>
      <w:lang w:eastAsia="de-DE"/>
    </w:rPr>
  </w:style>
  <w:style w:type="character" w:customStyle="1" w:styleId="SubtitleChar">
    <w:name w:val="Subtitle Char"/>
    <w:link w:val="Subtitle"/>
    <w:uiPriority w:val="11"/>
    <w:rsid w:val="000D2933"/>
    <w:rPr>
      <w:rFonts w:ascii="Cambria" w:hAnsi="Cambria"/>
      <w:sz w:val="24"/>
      <w:szCs w:val="24"/>
      <w:lang w:eastAsia="de-DE"/>
    </w:rPr>
  </w:style>
  <w:style w:type="paragraph" w:styleId="BodyTextIndent">
    <w:name w:val="Body Text Indent"/>
    <w:basedOn w:val="Normal"/>
    <w:link w:val="BodyTextIndentChar"/>
    <w:rsid w:val="003125A5"/>
    <w:pPr>
      <w:widowControl w:val="0"/>
      <w:overflowPunct w:val="0"/>
      <w:autoSpaceDE w:val="0"/>
      <w:autoSpaceDN w:val="0"/>
      <w:adjustRightInd w:val="0"/>
      <w:spacing w:after="120"/>
      <w:jc w:val="both"/>
      <w:textAlignment w:val="baseline"/>
    </w:pPr>
    <w:rPr>
      <w:rFonts w:ascii="Arial" w:hAnsi="Arial"/>
      <w:b/>
      <w:szCs w:val="20"/>
      <w:lang w:val="en-AU" w:eastAsia="en-US"/>
    </w:rPr>
  </w:style>
  <w:style w:type="character" w:customStyle="1" w:styleId="BodyTextIndentChar">
    <w:name w:val="Body Text Indent Char"/>
    <w:link w:val="BodyTextIndent"/>
    <w:rsid w:val="003125A5"/>
    <w:rPr>
      <w:rFonts w:ascii="Arial" w:hAnsi="Arial"/>
      <w:b/>
      <w:sz w:val="24"/>
      <w:lang w:val="en-AU" w:eastAsia="en-US"/>
    </w:rPr>
  </w:style>
  <w:style w:type="table" w:customStyle="1" w:styleId="LightShading1">
    <w:name w:val="Light Shading1"/>
    <w:basedOn w:val="TableNormal"/>
    <w:uiPriority w:val="60"/>
    <w:rsid w:val="003125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DarkList-Accent5">
    <w:name w:val="Dark List Accent 5"/>
    <w:basedOn w:val="TableNormal"/>
    <w:uiPriority w:val="61"/>
    <w:rsid w:val="003125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
    <w:name w:val="Style1"/>
    <w:basedOn w:val="TableNormal"/>
    <w:uiPriority w:val="99"/>
    <w:qFormat/>
    <w:rsid w:val="003125A5"/>
    <w:rPr>
      <w:i/>
    </w:rPr>
    <w:tblPr>
      <w:tblBorders>
        <w:top w:val="single" w:sz="4" w:space="0" w:color="auto"/>
        <w:bottom w:val="single" w:sz="4" w:space="0" w:color="auto"/>
      </w:tblBorders>
    </w:tblPr>
    <w:tcPr>
      <w:vAlign w:val="center"/>
    </w:tcPr>
  </w:style>
  <w:style w:type="paragraph" w:styleId="TOCHeading">
    <w:name w:val="TOC Heading"/>
    <w:basedOn w:val="Heading1"/>
    <w:next w:val="Normal"/>
    <w:uiPriority w:val="39"/>
    <w:qFormat/>
    <w:rsid w:val="008978D6"/>
    <w:pPr>
      <w:keepLines/>
      <w:spacing w:before="480" w:after="0" w:line="276" w:lineRule="auto"/>
      <w:outlineLvl w:val="9"/>
    </w:pPr>
    <w:rPr>
      <w:rFonts w:ascii="Cambria" w:hAnsi="Cambria"/>
      <w:color w:val="365F91"/>
      <w:kern w:val="0"/>
      <w:sz w:val="28"/>
      <w:szCs w:val="28"/>
      <w:lang w:val="en-US" w:eastAsia="en-US"/>
    </w:rPr>
  </w:style>
  <w:style w:type="paragraph" w:styleId="TOC2">
    <w:name w:val="toc 2"/>
    <w:basedOn w:val="Normal"/>
    <w:next w:val="Normal"/>
    <w:autoRedefine/>
    <w:uiPriority w:val="39"/>
    <w:unhideWhenUsed/>
    <w:rsid w:val="008978D6"/>
    <w:pPr>
      <w:ind w:left="240"/>
    </w:pPr>
    <w:rPr>
      <w:rFonts w:ascii="Calibri" w:hAnsi="Calibri" w:cs="Calibri"/>
      <w:smallCaps/>
      <w:sz w:val="20"/>
      <w:szCs w:val="20"/>
    </w:rPr>
  </w:style>
  <w:style w:type="paragraph" w:styleId="TOC1">
    <w:name w:val="toc 1"/>
    <w:basedOn w:val="Normal"/>
    <w:next w:val="Normal"/>
    <w:autoRedefine/>
    <w:uiPriority w:val="39"/>
    <w:unhideWhenUsed/>
    <w:rsid w:val="008978D6"/>
    <w:pPr>
      <w:spacing w:before="120" w:after="120"/>
    </w:pPr>
    <w:rPr>
      <w:rFonts w:ascii="Calibri" w:hAnsi="Calibri" w:cs="Calibri"/>
      <w:b/>
      <w:bCs/>
      <w:caps/>
      <w:sz w:val="20"/>
      <w:szCs w:val="20"/>
    </w:rPr>
  </w:style>
  <w:style w:type="paragraph" w:styleId="TOC3">
    <w:name w:val="toc 3"/>
    <w:basedOn w:val="Normal"/>
    <w:next w:val="Normal"/>
    <w:autoRedefine/>
    <w:uiPriority w:val="39"/>
    <w:unhideWhenUsed/>
    <w:rsid w:val="008978D6"/>
    <w:pPr>
      <w:ind w:left="480"/>
    </w:pPr>
    <w:rPr>
      <w:rFonts w:ascii="Calibri" w:hAnsi="Calibri" w:cs="Calibri"/>
      <w:i/>
      <w:iCs/>
      <w:sz w:val="20"/>
      <w:szCs w:val="20"/>
    </w:rPr>
  </w:style>
  <w:style w:type="paragraph" w:styleId="TOC4">
    <w:name w:val="toc 4"/>
    <w:basedOn w:val="Normal"/>
    <w:next w:val="Normal"/>
    <w:autoRedefine/>
    <w:uiPriority w:val="39"/>
    <w:unhideWhenUsed/>
    <w:rsid w:val="008978D6"/>
    <w:pPr>
      <w:ind w:left="720"/>
    </w:pPr>
    <w:rPr>
      <w:rFonts w:ascii="Calibri" w:hAnsi="Calibri" w:cs="Calibri"/>
      <w:sz w:val="18"/>
      <w:szCs w:val="18"/>
    </w:rPr>
  </w:style>
  <w:style w:type="paragraph" w:styleId="TOC5">
    <w:name w:val="toc 5"/>
    <w:basedOn w:val="Normal"/>
    <w:next w:val="Normal"/>
    <w:autoRedefine/>
    <w:uiPriority w:val="39"/>
    <w:unhideWhenUsed/>
    <w:rsid w:val="008978D6"/>
    <w:pPr>
      <w:ind w:left="960"/>
    </w:pPr>
    <w:rPr>
      <w:rFonts w:ascii="Calibri" w:hAnsi="Calibri" w:cs="Calibri"/>
      <w:sz w:val="18"/>
      <w:szCs w:val="18"/>
    </w:rPr>
  </w:style>
  <w:style w:type="paragraph" w:styleId="TOC6">
    <w:name w:val="toc 6"/>
    <w:basedOn w:val="Normal"/>
    <w:next w:val="Normal"/>
    <w:autoRedefine/>
    <w:uiPriority w:val="39"/>
    <w:unhideWhenUsed/>
    <w:rsid w:val="008978D6"/>
    <w:pPr>
      <w:ind w:left="1200"/>
    </w:pPr>
    <w:rPr>
      <w:rFonts w:ascii="Calibri" w:hAnsi="Calibri" w:cs="Calibri"/>
      <w:sz w:val="18"/>
      <w:szCs w:val="18"/>
    </w:rPr>
  </w:style>
  <w:style w:type="paragraph" w:styleId="TOC7">
    <w:name w:val="toc 7"/>
    <w:basedOn w:val="Normal"/>
    <w:next w:val="Normal"/>
    <w:autoRedefine/>
    <w:uiPriority w:val="39"/>
    <w:unhideWhenUsed/>
    <w:rsid w:val="008978D6"/>
    <w:pPr>
      <w:ind w:left="1440"/>
    </w:pPr>
    <w:rPr>
      <w:rFonts w:ascii="Calibri" w:hAnsi="Calibri" w:cs="Calibri"/>
      <w:sz w:val="18"/>
      <w:szCs w:val="18"/>
    </w:rPr>
  </w:style>
  <w:style w:type="paragraph" w:styleId="TOC8">
    <w:name w:val="toc 8"/>
    <w:basedOn w:val="Normal"/>
    <w:next w:val="Normal"/>
    <w:autoRedefine/>
    <w:uiPriority w:val="39"/>
    <w:unhideWhenUsed/>
    <w:rsid w:val="008978D6"/>
    <w:pPr>
      <w:ind w:left="1680"/>
    </w:pPr>
    <w:rPr>
      <w:rFonts w:ascii="Calibri" w:hAnsi="Calibri" w:cs="Calibri"/>
      <w:sz w:val="18"/>
      <w:szCs w:val="18"/>
    </w:rPr>
  </w:style>
  <w:style w:type="paragraph" w:styleId="TOC9">
    <w:name w:val="toc 9"/>
    <w:basedOn w:val="Normal"/>
    <w:next w:val="Normal"/>
    <w:autoRedefine/>
    <w:uiPriority w:val="39"/>
    <w:unhideWhenUsed/>
    <w:rsid w:val="008978D6"/>
    <w:pPr>
      <w:ind w:left="1920"/>
    </w:pPr>
    <w:rPr>
      <w:rFonts w:ascii="Calibri" w:hAnsi="Calibri" w:cs="Calibri"/>
      <w:sz w:val="18"/>
      <w:szCs w:val="18"/>
    </w:rPr>
  </w:style>
  <w:style w:type="paragraph" w:customStyle="1" w:styleId="Default">
    <w:name w:val="Default"/>
    <w:rsid w:val="00F4714C"/>
    <w:pPr>
      <w:autoSpaceDE w:val="0"/>
      <w:autoSpaceDN w:val="0"/>
      <w:adjustRightInd w:val="0"/>
    </w:pPr>
    <w:rPr>
      <w:rFonts w:ascii="Code" w:eastAsia="Calibri" w:hAnsi="Code" w:cs="Code"/>
      <w:color w:val="000000"/>
      <w:sz w:val="24"/>
      <w:szCs w:val="24"/>
      <w:lang w:val="en-GB"/>
    </w:rPr>
  </w:style>
  <w:style w:type="character" w:styleId="Emphasis">
    <w:name w:val="Emphasis"/>
    <w:uiPriority w:val="20"/>
    <w:qFormat/>
    <w:rsid w:val="00F4714C"/>
    <w:rPr>
      <w:b/>
      <w:bCs/>
      <w:i w:val="0"/>
      <w:iCs w:val="0"/>
    </w:rPr>
  </w:style>
  <w:style w:type="character" w:customStyle="1" w:styleId="ft">
    <w:name w:val="ft"/>
    <w:basedOn w:val="DefaultParagraphFont"/>
    <w:rsid w:val="00F4714C"/>
  </w:style>
  <w:style w:type="paragraph" w:styleId="BodyText">
    <w:name w:val="Body Text"/>
    <w:basedOn w:val="Normal"/>
    <w:link w:val="BodyTextChar"/>
    <w:uiPriority w:val="99"/>
    <w:unhideWhenUsed/>
    <w:rsid w:val="00F4714C"/>
    <w:pPr>
      <w:spacing w:after="120" w:line="276" w:lineRule="auto"/>
    </w:pPr>
    <w:rPr>
      <w:rFonts w:ascii="Calibri" w:eastAsia="Calibri" w:hAnsi="Calibri"/>
      <w:sz w:val="22"/>
      <w:szCs w:val="22"/>
      <w:lang w:eastAsia="en-US"/>
    </w:rPr>
  </w:style>
  <w:style w:type="character" w:customStyle="1" w:styleId="BodyTextChar">
    <w:name w:val="Body Text Char"/>
    <w:link w:val="BodyText"/>
    <w:uiPriority w:val="99"/>
    <w:rsid w:val="00F4714C"/>
    <w:rPr>
      <w:rFonts w:ascii="Calibri" w:eastAsia="Calibri" w:hAnsi="Calibri" w:cs="Arial"/>
      <w:sz w:val="22"/>
      <w:szCs w:val="22"/>
      <w:lang w:eastAsia="en-US"/>
    </w:rPr>
  </w:style>
  <w:style w:type="character" w:customStyle="1" w:styleId="googqs-tidbit1">
    <w:name w:val="goog_qs-tidbit1"/>
    <w:rsid w:val="00F4714C"/>
    <w:rPr>
      <w:vanish w:val="0"/>
      <w:webHidden w:val="0"/>
      <w:specVanish w:val="0"/>
    </w:rPr>
  </w:style>
  <w:style w:type="character" w:customStyle="1" w:styleId="gray1">
    <w:name w:val="gray1"/>
    <w:rsid w:val="00F4714C"/>
    <w:rPr>
      <w:color w:val="555555"/>
    </w:rPr>
  </w:style>
  <w:style w:type="paragraph" w:customStyle="1" w:styleId="Textkrper">
    <w:name w:val="Textkörper"/>
    <w:basedOn w:val="Default"/>
    <w:next w:val="Default"/>
    <w:uiPriority w:val="99"/>
    <w:rsid w:val="00F4714C"/>
    <w:rPr>
      <w:rFonts w:ascii="DOCMMD+TimesNewRoman" w:hAnsi="DOCMMD+TimesNewRoman" w:cs="Arial"/>
      <w:color w:val="auto"/>
    </w:rPr>
  </w:style>
  <w:style w:type="character" w:customStyle="1" w:styleId="a1">
    <w:name w:val="a1"/>
    <w:rsid w:val="00F4714C"/>
    <w:rPr>
      <w:bdr w:val="none" w:sz="0" w:space="0" w:color="auto" w:frame="1"/>
    </w:rPr>
  </w:style>
  <w:style w:type="character" w:customStyle="1" w:styleId="l72">
    <w:name w:val="l72"/>
    <w:rsid w:val="00F4714C"/>
    <w:rPr>
      <w:vanish w:val="0"/>
      <w:webHidden w:val="0"/>
      <w:bdr w:val="none" w:sz="0" w:space="0" w:color="auto" w:frame="1"/>
      <w:specVanish w:val="0"/>
    </w:rPr>
  </w:style>
  <w:style w:type="character" w:customStyle="1" w:styleId="l122">
    <w:name w:val="l122"/>
    <w:rsid w:val="00F4714C"/>
    <w:rPr>
      <w:vanish w:val="0"/>
      <w:webHidden w:val="0"/>
      <w:bdr w:val="none" w:sz="0" w:space="0" w:color="auto" w:frame="1"/>
      <w:specVanish w:val="0"/>
    </w:rPr>
  </w:style>
  <w:style w:type="paragraph" w:customStyle="1" w:styleId="ColorfulShading-Accent11">
    <w:name w:val="Colorful Shading - Accent 11"/>
    <w:hidden/>
    <w:uiPriority w:val="99"/>
    <w:semiHidden/>
    <w:rsid w:val="00576AF0"/>
    <w:rPr>
      <w:sz w:val="24"/>
      <w:szCs w:val="24"/>
      <w:lang w:val="en-GB" w:eastAsia="bs-Latn-BA"/>
    </w:rPr>
  </w:style>
  <w:style w:type="paragraph" w:styleId="ListParagraph">
    <w:name w:val="List Paragraph"/>
    <w:basedOn w:val="Normal"/>
    <w:uiPriority w:val="72"/>
    <w:rsid w:val="00FC1FC0"/>
    <w:pPr>
      <w:ind w:left="720"/>
      <w:contextualSpacing/>
    </w:pPr>
  </w:style>
  <w:style w:type="paragraph" w:styleId="EndnoteText">
    <w:name w:val="endnote text"/>
    <w:basedOn w:val="Normal"/>
    <w:link w:val="EndnoteTextChar"/>
    <w:uiPriority w:val="99"/>
    <w:semiHidden/>
    <w:unhideWhenUsed/>
    <w:rsid w:val="001D4229"/>
    <w:rPr>
      <w:sz w:val="20"/>
      <w:szCs w:val="20"/>
    </w:rPr>
  </w:style>
  <w:style w:type="character" w:customStyle="1" w:styleId="EndnoteTextChar">
    <w:name w:val="Endnote Text Char"/>
    <w:basedOn w:val="DefaultParagraphFont"/>
    <w:link w:val="EndnoteText"/>
    <w:uiPriority w:val="99"/>
    <w:semiHidden/>
    <w:rsid w:val="001D4229"/>
    <w:rPr>
      <w:lang w:val="en-GB" w:eastAsia="bs-Latn-BA"/>
    </w:rPr>
  </w:style>
  <w:style w:type="character" w:styleId="EndnoteReference">
    <w:name w:val="endnote reference"/>
    <w:basedOn w:val="DefaultParagraphFont"/>
    <w:uiPriority w:val="99"/>
    <w:semiHidden/>
    <w:unhideWhenUsed/>
    <w:rsid w:val="001D42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56735">
      <w:bodyDiv w:val="1"/>
      <w:marLeft w:val="0"/>
      <w:marRight w:val="0"/>
      <w:marTop w:val="0"/>
      <w:marBottom w:val="0"/>
      <w:divBdr>
        <w:top w:val="none" w:sz="0" w:space="0" w:color="auto"/>
        <w:left w:val="none" w:sz="0" w:space="0" w:color="auto"/>
        <w:bottom w:val="none" w:sz="0" w:space="0" w:color="auto"/>
        <w:right w:val="none" w:sz="0" w:space="0" w:color="auto"/>
      </w:divBdr>
      <w:divsChild>
        <w:div w:id="377821358">
          <w:marLeft w:val="0"/>
          <w:marRight w:val="0"/>
          <w:marTop w:val="0"/>
          <w:marBottom w:val="0"/>
          <w:divBdr>
            <w:top w:val="none" w:sz="0" w:space="0" w:color="auto"/>
            <w:left w:val="none" w:sz="0" w:space="0" w:color="auto"/>
            <w:bottom w:val="none" w:sz="0" w:space="0" w:color="auto"/>
            <w:right w:val="none" w:sz="0" w:space="0" w:color="auto"/>
          </w:divBdr>
        </w:div>
        <w:div w:id="1231044206">
          <w:marLeft w:val="0"/>
          <w:marRight w:val="0"/>
          <w:marTop w:val="0"/>
          <w:marBottom w:val="0"/>
          <w:divBdr>
            <w:top w:val="none" w:sz="0" w:space="0" w:color="auto"/>
            <w:left w:val="none" w:sz="0" w:space="0" w:color="auto"/>
            <w:bottom w:val="none" w:sz="0" w:space="0" w:color="auto"/>
            <w:right w:val="none" w:sz="0" w:space="0" w:color="auto"/>
          </w:divBdr>
        </w:div>
      </w:divsChild>
    </w:div>
    <w:div w:id="198053799">
      <w:bodyDiv w:val="1"/>
      <w:marLeft w:val="0"/>
      <w:marRight w:val="0"/>
      <w:marTop w:val="0"/>
      <w:marBottom w:val="0"/>
      <w:divBdr>
        <w:top w:val="none" w:sz="0" w:space="0" w:color="auto"/>
        <w:left w:val="none" w:sz="0" w:space="0" w:color="auto"/>
        <w:bottom w:val="none" w:sz="0" w:space="0" w:color="auto"/>
        <w:right w:val="none" w:sz="0" w:space="0" w:color="auto"/>
      </w:divBdr>
      <w:divsChild>
        <w:div w:id="2073388294">
          <w:marLeft w:val="0"/>
          <w:marRight w:val="0"/>
          <w:marTop w:val="0"/>
          <w:marBottom w:val="0"/>
          <w:divBdr>
            <w:top w:val="none" w:sz="0" w:space="0" w:color="auto"/>
            <w:left w:val="none" w:sz="0" w:space="0" w:color="auto"/>
            <w:bottom w:val="none" w:sz="0" w:space="0" w:color="auto"/>
            <w:right w:val="none" w:sz="0" w:space="0" w:color="auto"/>
          </w:divBdr>
        </w:div>
        <w:div w:id="1090929047">
          <w:marLeft w:val="0"/>
          <w:marRight w:val="0"/>
          <w:marTop w:val="0"/>
          <w:marBottom w:val="0"/>
          <w:divBdr>
            <w:top w:val="none" w:sz="0" w:space="0" w:color="auto"/>
            <w:left w:val="none" w:sz="0" w:space="0" w:color="auto"/>
            <w:bottom w:val="none" w:sz="0" w:space="0" w:color="auto"/>
            <w:right w:val="none" w:sz="0" w:space="0" w:color="auto"/>
          </w:divBdr>
        </w:div>
        <w:div w:id="1605923567">
          <w:marLeft w:val="0"/>
          <w:marRight w:val="0"/>
          <w:marTop w:val="0"/>
          <w:marBottom w:val="0"/>
          <w:divBdr>
            <w:top w:val="none" w:sz="0" w:space="0" w:color="auto"/>
            <w:left w:val="none" w:sz="0" w:space="0" w:color="auto"/>
            <w:bottom w:val="none" w:sz="0" w:space="0" w:color="auto"/>
            <w:right w:val="none" w:sz="0" w:space="0" w:color="auto"/>
          </w:divBdr>
        </w:div>
        <w:div w:id="1927109922">
          <w:marLeft w:val="0"/>
          <w:marRight w:val="0"/>
          <w:marTop w:val="0"/>
          <w:marBottom w:val="0"/>
          <w:divBdr>
            <w:top w:val="none" w:sz="0" w:space="0" w:color="auto"/>
            <w:left w:val="none" w:sz="0" w:space="0" w:color="auto"/>
            <w:bottom w:val="none" w:sz="0" w:space="0" w:color="auto"/>
            <w:right w:val="none" w:sz="0" w:space="0" w:color="auto"/>
          </w:divBdr>
        </w:div>
      </w:divsChild>
    </w:div>
    <w:div w:id="332296422">
      <w:bodyDiv w:val="1"/>
      <w:marLeft w:val="0"/>
      <w:marRight w:val="0"/>
      <w:marTop w:val="0"/>
      <w:marBottom w:val="0"/>
      <w:divBdr>
        <w:top w:val="none" w:sz="0" w:space="0" w:color="auto"/>
        <w:left w:val="none" w:sz="0" w:space="0" w:color="auto"/>
        <w:bottom w:val="none" w:sz="0" w:space="0" w:color="auto"/>
        <w:right w:val="none" w:sz="0" w:space="0" w:color="auto"/>
      </w:divBdr>
    </w:div>
    <w:div w:id="514998952">
      <w:bodyDiv w:val="1"/>
      <w:marLeft w:val="0"/>
      <w:marRight w:val="0"/>
      <w:marTop w:val="0"/>
      <w:marBottom w:val="0"/>
      <w:divBdr>
        <w:top w:val="none" w:sz="0" w:space="0" w:color="auto"/>
        <w:left w:val="none" w:sz="0" w:space="0" w:color="auto"/>
        <w:bottom w:val="none" w:sz="0" w:space="0" w:color="auto"/>
        <w:right w:val="none" w:sz="0" w:space="0" w:color="auto"/>
      </w:divBdr>
    </w:div>
    <w:div w:id="626086990">
      <w:bodyDiv w:val="1"/>
      <w:marLeft w:val="0"/>
      <w:marRight w:val="0"/>
      <w:marTop w:val="0"/>
      <w:marBottom w:val="0"/>
      <w:divBdr>
        <w:top w:val="none" w:sz="0" w:space="0" w:color="auto"/>
        <w:left w:val="none" w:sz="0" w:space="0" w:color="auto"/>
        <w:bottom w:val="none" w:sz="0" w:space="0" w:color="auto"/>
        <w:right w:val="none" w:sz="0" w:space="0" w:color="auto"/>
      </w:divBdr>
    </w:div>
    <w:div w:id="750322024">
      <w:bodyDiv w:val="1"/>
      <w:marLeft w:val="0"/>
      <w:marRight w:val="0"/>
      <w:marTop w:val="0"/>
      <w:marBottom w:val="0"/>
      <w:divBdr>
        <w:top w:val="none" w:sz="0" w:space="0" w:color="auto"/>
        <w:left w:val="none" w:sz="0" w:space="0" w:color="auto"/>
        <w:bottom w:val="none" w:sz="0" w:space="0" w:color="auto"/>
        <w:right w:val="none" w:sz="0" w:space="0" w:color="auto"/>
      </w:divBdr>
    </w:div>
    <w:div w:id="969046799">
      <w:bodyDiv w:val="1"/>
      <w:marLeft w:val="0"/>
      <w:marRight w:val="0"/>
      <w:marTop w:val="0"/>
      <w:marBottom w:val="0"/>
      <w:divBdr>
        <w:top w:val="none" w:sz="0" w:space="0" w:color="auto"/>
        <w:left w:val="none" w:sz="0" w:space="0" w:color="auto"/>
        <w:bottom w:val="none" w:sz="0" w:space="0" w:color="auto"/>
        <w:right w:val="none" w:sz="0" w:space="0" w:color="auto"/>
      </w:divBdr>
    </w:div>
    <w:div w:id="1057440419">
      <w:bodyDiv w:val="1"/>
      <w:marLeft w:val="0"/>
      <w:marRight w:val="0"/>
      <w:marTop w:val="0"/>
      <w:marBottom w:val="0"/>
      <w:divBdr>
        <w:top w:val="none" w:sz="0" w:space="0" w:color="auto"/>
        <w:left w:val="none" w:sz="0" w:space="0" w:color="auto"/>
        <w:bottom w:val="none" w:sz="0" w:space="0" w:color="auto"/>
        <w:right w:val="none" w:sz="0" w:space="0" w:color="auto"/>
      </w:divBdr>
    </w:div>
    <w:div w:id="1608923784">
      <w:bodyDiv w:val="1"/>
      <w:marLeft w:val="0"/>
      <w:marRight w:val="0"/>
      <w:marTop w:val="0"/>
      <w:marBottom w:val="0"/>
      <w:divBdr>
        <w:top w:val="none" w:sz="0" w:space="0" w:color="auto"/>
        <w:left w:val="none" w:sz="0" w:space="0" w:color="auto"/>
        <w:bottom w:val="none" w:sz="0" w:space="0" w:color="auto"/>
        <w:right w:val="none" w:sz="0" w:space="0" w:color="auto"/>
      </w:divBdr>
      <w:divsChild>
        <w:div w:id="1591743733">
          <w:marLeft w:val="0"/>
          <w:marRight w:val="0"/>
          <w:marTop w:val="0"/>
          <w:marBottom w:val="0"/>
          <w:divBdr>
            <w:top w:val="none" w:sz="0" w:space="0" w:color="auto"/>
            <w:left w:val="none" w:sz="0" w:space="0" w:color="auto"/>
            <w:bottom w:val="none" w:sz="0" w:space="0" w:color="auto"/>
            <w:right w:val="none" w:sz="0" w:space="0" w:color="auto"/>
          </w:divBdr>
        </w:div>
        <w:div w:id="400443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ideas.repec.org/p/nbr/nberwo/97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E3506-D526-4824-B364-89E9B900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5111</Words>
  <Characters>29137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CONTENTS:</vt:lpstr>
    </vt:vector>
  </TitlesOfParts>
  <Company>TOSHIBA</Company>
  <LinksUpToDate>false</LinksUpToDate>
  <CharactersWithSpaces>34180</CharactersWithSpaces>
  <SharedDoc>false</SharedDoc>
  <HLinks>
    <vt:vector size="24" baseType="variant">
      <vt:variant>
        <vt:i4>1572937</vt:i4>
      </vt:variant>
      <vt:variant>
        <vt:i4>18</vt:i4>
      </vt:variant>
      <vt:variant>
        <vt:i4>0</vt:i4>
      </vt:variant>
      <vt:variant>
        <vt:i4>5</vt:i4>
      </vt:variant>
      <vt:variant>
        <vt:lpwstr>http://ideas.repec.org/s/nbr/nberwo.html</vt:lpwstr>
      </vt:variant>
      <vt:variant>
        <vt:lpwstr/>
      </vt:variant>
      <vt:variant>
        <vt:i4>393333</vt:i4>
      </vt:variant>
      <vt:variant>
        <vt:i4>15</vt:i4>
      </vt:variant>
      <vt:variant>
        <vt:i4>0</vt:i4>
      </vt:variant>
      <vt:variant>
        <vt:i4>5</vt:i4>
      </vt:variant>
      <vt:variant>
        <vt:lpwstr>http://ideas.repec.org/p/nbr/nberwo/9766.html</vt:lpwstr>
      </vt:variant>
      <vt:variant>
        <vt:lpwstr/>
      </vt:variant>
      <vt:variant>
        <vt:i4>6619192</vt:i4>
      </vt:variant>
      <vt:variant>
        <vt:i4>12</vt:i4>
      </vt:variant>
      <vt:variant>
        <vt:i4>0</vt:i4>
      </vt:variant>
      <vt:variant>
        <vt:i4>5</vt:i4>
      </vt:variant>
      <vt:variant>
        <vt:lpwstr>http://www.cbbh.ba</vt:lpwstr>
      </vt:variant>
      <vt:variant>
        <vt:lpwstr/>
      </vt:variant>
      <vt:variant>
        <vt:i4>6750249</vt:i4>
      </vt:variant>
      <vt:variant>
        <vt:i4>9</vt:i4>
      </vt:variant>
      <vt:variant>
        <vt:i4>0</vt:i4>
      </vt:variant>
      <vt:variant>
        <vt:i4>5</vt:i4>
      </vt:variant>
      <vt:variant>
        <vt:lpwstr>http://www.bhas.ba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Nermin Oruc</dc:creator>
  <cp:lastModifiedBy>BEIGHTON Sarah E</cp:lastModifiedBy>
  <cp:revision>2</cp:revision>
  <cp:lastPrinted>2018-08-24T14:16:00Z</cp:lastPrinted>
  <dcterms:created xsi:type="dcterms:W3CDTF">2019-01-10T09:36:00Z</dcterms:created>
  <dcterms:modified xsi:type="dcterms:W3CDTF">2019-01-10T09:36:00Z</dcterms:modified>
</cp:coreProperties>
</file>