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5246A" w14:textId="5625EECB" w:rsidR="00AD49AF" w:rsidRDefault="00AD49AF" w:rsidP="00E861FB">
      <w:pPr>
        <w:pStyle w:val="Heading1"/>
      </w:pPr>
      <w:r>
        <w:t xml:space="preserve">Burton, A. E., Hissey, L., &amp; </w:t>
      </w:r>
      <w:proofErr w:type="spellStart"/>
      <w:r>
        <w:t>Milgate</w:t>
      </w:r>
      <w:proofErr w:type="spellEnd"/>
      <w:r>
        <w:t xml:space="preserve">, S. (2019). </w:t>
      </w:r>
      <w:r w:rsidRPr="00AD49AF">
        <w:t>Exploring thoughts about pain and pain management: Interviews with South Asian community members in the UK</w:t>
      </w:r>
      <w:r w:rsidR="00E879C5">
        <w:t xml:space="preserve">. </w:t>
      </w:r>
      <w:r w:rsidR="00E879C5" w:rsidRPr="00E879C5">
        <w:rPr>
          <w:i/>
        </w:rPr>
        <w:t>Musculoskeletal Care</w:t>
      </w:r>
      <w:r w:rsidR="00E879C5">
        <w:t>.</w:t>
      </w:r>
      <w:bookmarkStart w:id="0" w:name="_GoBack"/>
      <w:bookmarkEnd w:id="0"/>
    </w:p>
    <w:p w14:paraId="25A5DF52" w14:textId="77777777" w:rsidR="00AD49AF" w:rsidRPr="00AD49AF" w:rsidRDefault="00AD49AF" w:rsidP="00AD49AF"/>
    <w:p w14:paraId="445C28BC" w14:textId="2640BFA7" w:rsidR="008073D3" w:rsidRPr="00AD49AF" w:rsidRDefault="008073D3" w:rsidP="00E861FB">
      <w:pPr>
        <w:pStyle w:val="Heading1"/>
      </w:pPr>
      <w:r w:rsidRPr="00AD49AF">
        <w:t>Title: Exploring thoughts about pain and pain management: Interviews with South Asian community members in the UK</w:t>
      </w:r>
    </w:p>
    <w:p w14:paraId="7FDC6002" w14:textId="77777777" w:rsidR="007E3D66" w:rsidRPr="00AD49AF" w:rsidRDefault="007E3D66" w:rsidP="00E861FB">
      <w:pPr>
        <w:pStyle w:val="Heading1"/>
      </w:pPr>
    </w:p>
    <w:p w14:paraId="307471C7" w14:textId="77777777" w:rsidR="00CD5154" w:rsidRPr="00AD49AF" w:rsidRDefault="007E3D66" w:rsidP="00CD5154">
      <w:pPr>
        <w:rPr>
          <w:rStyle w:val="Heading1Char"/>
        </w:rPr>
      </w:pPr>
      <w:r w:rsidRPr="00AD49AF">
        <w:rPr>
          <w:rStyle w:val="Heading1Char"/>
        </w:rPr>
        <w:t xml:space="preserve">Abstract </w:t>
      </w:r>
    </w:p>
    <w:p w14:paraId="5BFA245E" w14:textId="3BC5ABEF" w:rsidR="00F17CA9" w:rsidRPr="00AD49AF" w:rsidRDefault="007E3D66" w:rsidP="00CD5154">
      <w:pPr>
        <w:rPr>
          <w:lang w:val="en-US"/>
        </w:rPr>
      </w:pPr>
      <w:r w:rsidRPr="00AD49AF">
        <w:t xml:space="preserve">Objective: </w:t>
      </w:r>
      <w:r w:rsidR="00F17CA9" w:rsidRPr="00AD49AF">
        <w:rPr>
          <w:lang w:val="en-US"/>
        </w:rPr>
        <w:t xml:space="preserve">This research sought </w:t>
      </w:r>
      <w:r w:rsidR="009024F8" w:rsidRPr="00AD49AF">
        <w:rPr>
          <w:lang w:val="en-US"/>
        </w:rPr>
        <w:t>to explore pain management beliefs of members of the</w:t>
      </w:r>
      <w:r w:rsidR="00F17CA9" w:rsidRPr="00AD49AF">
        <w:rPr>
          <w:lang w:val="en-US"/>
        </w:rPr>
        <w:t xml:space="preserve"> South Asian community living in the UK. In particular, understandings regarding the key components of cognitive </w:t>
      </w:r>
      <w:proofErr w:type="spellStart"/>
      <w:r w:rsidR="00F17CA9" w:rsidRPr="00AD49AF">
        <w:rPr>
          <w:lang w:val="en-US"/>
        </w:rPr>
        <w:t>behavioural</w:t>
      </w:r>
      <w:proofErr w:type="spellEnd"/>
      <w:r w:rsidR="00F17CA9" w:rsidRPr="00AD49AF">
        <w:rPr>
          <w:lang w:val="en-US"/>
        </w:rPr>
        <w:t xml:space="preserve"> therapy</w:t>
      </w:r>
      <w:r w:rsidR="009553F9" w:rsidRPr="00AD49AF">
        <w:rPr>
          <w:lang w:val="en-US"/>
        </w:rPr>
        <w:t xml:space="preserve"> (CBT)</w:t>
      </w:r>
      <w:r w:rsidR="00F17CA9" w:rsidRPr="00AD49AF">
        <w:rPr>
          <w:lang w:val="en-US"/>
        </w:rPr>
        <w:t xml:space="preserve"> informed pain management </w:t>
      </w:r>
      <w:proofErr w:type="spellStart"/>
      <w:r w:rsidR="00F17CA9" w:rsidRPr="00AD49AF">
        <w:rPr>
          <w:lang w:val="en-US"/>
        </w:rPr>
        <w:t>programmes</w:t>
      </w:r>
      <w:proofErr w:type="spellEnd"/>
      <w:r w:rsidR="009553F9" w:rsidRPr="00AD49AF">
        <w:rPr>
          <w:lang w:val="en-US"/>
        </w:rPr>
        <w:t xml:space="preserve"> (PMPs)</w:t>
      </w:r>
      <w:r w:rsidR="00F17CA9" w:rsidRPr="00AD49AF">
        <w:rPr>
          <w:lang w:val="en-US"/>
        </w:rPr>
        <w:t xml:space="preserve"> were explored</w:t>
      </w:r>
      <w:r w:rsidR="00301FDB" w:rsidRPr="00AD49AF">
        <w:rPr>
          <w:lang w:val="en-US"/>
        </w:rPr>
        <w:t>.</w:t>
      </w:r>
    </w:p>
    <w:p w14:paraId="14C87D47" w14:textId="6F2A7DC3" w:rsidR="00EE6B22" w:rsidRPr="00AD49AF" w:rsidRDefault="007E3D66" w:rsidP="00CD5154">
      <w:r w:rsidRPr="00AD49AF">
        <w:t xml:space="preserve">Methods: </w:t>
      </w:r>
      <w:r w:rsidR="005C4148" w:rsidRPr="00AD49AF">
        <w:t xml:space="preserve">Snowball sampling was used to recruit 10 participants of South Asian background for interview. </w:t>
      </w:r>
      <w:r w:rsidR="00EE6B22" w:rsidRPr="00AD49AF">
        <w:t>Interviews were guided by a semi-structured interview schedule and explored pain history, specific pain experiences, community member expressions of and reactions to pain, treatment expectations, and perceptions of self-management. Interviews were transcribed verbatim and subjected to descriptive thematic analysis.</w:t>
      </w:r>
    </w:p>
    <w:p w14:paraId="339D9E72" w14:textId="69CAC34E" w:rsidR="007E3D66" w:rsidRPr="00AD49AF" w:rsidRDefault="007E3D66" w:rsidP="00CD5154">
      <w:r w:rsidRPr="00AD49AF">
        <w:t xml:space="preserve">Results: </w:t>
      </w:r>
      <w:r w:rsidR="007547DA" w:rsidRPr="00AD49AF">
        <w:t>Four themes were developed: impacts of chronic pain, within group variations in responses to chronic pain, personal responsibility vs paternalistic care, and the acceptability of pain management concepts (relaxation and meditation, exercise and physical activity, and thoughts and beliefs: the dangers of pain healers).</w:t>
      </w:r>
    </w:p>
    <w:p w14:paraId="1C7CA834" w14:textId="461F7B70" w:rsidR="00F9633C" w:rsidRPr="00AD49AF" w:rsidRDefault="007E3D66" w:rsidP="00EC45E7">
      <w:r w:rsidRPr="00AD49AF">
        <w:t>Conclusion:</w:t>
      </w:r>
      <w:r w:rsidR="00B31482" w:rsidRPr="00AD49AF">
        <w:t xml:space="preserve"> This work has </w:t>
      </w:r>
      <w:r w:rsidR="000C2BE0" w:rsidRPr="00AD49AF">
        <w:t>highlights</w:t>
      </w:r>
      <w:r w:rsidR="00B31482" w:rsidRPr="00AD49AF">
        <w:t xml:space="preserve"> how discourses around the impacts of chronic pain, beliefs about and preferences for approaches to care, and the acceptability of pain management concepts fit with existing PMP content. </w:t>
      </w:r>
      <w:r w:rsidR="000C2BE0" w:rsidRPr="00AD49AF">
        <w:t xml:space="preserve">Recommendations are made regarding </w:t>
      </w:r>
      <w:r w:rsidR="00B31482" w:rsidRPr="00AD49AF">
        <w:t xml:space="preserve">opportunities for social prescribing, consideration of the incorporation of acceptable forms of physical activity including yoga and walking within PMPs, and the potential benefit of highlighting role models and creating social opportunities for these activities. </w:t>
      </w:r>
      <w:r w:rsidR="00EC45E7" w:rsidRPr="00AD49AF">
        <w:t>Some</w:t>
      </w:r>
      <w:r w:rsidR="00B31482" w:rsidRPr="00AD49AF">
        <w:t xml:space="preserve"> beliefs and practices in this area are under researched and further work that explores gender and generational differences in pain perceptions, and the potential dangers of the use of pain healers is needed. </w:t>
      </w:r>
    </w:p>
    <w:p w14:paraId="38611B71" w14:textId="087B0301" w:rsidR="005517A4" w:rsidRPr="00AD49AF" w:rsidRDefault="007E3D66" w:rsidP="00EC45E7">
      <w:r w:rsidRPr="00AD49AF">
        <w:rPr>
          <w:b/>
          <w:bCs/>
          <w:shd w:val="clear" w:color="auto" w:fill="FFFFFF"/>
        </w:rPr>
        <w:t>Key Words</w:t>
      </w:r>
      <w:r w:rsidRPr="00AD49AF">
        <w:rPr>
          <w:shd w:val="clear" w:color="auto" w:fill="FFFFFF"/>
        </w:rPr>
        <w:t xml:space="preserve">: </w:t>
      </w:r>
      <w:r w:rsidR="00EC45E7" w:rsidRPr="00AD49AF">
        <w:t>Qualitative; South Asian; Pain</w:t>
      </w:r>
      <w:r w:rsidR="002D4C40" w:rsidRPr="00AD49AF">
        <w:t>; Self-</w:t>
      </w:r>
      <w:r w:rsidR="00EC45E7" w:rsidRPr="00AD49AF">
        <w:t>management</w:t>
      </w:r>
      <w:r w:rsidR="00C94EBD" w:rsidRPr="00AD49AF">
        <w:t>; Psychology; Patient perspective</w:t>
      </w:r>
    </w:p>
    <w:p w14:paraId="03C1C874" w14:textId="77777777" w:rsidR="00123F93" w:rsidRPr="00AD49AF" w:rsidRDefault="00123F93">
      <w:pPr>
        <w:spacing w:before="0" w:after="160" w:line="259" w:lineRule="auto"/>
        <w:rPr>
          <w:rFonts w:asciiTheme="majorHAnsi" w:eastAsiaTheme="majorEastAsia" w:hAnsiTheme="majorHAnsi" w:cstheme="majorBidi"/>
          <w:b/>
          <w:bCs/>
          <w:sz w:val="28"/>
          <w:szCs w:val="28"/>
        </w:rPr>
      </w:pPr>
      <w:r w:rsidRPr="00AD49AF">
        <w:br w:type="page"/>
      </w:r>
    </w:p>
    <w:p w14:paraId="7D1C92AC" w14:textId="7FEC5F61" w:rsidR="00314283" w:rsidRPr="00AD49AF" w:rsidRDefault="00314283" w:rsidP="00E861FB">
      <w:pPr>
        <w:pStyle w:val="Heading1"/>
        <w:rPr>
          <w:rFonts w:ascii="Times New Roman"/>
        </w:rPr>
      </w:pPr>
      <w:r w:rsidRPr="00AD49AF">
        <w:lastRenderedPageBreak/>
        <w:t xml:space="preserve">Main Text </w:t>
      </w:r>
      <w:r w:rsidR="00C00F74" w:rsidRPr="00AD49AF">
        <w:t>(5,</w:t>
      </w:r>
      <w:r w:rsidR="00FA6016" w:rsidRPr="00AD49AF">
        <w:t xml:space="preserve">278 </w:t>
      </w:r>
      <w:r w:rsidR="00C00F74" w:rsidRPr="00AD49AF">
        <w:t>words)</w:t>
      </w:r>
    </w:p>
    <w:p w14:paraId="323B7604" w14:textId="43F080F2" w:rsidR="00ED41CB" w:rsidRPr="00AD49AF" w:rsidRDefault="006B625E" w:rsidP="00E861FB">
      <w:r w:rsidRPr="00AD49AF">
        <w:t>Ethnic minority</w:t>
      </w:r>
      <w:r w:rsidR="000E464B" w:rsidRPr="00AD49AF">
        <w:t xml:space="preserve"> </w:t>
      </w:r>
      <w:r w:rsidRPr="00AD49AF">
        <w:t>groups</w:t>
      </w:r>
      <w:r w:rsidR="00257298" w:rsidRPr="00AD49AF">
        <w:t xml:space="preserve"> in the UK experience health inequalities</w:t>
      </w:r>
      <w:r w:rsidRPr="00AD49AF">
        <w:t xml:space="preserve"> when compared</w:t>
      </w:r>
      <w:r w:rsidR="000E464B" w:rsidRPr="00AD49AF">
        <w:t xml:space="preserve"> to majority populations</w:t>
      </w:r>
      <w:r w:rsidR="004F12CC" w:rsidRPr="00AD49AF">
        <w:t xml:space="preserve"> </w:t>
      </w:r>
      <w:r w:rsidR="004F12CC" w:rsidRPr="00AD49AF">
        <w:fldChar w:fldCharType="begin" w:fldLock="1"/>
      </w:r>
      <w:r w:rsidR="00C73062" w:rsidRPr="00AD49AF">
        <w:instrText>ADDIN CSL_CITATION {"citationItems":[{"id":"ITEM-1","itemData":{"author":[{"dropping-particle":"","family":"Public Health England","given":"","non-dropping-particle":"","parse-names":false,"suffix":""}],"id":"ITEM-1","issued":{"date-parts":[["2017"]]},"publisher-place":"London, UK","title":"Health Profile for England: 2017: Inequality in Health","type":"report"},"uris":["http://www.mendeley.com/documents/?uuid=44099ef3-bb23-4722-9be0-8bdc597ec25a"]}],"mendeley":{"formattedCitation":"(Public Health England, 2017)","plainTextFormattedCitation":"(Public Health England, 2017)","previouslyFormattedCitation":"(Public Health England, 2017)"},"properties":{"noteIndex":0},"schema":"https://github.com/citation-style-language/schema/raw/master/csl-citation.json"}</w:instrText>
      </w:r>
      <w:r w:rsidR="004F12CC" w:rsidRPr="00AD49AF">
        <w:fldChar w:fldCharType="separate"/>
      </w:r>
      <w:r w:rsidR="004F12CC" w:rsidRPr="00AD49AF">
        <w:rPr>
          <w:noProof/>
        </w:rPr>
        <w:t>(Public Health England, 2017)</w:t>
      </w:r>
      <w:r w:rsidR="004F12CC" w:rsidRPr="00AD49AF">
        <w:fldChar w:fldCharType="end"/>
      </w:r>
      <w:r w:rsidR="00733416" w:rsidRPr="00AD49AF">
        <w:t>. I</w:t>
      </w:r>
      <w:r w:rsidR="008C6520" w:rsidRPr="00AD49AF">
        <w:t>ndividuals from South Asian backgrounds</w:t>
      </w:r>
      <w:r w:rsidR="00677F91" w:rsidRPr="00AD49AF">
        <w:t xml:space="preserve">, </w:t>
      </w:r>
      <w:r w:rsidR="00151712" w:rsidRPr="00AD49AF">
        <w:t>Indian subcontinent origin</w:t>
      </w:r>
      <w:r w:rsidR="00677F91" w:rsidRPr="00AD49AF">
        <w:t xml:space="preserve">, </w:t>
      </w:r>
      <w:r w:rsidR="00733416" w:rsidRPr="00AD49AF">
        <w:t xml:space="preserve">are </w:t>
      </w:r>
      <w:r w:rsidR="008C6520" w:rsidRPr="00AD49AF">
        <w:t xml:space="preserve">particularly disadvantaged </w:t>
      </w:r>
      <w:r w:rsidR="00A15066" w:rsidRPr="00AD49AF">
        <w:fldChar w:fldCharType="begin" w:fldLock="1"/>
      </w:r>
      <w:r w:rsidR="0028774F" w:rsidRPr="00AD49AF">
        <w:instrText>ADDIN CSL_CITATION {"citationItems":[{"id":"ITEM-1","itemData":{"DOI":"10.1136/jech-2015-206074","ISSN":"14702738","PMID":"26787199","abstract":"Background It is well established that there are ethnic inequalities in health in the UK; however, such inequalities in later life remain a relatively under-researched area. This paper explores ethnic inequalities in health among older people in the UK, controlling for social and economic disadvantages.\\r\\n\\r\\nMethods This paper analyses the first wave (2009–2011) of Understanding Society to examine differentials in the health of older persons aged 60 years and over. 2 health outcomes are explored: the extent to which one's health limits the ability to undertake typical activities and self-rated health. Logistic regression models are used to control for a range of other factors, including income and deprivation.\\r\\n\\r\\nResults After controlling for social and economic disadvantage, black and minority ethnic (BME) elders are still more likely than white British elders to report limiting health and poor self-rated health. The ‘health disadvantage’ appears most marked among BME elders of South Asian origin, with Pakistani elders exhibiting the poorest health outcomes. Length of time resident in the UK does not have a direct impact on health in models for both genders, but is marginally significant for women.\\r\\n\\r\\nConclusions Older people from ethnic minorities report poorer health outcomes even after controlling for social and economic disadvantages. This result reflects the complexity of health inequalities among different ethnic groups in the UK, and the need to develop health policies which take into account differences in social and economic resources between different ethnic groups.","author":[{"dropping-particle":"","family":"Evandrou","given":"Maria","non-dropping-particle":"","parse-names":false,"suffix":""},{"dropping-particle":"","family":"Falkingham","given":"Jane","non-dropping-particle":"","parse-names":false,"suffix":""},{"dropping-particle":"","family":"Feng","given":"Zhixin","non-dropping-particle":"","parse-names":false,"suffix":""},{"dropping-particle":"","family":"Vlachantoni","given":"Athina","non-dropping-particle":"","parse-names":false,"suffix":""}],"container-title":"Journal of Epidemiology and Community Health","id":"ITEM-1","issue":"7","issued":{"date-parts":[["2016"]]},"page":"653-662","title":"Ethnic inequalities in limiting health and self-reported health in later life revisited","type":"article-journal","volume":"70"},"uris":["http://www.mendeley.com/documents/?uuid=1d8a7cc2-428c-495d-a421-d80299488418"]}],"mendeley":{"formattedCitation":"(Evandrou, Falkingham, Feng, &amp; Vlachantoni, 2016)","plainTextFormattedCitation":"(Evandrou, Falkingham, Feng, &amp; Vlachantoni, 2016)","previouslyFormattedCitation":"(Evandrou, Falkingham, Feng, &amp; Vlachantoni, 2016)"},"properties":{"noteIndex":0},"schema":"https://github.com/citation-style-language/schema/raw/master/csl-citation.json"}</w:instrText>
      </w:r>
      <w:r w:rsidR="00A15066" w:rsidRPr="00AD49AF">
        <w:fldChar w:fldCharType="separate"/>
      </w:r>
      <w:r w:rsidR="00A15066" w:rsidRPr="00AD49AF">
        <w:rPr>
          <w:noProof/>
        </w:rPr>
        <w:t>(Evandrou, Falkingham, Feng, &amp; Vlachantoni, 2016)</w:t>
      </w:r>
      <w:r w:rsidR="00A15066" w:rsidRPr="00AD49AF">
        <w:fldChar w:fldCharType="end"/>
      </w:r>
      <w:r w:rsidR="00C6297D" w:rsidRPr="00AD49AF">
        <w:t>.</w:t>
      </w:r>
      <w:r w:rsidR="00F053B6" w:rsidRPr="00AD49AF">
        <w:t xml:space="preserve"> While </w:t>
      </w:r>
      <w:r w:rsidR="00B53D68" w:rsidRPr="00AD49AF">
        <w:t xml:space="preserve">evidence suggests </w:t>
      </w:r>
      <w:r w:rsidR="00516510" w:rsidRPr="00AD49AF">
        <w:t>South Asian populations are more likely to</w:t>
      </w:r>
      <w:r w:rsidR="00A56E12" w:rsidRPr="00AD49AF">
        <w:t xml:space="preserve"> attend general practitioner</w:t>
      </w:r>
      <w:r w:rsidR="00D13153" w:rsidRPr="00AD49AF">
        <w:t xml:space="preserve"> (GP) </w:t>
      </w:r>
      <w:r w:rsidR="00A56E12" w:rsidRPr="00AD49AF">
        <w:t>appointments</w:t>
      </w:r>
      <w:r w:rsidR="00EE0C8D" w:rsidRPr="00AD49AF">
        <w:t>,</w:t>
      </w:r>
      <w:r w:rsidR="00F004EA" w:rsidRPr="00AD49AF">
        <w:t xml:space="preserve"> </w:t>
      </w:r>
      <w:r w:rsidR="00A56E12" w:rsidRPr="00AD49AF">
        <w:t xml:space="preserve">they are often less </w:t>
      </w:r>
      <w:r w:rsidR="0029525B" w:rsidRPr="00AD49AF">
        <w:t>likely</w:t>
      </w:r>
      <w:r w:rsidR="00A56E12" w:rsidRPr="00AD49AF">
        <w:t xml:space="preserve"> to take up the offer of outpatient services than </w:t>
      </w:r>
      <w:r w:rsidR="0029525B" w:rsidRPr="00AD49AF">
        <w:t xml:space="preserve">white </w:t>
      </w:r>
      <w:r w:rsidR="00EC6FFF" w:rsidRPr="00AD49AF">
        <w:t>ethnic groups</w:t>
      </w:r>
      <w:r w:rsidR="00676847" w:rsidRPr="00AD49AF">
        <w:t xml:space="preserve"> </w:t>
      </w:r>
      <w:r w:rsidR="007E5A57" w:rsidRPr="00AD49AF">
        <w:fldChar w:fldCharType="begin" w:fldLock="1"/>
      </w:r>
      <w:r w:rsidR="00DC744D" w:rsidRPr="00AD49AF">
        <w:instrText>ADDIN CSL_CITATION {"citationItems":[{"id":"ITEM-1","itemData":{"DOI":"10.1016/j.socscimed.2004.07.016","ISBN":"0277-9536","ISSN":"02779536","PMID":"15626522","abstract":"Achieving equity in healthcare, in the form of equal use for equal need, is an objective of many healthcare systems. The evaluation of equity requires value judgements as well as analysis of data. Previous studies are limited in the range of health and supply variables considered but show a pro-poor distribution of general practitioner consultations and inpatient services and a pro-rich distribution of outpatient visits. We investigate inequality and inequity in the use of general practitioner consultations, outpatient visits, day cases and inpatient stays in England with a unique linked data set that combines rich information on the health of individuals and their socio-economic circumstances with information on local supply factors. The data are for the period 1998-2000, just prior to the introduction of a set of National Health Service (NHS) reforms with potential equity implications. We find inequalities in utilisation with respect to income, ethnicity, employment status and education. Low-income individuals and ethnic minorities have lower use of secondary care despite having higher use of primary care. Ward level supply factors affect utilisation and are important for investigating health care inequality. Our results show some evidence of inequity prior to the reforms and provide a baseline against which the effects of the new NHS can be assessed. © 2004 Elsevier Ltd. All rights reserved.","author":[{"dropping-particle":"","family":"Morris","given":"Stephen","non-dropping-particle":"","parse-names":false,"suffix":""},{"dropping-particle":"","family":"Sutton","given":"Matthew","non-dropping-particle":"","parse-names":false,"suffix":""},{"dropping-particle":"","family":"Gravelle","given":"Hugh","non-dropping-particle":"","parse-names":false,"suffix":""}],"container-title":"Social Science and Medicine","id":"ITEM-1","issue":"6","issued":{"date-parts":[["2005"]]},"page":"1251-1266","title":"Inequity and inequality in the use of health care in England: An empirical investigation","type":"article-journal","volume":"60"},"uris":["http://www.mendeley.com/documents/?uuid=97d70360-54f9-4f8a-8d61-c0798a3b3a2d"]}],"mendeley":{"formattedCitation":"(Morris, Sutton, &amp; Gravelle, 2005)","plainTextFormattedCitation":"(Morris, Sutton, &amp; Gravelle, 2005)","previouslyFormattedCitation":"(Morris, Sutton, &amp; Gravelle, 2005)"},"properties":{"noteIndex":0},"schema":"https://github.com/citation-style-language/schema/raw/master/csl-citation.json"}</w:instrText>
      </w:r>
      <w:r w:rsidR="007E5A57" w:rsidRPr="00AD49AF">
        <w:fldChar w:fldCharType="separate"/>
      </w:r>
      <w:r w:rsidR="007E5A57" w:rsidRPr="00AD49AF">
        <w:rPr>
          <w:noProof/>
        </w:rPr>
        <w:t>(Morris, Sutton, &amp; Gravelle, 2005)</w:t>
      </w:r>
      <w:r w:rsidR="007E5A57" w:rsidRPr="00AD49AF">
        <w:fldChar w:fldCharType="end"/>
      </w:r>
      <w:r w:rsidR="007A707F" w:rsidRPr="00AD49AF">
        <w:t xml:space="preserve">. </w:t>
      </w:r>
      <w:r w:rsidR="006B65FF" w:rsidRPr="00AD49AF">
        <w:t xml:space="preserve">One area </w:t>
      </w:r>
      <w:r w:rsidR="00A7620A" w:rsidRPr="00AD49AF">
        <w:t xml:space="preserve">with increased rates of </w:t>
      </w:r>
      <w:r w:rsidR="006B65FF" w:rsidRPr="00AD49AF">
        <w:t xml:space="preserve">GP consultation </w:t>
      </w:r>
      <w:r w:rsidR="00A7620A" w:rsidRPr="00AD49AF">
        <w:t>in</w:t>
      </w:r>
      <w:r w:rsidR="006B65FF" w:rsidRPr="00AD49AF">
        <w:t xml:space="preserve"> </w:t>
      </w:r>
      <w:r w:rsidR="00DA2130" w:rsidRPr="00AD49AF">
        <w:t xml:space="preserve">this population </w:t>
      </w:r>
      <w:r w:rsidR="006B65FF" w:rsidRPr="00AD49AF">
        <w:t xml:space="preserve">is chronic pain </w:t>
      </w:r>
      <w:r w:rsidR="00DC744D" w:rsidRPr="00AD49AF">
        <w:fldChar w:fldCharType="begin" w:fldLock="1"/>
      </w:r>
      <w:r w:rsidR="00065F7C" w:rsidRPr="00AD49AF">
        <w:instrText>ADDIN CSL_CITATION {"citationItems":[{"id":"ITEM-1","itemData":{"author":[{"dropping-particle":"","family":"Gillam","given":"J","non-dropping-particle":"","parse-names":false,"suffix":""},{"dropping-particle":"","family":"Jarman","given":"B","non-dropping-particle":"","parse-names":false,"suffix":""},{"dropping-particle":"","family":"White","given":"P","non-dropping-particle":"","parse-names":false,"suffix":""},{"dropping-particle":"","family":"Law","given":"R","non-dropping-particle":"","parse-names":false,"suffix":""}],"container-title":"British Medical Journal","id":"ITEM-1","issue":"299","issued":{"date-parts":[["1989"]]},"title":"Ethnic differences in consultation rates in urban general practice","type":"article-journal"},"uris":["http://www.mendeley.com/documents/?uuid=a4564aac-633e-4bd3-abcf-aa929550846e"]},{"id":"ITEM-2","itemData":{"PMID":"10587543","author":[{"dropping-particle":"","family":"Njobvu","given":"P","non-dropping-particle":"","parse-names":false,"suffix":""},{"dropping-particle":"","family":"Hunt","given":"I","non-dropping-particle":"","parse-names":false,"suffix":""},{"dropping-particle":"","family":"Pope","given":"D","non-dropping-particle":"","parse-names":false,"suffix":""},{"dropping-particle":"","family":"Macfarlane","given":"G","non-dropping-particle":"","parse-names":false,"suffix":""}],"container-title":"Rheumatology","id":"ITEM-2","issue":"38","issued":{"date-parts":[["1999"]]},"page":"1184-1187","title":"Pain amongst ethnic minority groups of South Asian origin in the United Kingdom:A review","type":"article-journal"},"uris":["http://www.mendeley.com/documents/?uuid=82356d11-2c99-4541-b604-a28e9ef103bf"]}],"mendeley":{"formattedCitation":"(Gillam, Jarman, White, &amp; Law, 1989; Njobvu, Hunt, Pope, &amp; Macfarlane, 1999)","plainTextFormattedCitation":"(Gillam, Jarman, White, &amp; Law, 1989; Njobvu, Hunt, Pope, &amp; Macfarlane, 1999)","previouslyFormattedCitation":"(Gillam, Jarman, White, &amp; Law, 1989; Njobvu, Hunt, Pope, &amp; Macfarlane, 1999)"},"properties":{"noteIndex":0},"schema":"https://github.com/citation-style-language/schema/raw/master/csl-citation.json"}</w:instrText>
      </w:r>
      <w:r w:rsidR="00DC744D" w:rsidRPr="00AD49AF">
        <w:fldChar w:fldCharType="separate"/>
      </w:r>
      <w:r w:rsidR="00CA29BC" w:rsidRPr="00AD49AF">
        <w:rPr>
          <w:noProof/>
        </w:rPr>
        <w:t>(Gillam, Jarman, White, &amp; Law, 1989; Njobvu, Hunt, Pope, &amp; Macfarlane, 1999)</w:t>
      </w:r>
      <w:r w:rsidR="00DC744D" w:rsidRPr="00AD49AF">
        <w:fldChar w:fldCharType="end"/>
      </w:r>
      <w:r w:rsidR="00DC744D" w:rsidRPr="00AD49AF">
        <w:t>.</w:t>
      </w:r>
    </w:p>
    <w:p w14:paraId="39CF869E" w14:textId="7F094447" w:rsidR="00347123" w:rsidRPr="00AD49AF" w:rsidRDefault="00F65BF2" w:rsidP="00E861FB">
      <w:pPr>
        <w:rPr>
          <w:lang w:val="en-US"/>
        </w:rPr>
      </w:pPr>
      <w:r w:rsidRPr="00AD49AF">
        <w:t>Chronic pain</w:t>
      </w:r>
      <w:r w:rsidR="00347123" w:rsidRPr="00AD49AF">
        <w:t xml:space="preserve"> is a </w:t>
      </w:r>
      <w:r w:rsidRPr="00AD49AF">
        <w:t>“</w:t>
      </w:r>
      <w:r w:rsidR="00347123" w:rsidRPr="00AD49AF">
        <w:t>common complex sensory, emotional, cognitive and behavioural long-term health condition which occurs when pain cannot be resolved by available medical or other treatments”</w:t>
      </w:r>
      <w:r w:rsidR="00257B62" w:rsidRPr="00AD49AF">
        <w:t xml:space="preserve"> </w:t>
      </w:r>
      <w:r w:rsidR="00257B62" w:rsidRPr="00AD49AF">
        <w:fldChar w:fldCharType="begin" w:fldLock="1"/>
      </w:r>
      <w:r w:rsidR="0052010B" w:rsidRPr="00AD49AF">
        <w:instrText>ADDIN CSL_CITATION {"citationItems":[{"id":"ITEM-1","itemData":{"ISBN":"9780956138644","author":[{"dropping-particle":"","family":"The British Pain Society","given":"","non-dropping-particle":"","parse-names":false,"suffix":""}],"id":"ITEM-1","issued":{"date-parts":[["2013"]]},"publisher-place":"London, UK","title":"The British Pain Society Guidelines for Pain Management Programmes for adults","type":"report"},"suffix":"p.10","uris":["http://www.mendeley.com/documents/?uuid=eeffad0f-2c64-4b73-a1ac-54effe9fe038"]}],"mendeley":{"formattedCitation":"(The British Pain Society, 2013 p.10)","plainTextFormattedCitation":"(The British Pain Society, 2013 p.10)","previouslyFormattedCitation":"(The British Pain Society, 2013 p.10)"},"properties":{"noteIndex":0},"schema":"https://github.com/citation-style-language/schema/raw/master/csl-citation.json"}</w:instrText>
      </w:r>
      <w:r w:rsidR="00257B62" w:rsidRPr="00AD49AF">
        <w:fldChar w:fldCharType="separate"/>
      </w:r>
      <w:r w:rsidR="00257B62" w:rsidRPr="00AD49AF">
        <w:rPr>
          <w:noProof/>
        </w:rPr>
        <w:t>(The British Pain Society, 2013 p.10)</w:t>
      </w:r>
      <w:r w:rsidR="00257B62" w:rsidRPr="00AD49AF">
        <w:fldChar w:fldCharType="end"/>
      </w:r>
      <w:r w:rsidR="00347123" w:rsidRPr="00AD49AF">
        <w:t xml:space="preserve">. Experiencing chronic pain has been shown to negatively impact on a wide variety of factors </w:t>
      </w:r>
      <w:r w:rsidR="009522BA" w:rsidRPr="00AD49AF">
        <w:t>including</w:t>
      </w:r>
      <w:r w:rsidR="00347123" w:rsidRPr="00AD49AF">
        <w:t xml:space="preserve"> physical health, mental health, and the ability to work </w:t>
      </w:r>
      <w:r w:rsidR="00E46156" w:rsidRPr="00AD49AF">
        <w:fldChar w:fldCharType="begin" w:fldLock="1"/>
      </w:r>
      <w:r w:rsidR="00232FFB" w:rsidRPr="00AD49AF">
        <w:instrText>ADDIN CSL_CITATION {"citationItems":[{"id":"ITEM-1","itemData":{"author":[{"dropping-particle":"","family":"Breivik","given":"H.","non-dropping-particle":"","parse-names":false,"suffix":""},{"dropping-particle":"","family":"Collett","given":"B.","non-dropping-particle":"","parse-names":false,"suffix":""},{"dropping-particle":"","family":"Ventafridda","given":"V.","non-dropping-particle":"","parse-names":false,"suffix":""},{"dropping-particle":"","family":"Cohen","given":"R.","non-dropping-particle":"","parse-names":false,"suffix":""},{"dropping-particle":"","family":"Gallacher","given":"D.","non-dropping-particle":"","parse-names":false,"suffix":""}],"container-title":"European Journal of Pain","id":"ITEM-1","issued":{"date-parts":[["2006"]]},"page":"287-333","title":"Survey of chronic pain in Europe: prevalence, impact on daily life and treatment","type":"article-journal","volume":"10"},"uris":["http://www.mendeley.com/documents/?uuid=604da457-c304-4397-bfec-f453e4507207"]}],"mendeley":{"formattedCitation":"(Breivik, Collett, Ventafridda, Cohen, &amp; Gallacher, 2006)","plainTextFormattedCitation":"(Breivik, Collett, Ventafridda, Cohen, &amp; Gallacher, 2006)","previouslyFormattedCitation":"(Breivik, Collett, Ventafridda, Cohen, &amp; Gallacher, 2006)"},"properties":{"noteIndex":0},"schema":"https://github.com/citation-style-language/schema/raw/master/csl-citation.json"}</w:instrText>
      </w:r>
      <w:r w:rsidR="00E46156" w:rsidRPr="00AD49AF">
        <w:fldChar w:fldCharType="separate"/>
      </w:r>
      <w:r w:rsidR="00232FFB" w:rsidRPr="00AD49AF">
        <w:rPr>
          <w:noProof/>
        </w:rPr>
        <w:t>(Breivik, Collett, Ventafridda, Cohen, &amp; Gallacher, 2006)</w:t>
      </w:r>
      <w:r w:rsidR="00E46156" w:rsidRPr="00AD49AF">
        <w:fldChar w:fldCharType="end"/>
      </w:r>
      <w:r w:rsidR="00347123" w:rsidRPr="00AD49AF">
        <w:t>. There is strong evidence that multidisciplinary pain management programmes (PMPs),</w:t>
      </w:r>
      <w:r w:rsidR="000278A8" w:rsidRPr="00AD49AF">
        <w:t xml:space="preserve"> incorporating principles of</w:t>
      </w:r>
      <w:r w:rsidR="00347123" w:rsidRPr="00AD49AF">
        <w:t xml:space="preserve"> cognitive behavioural therapy</w:t>
      </w:r>
      <w:r w:rsidR="00DA2130" w:rsidRPr="00AD49AF">
        <w:t xml:space="preserve"> (CBT)</w:t>
      </w:r>
      <w:r w:rsidR="00347123" w:rsidRPr="00AD49AF">
        <w:t xml:space="preserve">, can be effective for improving outcomes </w:t>
      </w:r>
      <w:r w:rsidR="009C6821" w:rsidRPr="00AD49AF">
        <w:fldChar w:fldCharType="begin" w:fldLock="1"/>
      </w:r>
      <w:r w:rsidR="00B53D68" w:rsidRPr="00AD49AF">
        <w:instrText>ADDIN CSL_CITATION {"citationItems":[{"id":"ITEM-1","itemData":{"author":[{"dropping-particle":"","family":"Hoffman","given":"B. M","non-dropping-particle":"","parse-names":false,"suffix":""},{"dropping-particle":"","family":"Papas","given":"R. K","non-dropping-particle":"","parse-names":false,"suffix":""},{"dropping-particle":"","family":"Chatkoff","given":"D. K","non-dropping-particle":"","parse-names":false,"suffix":""},{"dropping-particle":"","family":"Kerns","given":"R. D","non-dropping-particle":"","parse-names":false,"suffix":""}],"container-title":"Health Psychology","id":"ITEM-1","issued":{"date-parts":[["2007"]]},"page":"1-9","title":"Meta-analysis of psychological interventions for chronic low back pain","type":"article-journal","volume":"26"},"uris":["http://www.mendeley.com/documents/?uuid=7f0906ba-ad4d-4208-9943-56c741cb4ca2"]},{"id":"ITEM-2","itemData":{"DOI":"10.1016/j.ijnurstu.2009.12.001","ISBN":"1873-491X","ISSN":"00207489","PMID":"20036362","abstract":"Background: Cognitive behavioural therapy (CBT) has been useful in the treatment of chronic pain conditions for many years. Given the increasing number of persons with chronic pain and associated psychosocial problems, the development and implementation of effective interventions based on CBT is warranted. Objectives: The aim of this study is to evaluate the effects of a multidisciplinary pain management programme on health-related quality of life (HRQL), as measured by the Short Form Health Survey (SF-36), pain perception as measured by the Brief Pain Inventory (BPI), and readiness-to-change as measured by the Pain Stages of Change Questionnaire (PSOCQ). Design: A pretest-post-test quasi-experimental design, with waiting list controls and baseline and post-test measures, was used. Setting: The study was conducted in the rehabilitation unit of a university hospital. Participants: Of 117 people suffering from chronic pain, 113 completed the 8-week multidisciplinary pain management programme. The patients were consecutive referrals. Inclusion criteria were: adults (18-67 years), pain lasting over 6 months, motivation and no ongoing litigation. Exclusion criteria were affected by major mental disorders or major medical conditions requiring treatment. Methods: The intervention was based on a cognitive behavioural approach. Therapeutic dialogues and training, combined with physical activity, were provided to a fixed plan, including homework. The programme has several features that directly address psychosocial aspects of chronic pain. Statistical and clinical significance are considered. Results: The findings suggest that this programme has the potential to improve HRQL, reduce pain intensity and interference, and contribute to improvement in readiness-to-change. Statistically significant results are supplemented by results showing their clinical significance. Conclusions: Improvements in HRQL, pain-related disability, and readiness-to-change suggest that the vicious cycle of chronic pain may be alleviated by our programme. As we see it, effective treatment results are about identifying and addressing the important and changeable influences maintaining pain problems such as acceptance, understanding the mind-body connection and self-management. Although further research is needed to evaluate the effectiveness of this work, such group approaches appear to represent a feasible treatment option for many patients with chronic pain. ?? 2009 Elsevier Ltd.","author":[{"dropping-particle":"","family":"Dysvik","given":"E","non-dropping-particle":"","parse-names":false,"suffix":""},{"dropping-particle":"","family":"Kvaløy","given":"Jan Terje","non-dropping-particle":"","parse-names":false,"suffix":""},{"dropping-particle":"","family":"Stokkeland","given":"Ragnhild","non-dropping-particle":"","parse-names":false,"suffix":""},{"dropping-particle":"","family":"Natvig","given":"Gerd Karin","non-dropping-particle":"","parse-names":false,"suffix":""}],"container-title":"International Journal of Nursing Studies","id":"ITEM-2","issue":"7","issued":{"date-parts":[["2010"]]},"page":"826-835","title":"The effectiveness of a multidisciplinary pain management programme managing chronic pain on pain perceptions, health-related quality of life and stages of change-A non-randomized controlled study","type":"article-journal","volume":"47"},"uris":["http://www.mendeley.com/documents/?uuid=ebe6fc18-ff53-4249-952e-ffa40447b6a9"]},{"id":"ITEM-3","itemData":{"ISSN":"1322-7114","abstract":"The aim of this study was to develop and evaluate the effects of a multidisciplinary pain management programme on coping, health-related quality of life and pain intensity. Seventy-six outpatients suffering from chronic pain completed this eight-week programme with the primary aims to increase coping, as measured by the Ways of Coping Checklist, and health-related quality of life, as measured by the Short Form-36 Health Survey. Therapeutic dialogues and education, combined with physical activity, were given in order to increase understanding of and attention to non-medical factors that might affect pain perception. The programme was active, time-limited and structured on the basis of multidisciplinary pain management programmes based on a cognitive-behavioural approach. The findings suggest that this programme has the potential to improve coping skills and health-related quality of life. Additionally, pain intensity, as measured by the Visual Analogue Scale, was reduced. Age and disability were revealed as the prominent predictors of change after treatment. The differences in this sample indicated that the drop-outs tended to be older and reported more health problems, although these findings were non-significant. Clinical and research implications are discussed.","author":[{"dropping-particle":"","family":"Dysvik","given":"E","non-dropping-particle":"","parse-names":false,"suffix":""},{"dropping-particle":"","family":"Vinses","given":"A. G","non-dropping-particle":"","parse-names":false,"suffix":""},{"dropping-particle":"","family":"Eikeland","given":"O. J","non-dropping-particle":"","parse-names":false,"suffix":""}],"container-title":"International journal of nursing practice","id":"ITEM-3","issue":"5","issued":{"date-parts":[["2004"]]},"page":"224-234","title":"The effectiveness of a multidisciplinary pain management programme managing chronic pain.","type":"article-journal","volume":"10"},"uris":["http://www.mendeley.com/documents/?uuid=346a13fa-f052-4359-9756-02cda7a48446"]}],"mendeley":{"formattedCitation":"(Dysvik, Kvaløy, Stokkeland, &amp; Natvig, 2010; Dysvik, Vinses, &amp; Eikeland, 2004; Hoffman, Papas, Chatkoff, &amp; Kerns, 2007)","plainTextFormattedCitation":"(Dysvik, Kvaløy, Stokkeland, &amp; Natvig, 2010; Dysvik, Vinses, &amp; Eikeland, 2004; Hoffman, Papas, Chatkoff, &amp; Kerns, 2007)","previouslyFormattedCitation":"(Dysvik, Kvaløy, Stokkeland, &amp; Natvig, 2010; Dysvik, Vinses, &amp; Eikeland, 2004; Hoffman, Papas, Chatkoff, &amp; Kerns, 2007)"},"properties":{"noteIndex":0},"schema":"https://github.com/citation-style-language/schema/raw/master/csl-citation.json"}</w:instrText>
      </w:r>
      <w:r w:rsidR="009C6821" w:rsidRPr="00AD49AF">
        <w:fldChar w:fldCharType="separate"/>
      </w:r>
      <w:r w:rsidR="00E91E73" w:rsidRPr="00AD49AF">
        <w:rPr>
          <w:noProof/>
        </w:rPr>
        <w:t>(Dysvik, Kvaløy, Stokkeland, &amp; Natvig, 2010; Dysvik, Vinses, &amp; Eikeland, 2004; Hoffman, Papas, Chatkoff, &amp; Kerns, 2007)</w:t>
      </w:r>
      <w:r w:rsidR="009C6821" w:rsidRPr="00AD49AF">
        <w:fldChar w:fldCharType="end"/>
      </w:r>
      <w:r w:rsidR="009256CA" w:rsidRPr="00AD49AF">
        <w:t>. I</w:t>
      </w:r>
      <w:r w:rsidR="00347123" w:rsidRPr="00AD49AF">
        <w:t>n line with this</w:t>
      </w:r>
      <w:r w:rsidR="00E05E51" w:rsidRPr="00AD49AF">
        <w:t>,</w:t>
      </w:r>
      <w:r w:rsidR="00347123" w:rsidRPr="00AD49AF">
        <w:t xml:space="preserve"> the British Pain Society recommends these programmes for the management of chronic pain </w:t>
      </w:r>
      <w:r w:rsidR="00232FFB" w:rsidRPr="00AD49AF">
        <w:fldChar w:fldCharType="begin" w:fldLock="1"/>
      </w:r>
      <w:r w:rsidR="0052010B" w:rsidRPr="00AD49AF">
        <w:instrText>ADDIN CSL_CITATION {"citationItems":[{"id":"ITEM-1","itemData":{"ISBN":"9780956138644","author":[{"dropping-particle":"","family":"The British Pain Society","given":"","non-dropping-particle":"","parse-names":false,"suffix":""}],"id":"ITEM-1","issued":{"date-parts":[["2013"]]},"publisher-place":"London, UK","title":"The British Pain Society Guidelines for Pain Management Programmes for adults","type":"report"},"uris":["http://www.mendeley.com/documents/?uuid=eeffad0f-2c64-4b73-a1ac-54effe9fe038"]}],"mendeley":{"formattedCitation":"(The British Pain Society, 2013)","plainTextFormattedCitation":"(The British Pain Society, 2013)","previouslyFormattedCitation":"(The British Pain Society, 2013)"},"properties":{"noteIndex":0},"schema":"https://github.com/citation-style-language/schema/raw/master/csl-citation.json"}</w:instrText>
      </w:r>
      <w:r w:rsidR="00232FFB" w:rsidRPr="00AD49AF">
        <w:fldChar w:fldCharType="separate"/>
      </w:r>
      <w:r w:rsidR="00232FFB" w:rsidRPr="00AD49AF">
        <w:rPr>
          <w:noProof/>
        </w:rPr>
        <w:t>(The British Pain Society, 2013)</w:t>
      </w:r>
      <w:r w:rsidR="00232FFB" w:rsidRPr="00AD49AF">
        <w:fldChar w:fldCharType="end"/>
      </w:r>
      <w:r w:rsidR="00347123" w:rsidRPr="00AD49AF">
        <w:t>. However</w:t>
      </w:r>
      <w:r w:rsidR="00645913" w:rsidRPr="00AD49AF">
        <w:t>,</w:t>
      </w:r>
      <w:r w:rsidR="00347123" w:rsidRPr="00AD49AF">
        <w:t xml:space="preserve"> PMPs are traditionally developed based on the experiences of and outcomes for white, western, English-speaking patients and little is known about </w:t>
      </w:r>
      <w:r w:rsidR="00887EC2" w:rsidRPr="00AD49AF">
        <w:t xml:space="preserve">suitability and </w:t>
      </w:r>
      <w:r w:rsidR="00347123" w:rsidRPr="00AD49AF">
        <w:t>effectiveness for other</w:t>
      </w:r>
      <w:r w:rsidR="00AC3ECD" w:rsidRPr="00AD49AF">
        <w:t xml:space="preserve"> ethnic and</w:t>
      </w:r>
      <w:r w:rsidR="00347123" w:rsidRPr="00AD49AF">
        <w:t xml:space="preserve"> cultural groups</w:t>
      </w:r>
      <w:r w:rsidR="00347123" w:rsidRPr="00AD49AF">
        <w:rPr>
          <w:lang w:val="en-US"/>
        </w:rPr>
        <w:t xml:space="preserve"> </w:t>
      </w:r>
      <w:r w:rsidR="00955D2B" w:rsidRPr="00AD49AF">
        <w:rPr>
          <w:lang w:val="en-US"/>
        </w:rPr>
        <w:fldChar w:fldCharType="begin" w:fldLock="1"/>
      </w:r>
      <w:r w:rsidR="0006001E" w:rsidRPr="00AD49AF">
        <w:rPr>
          <w:lang w:val="en-US"/>
        </w:rPr>
        <w:instrText>ADDIN CSL_CITATION {"citationItems":[{"id":"ITEM-1","itemData":{"DOI":"10.1002/msc.1099","ISSN":"14782189","author":[{"dropping-particle":"","family":"Burton","given":"A.E. E.","non-dropping-particle":"","parse-names":false,"suffix":""},{"dropping-particle":"","family":"Shaw","given":"R.L. L.","non-dropping-particle":"","parse-names":false,"suffix":""}],"container-title":"Musculoskeletal Care","id":"ITEM-1","issue":"4","issued":{"date-parts":[["2015"]]},"title":"Pain Management Programmes for Non-English-Speaking Black and Minority Ethnic Groups With Long-Term or Chronic Pain","type":"article-journal","volume":"13"},"uris":["http://www.mendeley.com/documents/?uuid=fb10b46f-1834-4d11-87a4-abe332193d6e"]}],"mendeley":{"formattedCitation":"(Burton &amp; Shaw, 2015)","plainTextFormattedCitation":"(Burton &amp; Shaw, 2015)","previouslyFormattedCitation":"(Burton &amp; Shaw, 2015)"},"properties":{"noteIndex":0},"schema":"https://github.com/citation-style-language/schema/raw/master/csl-citation.json"}</w:instrText>
      </w:r>
      <w:r w:rsidR="00955D2B" w:rsidRPr="00AD49AF">
        <w:rPr>
          <w:lang w:val="en-US"/>
        </w:rPr>
        <w:fldChar w:fldCharType="separate"/>
      </w:r>
      <w:r w:rsidR="00955D2B" w:rsidRPr="00AD49AF">
        <w:rPr>
          <w:noProof/>
          <w:lang w:val="en-US"/>
        </w:rPr>
        <w:t>(Burton &amp; Shaw, 2015)</w:t>
      </w:r>
      <w:r w:rsidR="00955D2B" w:rsidRPr="00AD49AF">
        <w:rPr>
          <w:lang w:val="en-US"/>
        </w:rPr>
        <w:fldChar w:fldCharType="end"/>
      </w:r>
      <w:r w:rsidR="00955D2B" w:rsidRPr="00AD49AF">
        <w:rPr>
          <w:lang w:val="en-US"/>
        </w:rPr>
        <w:t>.</w:t>
      </w:r>
    </w:p>
    <w:p w14:paraId="785BAB15" w14:textId="51807E85" w:rsidR="002D7244" w:rsidRPr="00AD49AF" w:rsidRDefault="0001262A" w:rsidP="00E861FB">
      <w:pPr>
        <w:rPr>
          <w:lang w:val="en-US"/>
        </w:rPr>
      </w:pPr>
      <w:r w:rsidRPr="00AD49AF">
        <w:rPr>
          <w:lang w:val="en-US"/>
        </w:rPr>
        <w:t xml:space="preserve">One barrier to referral </w:t>
      </w:r>
      <w:r w:rsidR="007C2932" w:rsidRPr="00AD49AF">
        <w:rPr>
          <w:lang w:val="en-US"/>
        </w:rPr>
        <w:t>for secondary chronic pain services</w:t>
      </w:r>
      <w:r w:rsidR="00E525D9" w:rsidRPr="00AD49AF">
        <w:rPr>
          <w:lang w:val="en-US"/>
        </w:rPr>
        <w:t xml:space="preserve"> is the perception by </w:t>
      </w:r>
      <w:r w:rsidR="00AC3ECD" w:rsidRPr="00AD49AF">
        <w:rPr>
          <w:lang w:val="en-US"/>
        </w:rPr>
        <w:t>GPs</w:t>
      </w:r>
      <w:r w:rsidR="00E525D9" w:rsidRPr="00AD49AF">
        <w:rPr>
          <w:lang w:val="en-US"/>
        </w:rPr>
        <w:t xml:space="preserve"> that pain reported by South Asian patients has an underlying psychological basis</w:t>
      </w:r>
      <w:r w:rsidR="00096CB7" w:rsidRPr="00AD49AF">
        <w:rPr>
          <w:lang w:val="en-US"/>
        </w:rPr>
        <w:t xml:space="preserve"> and </w:t>
      </w:r>
      <w:r w:rsidRPr="00AD49AF">
        <w:rPr>
          <w:lang w:val="en-US"/>
        </w:rPr>
        <w:t xml:space="preserve">that </w:t>
      </w:r>
      <w:r w:rsidR="00096CB7" w:rsidRPr="00AD49AF">
        <w:rPr>
          <w:lang w:val="en-US"/>
        </w:rPr>
        <w:t xml:space="preserve">there is a lack of culturally appropriate physical therapy and community support </w:t>
      </w:r>
      <w:r w:rsidR="00096CB7" w:rsidRPr="00AD49AF">
        <w:rPr>
          <w:lang w:val="en-US"/>
        </w:rPr>
        <w:fldChar w:fldCharType="begin" w:fldLock="1"/>
      </w:r>
      <w:r w:rsidR="006C6411" w:rsidRPr="00AD49AF">
        <w:rPr>
          <w:lang w:val="en-US"/>
        </w:rPr>
        <w:instrText>ADDIN CSL_CITATION {"citationItems":[{"id":"ITEM-1","itemData":{"DOI":"10.1177/1359105309341003","ISBN":"1359105309341","ISSN":"13591053","PMID":"19786517","abstract":"This qualitative study describes GPs' experiences of and needs for management of people from a South Asian community who have chronic pain. Semi-structured interviews were conducted with 18 GPs from practices in two PCTs in Leicester. The data was analysed using grounded theory. The results indicate that managing patients from a South Asian community with chronic pain can be challenging due to differing pain expression and presentation. Emerging themes refer to shortages of services for these patients including the need for CBT, counselling, community support and GP education and training. Potential implications of the results for service provision are discussed.","author":[{"dropping-particle":"","family":"Patel","given":"S.","non-dropping-particle":"","parse-names":false,"suffix":""},{"dropping-particle":"","family":"Peacock","given":"S. M.","non-dropping-particle":"","parse-names":false,"suffix":""},{"dropping-particle":"","family":"McKinley","given":"R. K.","non-dropping-particle":"","parse-names":false,"suffix":""},{"dropping-particle":"","family":"Clark-Carter","given":"D.","non-dropping-particle":"","parse-names":false,"suffix":""},{"dropping-particle":"","family":"Watson","given":"P. J.","non-dropping-particle":"","parse-names":false,"suffix":""}],"container-title":"Journal of Health Psychology","id":"ITEM-1","issue":"7","issued":{"date-parts":[["2009"]]},"page":"909-918","title":"GPs' perceptions of the service needs of South Asian people with chronic pain: A qualitative enquiry","type":"article-journal","volume":"14"},"uris":["http://www.mendeley.com/documents/?uuid=06daaef8-4503-49eb-9a8b-32a955e40c3f"]}],"mendeley":{"formattedCitation":"(S. Patel, Peacock, McKinley, Clark-Carter, &amp; Watson, 2009)","plainTextFormattedCitation":"(S. Patel, Peacock, McKinley, Clark-Carter, &amp; Watson, 2009)","previouslyFormattedCitation":"(S. Patel, Peacock, McKinley, Clark-Carter, &amp; Watson, 2009)"},"properties":{"noteIndex":0},"schema":"https://github.com/citation-style-language/schema/raw/master/csl-citation.json"}</w:instrText>
      </w:r>
      <w:r w:rsidR="00096CB7" w:rsidRPr="00AD49AF">
        <w:rPr>
          <w:lang w:val="en-US"/>
        </w:rPr>
        <w:fldChar w:fldCharType="separate"/>
      </w:r>
      <w:r w:rsidR="00C75288" w:rsidRPr="00AD49AF">
        <w:rPr>
          <w:noProof/>
          <w:lang w:val="en-US"/>
        </w:rPr>
        <w:t>(S. Patel, Peacock, McKinley, Clark-Carter, &amp; Watson, 2009)</w:t>
      </w:r>
      <w:r w:rsidR="00096CB7" w:rsidRPr="00AD49AF">
        <w:rPr>
          <w:lang w:val="en-US"/>
        </w:rPr>
        <w:fldChar w:fldCharType="end"/>
      </w:r>
      <w:r w:rsidR="00096CB7" w:rsidRPr="00AD49AF">
        <w:rPr>
          <w:lang w:val="en-US"/>
        </w:rPr>
        <w:t xml:space="preserve">. </w:t>
      </w:r>
      <w:r w:rsidR="005629FD" w:rsidRPr="00AD49AF">
        <w:rPr>
          <w:lang w:val="en-US"/>
        </w:rPr>
        <w:t xml:space="preserve">Furthermore, individuals who </w:t>
      </w:r>
      <w:r w:rsidR="00A9227E" w:rsidRPr="00AD49AF">
        <w:rPr>
          <w:lang w:val="en-US"/>
        </w:rPr>
        <w:t>deliver</w:t>
      </w:r>
      <w:r w:rsidR="00FD3CD0" w:rsidRPr="00AD49AF">
        <w:rPr>
          <w:lang w:val="en-US"/>
        </w:rPr>
        <w:t xml:space="preserve"> health education and self-management </w:t>
      </w:r>
      <w:proofErr w:type="spellStart"/>
      <w:r w:rsidR="00FD3CD0" w:rsidRPr="00AD49AF">
        <w:rPr>
          <w:lang w:val="en-US"/>
        </w:rPr>
        <w:t>programmes</w:t>
      </w:r>
      <w:proofErr w:type="spellEnd"/>
      <w:r w:rsidR="00F859FA" w:rsidRPr="00AD49AF">
        <w:rPr>
          <w:lang w:val="en-US"/>
        </w:rPr>
        <w:t xml:space="preserve"> to South Asian attendees</w:t>
      </w:r>
      <w:r w:rsidR="00FD3CD0" w:rsidRPr="00AD49AF">
        <w:rPr>
          <w:lang w:val="en-US"/>
        </w:rPr>
        <w:t xml:space="preserve"> have ex</w:t>
      </w:r>
      <w:r w:rsidR="00396611" w:rsidRPr="00AD49AF">
        <w:rPr>
          <w:lang w:val="en-US"/>
        </w:rPr>
        <w:t>p</w:t>
      </w:r>
      <w:r w:rsidR="00FD3CD0" w:rsidRPr="00AD49AF">
        <w:rPr>
          <w:lang w:val="en-US"/>
        </w:rPr>
        <w:t>ressed</w:t>
      </w:r>
      <w:r w:rsidR="00396611" w:rsidRPr="00AD49AF">
        <w:rPr>
          <w:lang w:val="en-US"/>
        </w:rPr>
        <w:t xml:space="preserve"> uncertainty about the needs </w:t>
      </w:r>
      <w:r w:rsidR="00867AB4" w:rsidRPr="00AD49AF">
        <w:rPr>
          <w:lang w:val="en-US"/>
        </w:rPr>
        <w:t xml:space="preserve">of </w:t>
      </w:r>
      <w:r w:rsidR="00F859FA" w:rsidRPr="00AD49AF">
        <w:rPr>
          <w:lang w:val="en-US"/>
        </w:rPr>
        <w:t>this population</w:t>
      </w:r>
      <w:r w:rsidR="00B70642" w:rsidRPr="00AD49AF">
        <w:rPr>
          <w:lang w:val="en-US"/>
        </w:rPr>
        <w:t>; highlighting</w:t>
      </w:r>
      <w:r w:rsidR="00F934BF" w:rsidRPr="00AD49AF">
        <w:rPr>
          <w:lang w:val="en-US"/>
        </w:rPr>
        <w:t xml:space="preserve"> </w:t>
      </w:r>
      <w:r w:rsidR="004E6DD4" w:rsidRPr="00AD49AF">
        <w:rPr>
          <w:lang w:val="en-US"/>
        </w:rPr>
        <w:t>a need for cultural competence training</w:t>
      </w:r>
      <w:r w:rsidR="0059176B" w:rsidRPr="00AD49AF">
        <w:rPr>
          <w:lang w:val="en-US"/>
        </w:rPr>
        <w:t xml:space="preserve"> </w:t>
      </w:r>
      <w:r w:rsidR="0059176B" w:rsidRPr="00AD49AF">
        <w:rPr>
          <w:lang w:val="en-US"/>
        </w:rPr>
        <w:fldChar w:fldCharType="begin" w:fldLock="1"/>
      </w:r>
      <w:r w:rsidR="00691D72" w:rsidRPr="00AD49AF">
        <w:rPr>
          <w:lang w:val="en-US"/>
        </w:rPr>
        <w:instrText>ADDIN CSL_CITATION {"citationItems":[{"id":"ITEM-1","itemData":{"ISSN":"1743-1913","abstract":"Deaths from long-term health conditions (LTHCs) are set to escalate rapidly worldwide over the coming decade. Many people from South Asian (SA) backgrounds in the UK face a heightened risk of such conditions, as they already experience severe health inequalities compared with the majority population, including a raised prevalence of many LTHCs. To address these issues, the World Health Organization advocates the use of psycho-educational self-management interventions, to empower people with LTHCs to improve their everyday management of the condition. In England and Wales, pairs of trained volunteer lay tutors deliver one such intervention, the Expert Patients Programme (EPP). However, few people from SA backgrounds attended the pilot phase of the EPP, raising disturbing concerns about exacerbating existing health inequalities. This exploratory, descriptive, cross-sectional study aimed to understand white lay tutors' experiences of delivering the EPP to English-speaking SA attendees. Qualitative in-depth semi-structured interviews were conducted, then verbatim transcripts were analysed using interpretative phenomenological analysis, to gain insight into participants' experiences. A divergence of tutors' training needs and South Asian attendees' perceived needs was identified. Conflicting and sometimes controversial views emerged about the tutors' understanding of the appropriateness of single-ethnicity versus mixed-ethnicity courses, and the role of interpreters on the EPP, in the themes of integration versus segregation and interpreters. This paper concludes that while these tutors have some understanding of SA people's needs in relation to the EPP, they may benefit from cultural competence training. The complexity of implementing both culturally integrated and ethnicity-specific public health interventions is highlighted, as is the requirement for genuine consultation with SA user groups.","author":[{"dropping-particle":"","family":"Hipwell","given":"A","non-dropping-particle":"","parse-names":false,"suffix":""},{"dropping-particle":"","family":"Turner","given":"A","non-dropping-particle":"","parse-names":false,"suffix":""},{"dropping-particle":"","family":"Barlow","given":"J","non-dropping-particle":"","parse-names":false,"suffix":""}],"container-title":"Diversity in Health &amp; Social …","id":"ITEM-1","issued":{"date-parts":[["2008"]]},"page":"281-290","title":"'We're not fully aware of their cultural needs': tutors' experiences of delivering the Expert Patients Programme to South Asian attendees.","type":"article-journal","volume":"5"},"uris":["http://www.mendeley.com/documents/?uuid=215a8c05-90d7-45be-9ccc-ec11bc507df4"]}],"mendeley":{"formattedCitation":"(Hipwell, Turner, &amp; Barlow, 2008)","plainTextFormattedCitation":"(Hipwell, Turner, &amp; Barlow, 2008)","previouslyFormattedCitation":"(Hipwell, Turner, &amp; Barlow, 2008)"},"properties":{"noteIndex":0},"schema":"https://github.com/citation-style-language/schema/raw/master/csl-citation.json"}</w:instrText>
      </w:r>
      <w:r w:rsidR="0059176B" w:rsidRPr="00AD49AF">
        <w:rPr>
          <w:lang w:val="en-US"/>
        </w:rPr>
        <w:fldChar w:fldCharType="separate"/>
      </w:r>
      <w:r w:rsidR="0059176B" w:rsidRPr="00AD49AF">
        <w:rPr>
          <w:noProof/>
          <w:lang w:val="en-US"/>
        </w:rPr>
        <w:t>(Hipwell, Turner, &amp; Barlow, 2008)</w:t>
      </w:r>
      <w:r w:rsidR="0059176B" w:rsidRPr="00AD49AF">
        <w:rPr>
          <w:lang w:val="en-US"/>
        </w:rPr>
        <w:fldChar w:fldCharType="end"/>
      </w:r>
      <w:r w:rsidR="00B70642" w:rsidRPr="00AD49AF">
        <w:rPr>
          <w:lang w:val="en-US"/>
        </w:rPr>
        <w:t>.</w:t>
      </w:r>
    </w:p>
    <w:p w14:paraId="48636663" w14:textId="613B5200" w:rsidR="00163181" w:rsidRPr="00AD49AF" w:rsidRDefault="002D7244" w:rsidP="00E861FB">
      <w:pPr>
        <w:rPr>
          <w:lang w:val="en-US"/>
        </w:rPr>
      </w:pPr>
      <w:r w:rsidRPr="00AD49AF">
        <w:rPr>
          <w:lang w:val="en-US"/>
        </w:rPr>
        <w:t>Barriers</w:t>
      </w:r>
      <w:r w:rsidR="001638FF" w:rsidRPr="00AD49AF">
        <w:rPr>
          <w:lang w:val="en-US"/>
        </w:rPr>
        <w:t xml:space="preserve"> to attendance at outpatient services </w:t>
      </w:r>
      <w:r w:rsidR="001638FF" w:rsidRPr="00AD49AF">
        <w:rPr>
          <w:lang w:val="en-US"/>
        </w:rPr>
        <w:fldChar w:fldCharType="begin" w:fldLock="1"/>
      </w:r>
      <w:r w:rsidR="0059176B" w:rsidRPr="00AD49AF">
        <w:rPr>
          <w:lang w:val="en-US"/>
        </w:rPr>
        <w:instrText>ADDIN CSL_CITATION {"citationItems":[{"id":"ITEM-1","itemData":{"DOI":"10.1016/j.socscimed.2004.07.016","ISBN":"0277-9536","ISSN":"02779536","PMID":"15626522","abstract":"Achieving equity in healthcare, in the form of equal use for equal need, is an objective of many healthcare systems. The evaluation of equity requires value judgements as well as analysis of data. Previous studies are limited in the range of health and supply variables considered but show a pro-poor distribution of general practitioner consultations and inpatient services and a pro-rich distribution of outpatient visits. We investigate inequality and inequity in the use of general practitioner consultations, outpatient visits, day cases and inpatient stays in England with a unique linked data set that combines rich information on the health of individuals and their socio-economic circumstances with information on local supply factors. The data are for the period 1998-2000, just prior to the introduction of a set of National Health Service (NHS) reforms with potential equity implications. We find inequalities in utilisation with respect to income, ethnicity, employment status and education. Low-income individuals and ethnic minorities have lower use of secondary care despite having higher use of primary care. Ward level supply factors affect utilisation and are important for investigating health care inequality. Our results show some evidence of inequity prior to the reforms and provide a baseline against which the effects of the new NHS can be assessed. © 2004 Elsevier Ltd. All rights reserved.","author":[{"dropping-particle":"","family":"Morris","given":"Stephen","non-dropping-particle":"","parse-names":false,"suffix":""},{"dropping-particle":"","family":"Sutton","given":"Matthew","non-dropping-particle":"","parse-names":false,"suffix":""},{"dropping-particle":"","family":"Gravelle","given":"Hugh","non-dropping-particle":"","parse-names":false,"suffix":""}],"container-title":"Social Science and Medicine","id":"ITEM-1","issue":"6","issued":{"date-parts":[["2005"]]},"page":"1251-1266","title":"Inequity and inequality in the use of health care in England: An empirical investigation","type":"article-journal","volume":"60"},"uris":["http://www.mendeley.com/documents/?uuid=97d70360-54f9-4f8a-8d61-c0798a3b3a2d"]}],"mendeley":{"formattedCitation":"(Morris et al., 2005)","plainTextFormattedCitation":"(Morris et al., 2005)","previouslyFormattedCitation":"(Morris et al., 2005)"},"properties":{"noteIndex":0},"schema":"https://github.com/citation-style-language/schema/raw/master/csl-citation.json"}</w:instrText>
      </w:r>
      <w:r w:rsidR="001638FF" w:rsidRPr="00AD49AF">
        <w:rPr>
          <w:lang w:val="en-US"/>
        </w:rPr>
        <w:fldChar w:fldCharType="separate"/>
      </w:r>
      <w:r w:rsidR="001638FF" w:rsidRPr="00AD49AF">
        <w:rPr>
          <w:noProof/>
          <w:lang w:val="en-US"/>
        </w:rPr>
        <w:t>(Morris et al., 2005)</w:t>
      </w:r>
      <w:r w:rsidR="001638FF" w:rsidRPr="00AD49AF">
        <w:rPr>
          <w:lang w:val="en-US"/>
        </w:rPr>
        <w:fldChar w:fldCharType="end"/>
      </w:r>
      <w:r w:rsidR="00057D34" w:rsidRPr="00AD49AF">
        <w:rPr>
          <w:lang w:val="en-US"/>
        </w:rPr>
        <w:t xml:space="preserve">, challenges with referral to secondary care </w:t>
      </w:r>
      <w:r w:rsidR="00057D34" w:rsidRPr="00AD49AF">
        <w:rPr>
          <w:lang w:val="en-US"/>
        </w:rPr>
        <w:fldChar w:fldCharType="begin" w:fldLock="1"/>
      </w:r>
      <w:r w:rsidR="006C6411" w:rsidRPr="00AD49AF">
        <w:rPr>
          <w:lang w:val="en-US"/>
        </w:rPr>
        <w:instrText>ADDIN CSL_CITATION {"citationItems":[{"id":"ITEM-1","itemData":{"DOI":"10.1177/1359105309341003","ISBN":"1359105309341","ISSN":"13591053","PMID":"19786517","abstract":"This qualitative study describes GPs' experiences of and needs for management of people from a South Asian community who have chronic pain. Semi-structured interviews were conducted with 18 GPs from practices in two PCTs in Leicester. The data was analysed using grounded theory. The results indicate that managing patients from a South Asian community with chronic pain can be challenging due to differing pain expression and presentation. Emerging themes refer to shortages of services for these patients including the need for CBT, counselling, community support and GP education and training. Potential implications of the results for service provision are discussed.","author":[{"dropping-particle":"","family":"Patel","given":"S.","non-dropping-particle":"","parse-names":false,"suffix":""},{"dropping-particle":"","family":"Peacock","given":"S. M.","non-dropping-particle":"","parse-names":false,"suffix":""},{"dropping-particle":"","family":"McKinley","given":"R. K.","non-dropping-particle":"","parse-names":false,"suffix":""},{"dropping-particle":"","family":"Clark-Carter","given":"D.","non-dropping-particle":"","parse-names":false,"suffix":""},{"dropping-particle":"","family":"Watson","given":"P. J.","non-dropping-particle":"","parse-names":false,"suffix":""}],"container-title":"Journal of Health Psychology","id":"ITEM-1","issue":"7","issued":{"date-parts":[["2009"]]},"page":"909-918","title":"GPs' perceptions of the service needs of South Asian people with chronic pain: A qualitative enquiry","type":"article-journal","volume":"14"},"uris":["http://www.mendeley.com/documents/?uuid=06daaef8-4503-49eb-9a8b-32a955e40c3f"]}],"mendeley":{"formattedCitation":"(S. Patel et al., 2009)","plainTextFormattedCitation":"(S. Patel et al., 2009)","previouslyFormattedCitation":"(S. Patel et al., 2009)"},"properties":{"noteIndex":0},"schema":"https://github.com/citation-style-language/schema/raw/master/csl-citation.json"}</w:instrText>
      </w:r>
      <w:r w:rsidR="00057D34" w:rsidRPr="00AD49AF">
        <w:rPr>
          <w:lang w:val="en-US"/>
        </w:rPr>
        <w:fldChar w:fldCharType="separate"/>
      </w:r>
      <w:r w:rsidR="00C75288" w:rsidRPr="00AD49AF">
        <w:rPr>
          <w:noProof/>
          <w:lang w:val="en-US"/>
        </w:rPr>
        <w:t>(S. Patel et al., 2009)</w:t>
      </w:r>
      <w:r w:rsidR="00057D34" w:rsidRPr="00AD49AF">
        <w:rPr>
          <w:lang w:val="en-US"/>
        </w:rPr>
        <w:fldChar w:fldCharType="end"/>
      </w:r>
      <w:r w:rsidR="00057D34" w:rsidRPr="00AD49AF">
        <w:rPr>
          <w:lang w:val="en-US"/>
        </w:rPr>
        <w:t>, and uncertainty regarding the</w:t>
      </w:r>
      <w:r w:rsidRPr="00AD49AF">
        <w:rPr>
          <w:lang w:val="en-US"/>
        </w:rPr>
        <w:t xml:space="preserve"> delivery of services to South Asian populations </w:t>
      </w:r>
      <w:r w:rsidRPr="00AD49AF">
        <w:rPr>
          <w:lang w:val="en-US"/>
        </w:rPr>
        <w:fldChar w:fldCharType="begin" w:fldLock="1"/>
      </w:r>
      <w:r w:rsidR="00691D72" w:rsidRPr="00AD49AF">
        <w:rPr>
          <w:lang w:val="en-US"/>
        </w:rPr>
        <w:instrText>ADDIN CSL_CITATION {"citationItems":[{"id":"ITEM-1","itemData":{"ISSN":"1743-1913","abstract":"Deaths from long-term health conditions (LTHCs) are set to escalate rapidly worldwide over the coming decade. Many people from South Asian (SA) backgrounds in the UK face a heightened risk of such conditions, as they already experience severe health inequalities compared with the majority population, including a raised prevalence of many LTHCs. To address these issues, the World Health Organization advocates the use of psycho-educational self-management interventions, to empower people with LTHCs to improve their everyday management of the condition. In England and Wales, pairs of trained volunteer lay tutors deliver one such intervention, the Expert Patients Programme (EPP). However, few people from SA backgrounds attended the pilot phase of the EPP, raising disturbing concerns about exacerbating existing health inequalities. This exploratory, descriptive, cross-sectional study aimed to understand white lay tutors' experiences of delivering the EPP to English-speaking SA attendees. Qualitative in-depth semi-structured interviews were conducted, then verbatim transcripts were analysed using interpretative phenomenological analysis, to gain insight into participants' experiences. A divergence of tutors' training needs and South Asian attendees' perceived needs was identified. Conflicting and sometimes controversial views emerged about the tutors' understanding of the appropriateness of single-ethnicity versus mixed-ethnicity courses, and the role of interpreters on the EPP, in the themes of integration versus segregation and interpreters. This paper concludes that while these tutors have some understanding of SA people's needs in relation to the EPP, they may benefit from cultural competence training. The complexity of implementing both culturally integrated and ethnicity-specific public health interventions is highlighted, as is the requirement for genuine consultation with SA user groups.","author":[{"dropping-particle":"","family":"Hipwell","given":"A","non-dropping-particle":"","parse-names":false,"suffix":""},{"dropping-particle":"","family":"Turner","given":"A","non-dropping-particle":"","parse-names":false,"suffix":""},{"dropping-particle":"","family":"Barlow","given":"J","non-dropping-particle":"","parse-names":false,"suffix":""}],"container-title":"Diversity in Health &amp; Social …","id":"ITEM-1","issued":{"date-parts":[["2008"]]},"page":"281-290","title":"'We're not fully aware of their cultural needs': tutors' experiences of delivering the Expert Patients Programme to South Asian attendees.","type":"article-journal","volume":"5"},"uris":["http://www.mendeley.com/documents/?uuid=215a8c05-90d7-45be-9ccc-ec11bc507df4"]}],"mendeley":{"formattedCitation":"(Hipwell et al., 2008)","plainTextFormattedCitation":"(Hipwell et al., 2008)","previouslyFormattedCitation":"(Hipwell et al., 2008)"},"properties":{"noteIndex":0},"schema":"https://github.com/citation-style-language/schema/raw/master/csl-citation.json"}</w:instrText>
      </w:r>
      <w:r w:rsidRPr="00AD49AF">
        <w:rPr>
          <w:lang w:val="en-US"/>
        </w:rPr>
        <w:fldChar w:fldCharType="separate"/>
      </w:r>
      <w:r w:rsidRPr="00AD49AF">
        <w:rPr>
          <w:noProof/>
          <w:lang w:val="en-US"/>
        </w:rPr>
        <w:t>(Hipwell et al., 2008)</w:t>
      </w:r>
      <w:r w:rsidRPr="00AD49AF">
        <w:rPr>
          <w:lang w:val="en-US"/>
        </w:rPr>
        <w:fldChar w:fldCharType="end"/>
      </w:r>
      <w:r w:rsidR="001638FF" w:rsidRPr="00AD49AF">
        <w:rPr>
          <w:lang w:val="en-US"/>
        </w:rPr>
        <w:t xml:space="preserve"> </w:t>
      </w:r>
      <w:r w:rsidR="00DD5137" w:rsidRPr="00AD49AF">
        <w:rPr>
          <w:lang w:val="en-US"/>
        </w:rPr>
        <w:t>illustrate</w:t>
      </w:r>
      <w:r w:rsidR="00110C52" w:rsidRPr="00AD49AF">
        <w:rPr>
          <w:lang w:val="en-US"/>
        </w:rPr>
        <w:t xml:space="preserve"> </w:t>
      </w:r>
      <w:r w:rsidR="000252CB" w:rsidRPr="00AD49AF">
        <w:rPr>
          <w:lang w:val="en-US"/>
        </w:rPr>
        <w:t xml:space="preserve">a clear need to </w:t>
      </w:r>
      <w:r w:rsidR="00893E47" w:rsidRPr="00AD49AF">
        <w:rPr>
          <w:lang w:val="en-US"/>
        </w:rPr>
        <w:t>determine</w:t>
      </w:r>
      <w:r w:rsidR="000252CB" w:rsidRPr="00AD49AF">
        <w:rPr>
          <w:lang w:val="en-US"/>
        </w:rPr>
        <w:t xml:space="preserve"> the suitability </w:t>
      </w:r>
      <w:r w:rsidR="0091386F" w:rsidRPr="00AD49AF">
        <w:rPr>
          <w:lang w:val="en-US"/>
        </w:rPr>
        <w:t>of</w:t>
      </w:r>
      <w:r w:rsidR="00711CD6" w:rsidRPr="00AD49AF">
        <w:rPr>
          <w:lang w:val="en-US"/>
        </w:rPr>
        <w:t xml:space="preserve"> PMP</w:t>
      </w:r>
      <w:r w:rsidR="00EC67B0" w:rsidRPr="00AD49AF">
        <w:rPr>
          <w:lang w:val="en-US"/>
        </w:rPr>
        <w:t xml:space="preserve"> content</w:t>
      </w:r>
      <w:r w:rsidR="000252CB" w:rsidRPr="00AD49AF">
        <w:rPr>
          <w:lang w:val="en-US"/>
        </w:rPr>
        <w:t xml:space="preserve"> </w:t>
      </w:r>
      <w:r w:rsidR="00EC67B0" w:rsidRPr="00AD49AF">
        <w:rPr>
          <w:lang w:val="en-US"/>
        </w:rPr>
        <w:t xml:space="preserve">in order to </w:t>
      </w:r>
      <w:r w:rsidR="0005350A" w:rsidRPr="00AD49AF">
        <w:rPr>
          <w:lang w:val="en-US"/>
        </w:rPr>
        <w:t>improve the development of these</w:t>
      </w:r>
      <w:r w:rsidR="00EC67B0" w:rsidRPr="00AD49AF">
        <w:rPr>
          <w:lang w:val="en-US"/>
        </w:rPr>
        <w:t xml:space="preserve"> services.</w:t>
      </w:r>
      <w:r w:rsidR="0005350A" w:rsidRPr="00AD49AF">
        <w:rPr>
          <w:lang w:val="en-US"/>
        </w:rPr>
        <w:t xml:space="preserve"> </w:t>
      </w:r>
      <w:r w:rsidR="00E97551" w:rsidRPr="00AD49AF">
        <w:rPr>
          <w:lang w:val="en-US"/>
        </w:rPr>
        <w:t>This research sought to explore pain management beliefs of members of the South Asian community living in the UK</w:t>
      </w:r>
      <w:r w:rsidR="00DD5137" w:rsidRPr="00AD49AF">
        <w:rPr>
          <w:lang w:val="en-US"/>
        </w:rPr>
        <w:t xml:space="preserve">. In particular, </w:t>
      </w:r>
      <w:r w:rsidR="0069540A" w:rsidRPr="00AD49AF">
        <w:rPr>
          <w:lang w:val="en-US"/>
        </w:rPr>
        <w:t xml:space="preserve">understandings </w:t>
      </w:r>
      <w:r w:rsidR="00DD5137" w:rsidRPr="00AD49AF">
        <w:rPr>
          <w:lang w:val="en-US"/>
        </w:rPr>
        <w:t xml:space="preserve">regarding the key components of CBT </w:t>
      </w:r>
      <w:r w:rsidR="0091386F" w:rsidRPr="00AD49AF">
        <w:rPr>
          <w:lang w:val="en-US"/>
        </w:rPr>
        <w:t>informed PMPs</w:t>
      </w:r>
      <w:r w:rsidR="00DD5137" w:rsidRPr="00AD49AF">
        <w:rPr>
          <w:lang w:val="en-US"/>
        </w:rPr>
        <w:t xml:space="preserve"> were explored</w:t>
      </w:r>
      <w:r w:rsidR="00B153F2" w:rsidRPr="00AD49AF">
        <w:rPr>
          <w:lang w:val="en-US"/>
        </w:rPr>
        <w:t xml:space="preserve"> in order to </w:t>
      </w:r>
      <w:r w:rsidR="005962C5" w:rsidRPr="00AD49AF">
        <w:rPr>
          <w:lang w:val="en-US"/>
        </w:rPr>
        <w:t xml:space="preserve">assess </w:t>
      </w:r>
      <w:r w:rsidR="00B153F2" w:rsidRPr="00AD49AF">
        <w:rPr>
          <w:lang w:val="en-US"/>
        </w:rPr>
        <w:t>the applicability of key principles</w:t>
      </w:r>
      <w:r w:rsidR="00673828" w:rsidRPr="00AD49AF">
        <w:rPr>
          <w:lang w:val="en-US"/>
        </w:rPr>
        <w:t xml:space="preserve"> recommended by the British Pain Society </w:t>
      </w:r>
      <w:r w:rsidR="00673828" w:rsidRPr="00AD49AF">
        <w:rPr>
          <w:lang w:val="en-US"/>
        </w:rPr>
        <w:fldChar w:fldCharType="begin" w:fldLock="1"/>
      </w:r>
      <w:r w:rsidR="0052010B" w:rsidRPr="00AD49AF">
        <w:rPr>
          <w:lang w:val="en-US"/>
        </w:rPr>
        <w:instrText>ADDIN CSL_CITATION {"citationItems":[{"id":"ITEM-1","itemData":{"ISBN":"9780956138644","author":[{"dropping-particle":"","family":"The British Pain Society","given":"","non-dropping-particle":"","parse-names":false,"suffix":""}],"id":"ITEM-1","issued":{"date-parts":[["2013"]]},"publisher-place":"London, UK","title":"The British Pain Society Guidelines for Pain Management Programmes for adults","type":"report"},"suppress-author":1,"uris":["http://www.mendeley.com/documents/?uuid=eeffad0f-2c64-4b73-a1ac-54effe9fe038"]}],"mendeley":{"formattedCitation":"(2013)","plainTextFormattedCitation":"(2013)","previouslyFormattedCitation":"(2013)"},"properties":{"noteIndex":0},"schema":"https://github.com/citation-style-language/schema/raw/master/csl-citation.json"}</w:instrText>
      </w:r>
      <w:r w:rsidR="00673828" w:rsidRPr="00AD49AF">
        <w:rPr>
          <w:lang w:val="en-US"/>
        </w:rPr>
        <w:fldChar w:fldCharType="separate"/>
      </w:r>
      <w:r w:rsidR="00673828" w:rsidRPr="00AD49AF">
        <w:rPr>
          <w:noProof/>
          <w:lang w:val="en-US"/>
        </w:rPr>
        <w:t>(2013)</w:t>
      </w:r>
      <w:r w:rsidR="00673828" w:rsidRPr="00AD49AF">
        <w:rPr>
          <w:lang w:val="en-US"/>
        </w:rPr>
        <w:fldChar w:fldCharType="end"/>
      </w:r>
      <w:r w:rsidR="00673828" w:rsidRPr="00AD49AF">
        <w:rPr>
          <w:lang w:val="en-US"/>
        </w:rPr>
        <w:t xml:space="preserve"> which </w:t>
      </w:r>
      <w:r w:rsidR="00B153F2" w:rsidRPr="00AD49AF">
        <w:rPr>
          <w:lang w:val="en-US"/>
        </w:rPr>
        <w:t>underly</w:t>
      </w:r>
      <w:r w:rsidR="00F56856" w:rsidRPr="00AD49AF">
        <w:rPr>
          <w:lang w:val="en-US"/>
        </w:rPr>
        <w:t xml:space="preserve"> the majority of</w:t>
      </w:r>
      <w:r w:rsidR="00673828" w:rsidRPr="00AD49AF">
        <w:rPr>
          <w:lang w:val="en-US"/>
        </w:rPr>
        <w:t xml:space="preserve"> UK</w:t>
      </w:r>
      <w:r w:rsidR="00B153F2" w:rsidRPr="00AD49AF">
        <w:rPr>
          <w:lang w:val="en-US"/>
        </w:rPr>
        <w:t xml:space="preserve"> </w:t>
      </w:r>
      <w:proofErr w:type="spellStart"/>
      <w:r w:rsidR="004276F6" w:rsidRPr="00AD49AF">
        <w:rPr>
          <w:lang w:val="en-US"/>
        </w:rPr>
        <w:t>programmes</w:t>
      </w:r>
      <w:proofErr w:type="spellEnd"/>
      <w:r w:rsidR="004276F6" w:rsidRPr="00AD49AF">
        <w:rPr>
          <w:lang w:val="en-US"/>
        </w:rPr>
        <w:t>.</w:t>
      </w:r>
    </w:p>
    <w:p w14:paraId="05EE726C" w14:textId="7B240298" w:rsidR="00FE0040" w:rsidRPr="00AD49AF" w:rsidRDefault="00FE0040" w:rsidP="00E861FB">
      <w:pPr>
        <w:pStyle w:val="Heading1"/>
      </w:pPr>
      <w:r w:rsidRPr="00AD49AF">
        <w:lastRenderedPageBreak/>
        <w:t>Method</w:t>
      </w:r>
    </w:p>
    <w:p w14:paraId="27A85B2C" w14:textId="2F4C8C9C" w:rsidR="00FE0040" w:rsidRPr="00AD49AF" w:rsidRDefault="005D7D46" w:rsidP="00E861FB">
      <w:pPr>
        <w:pStyle w:val="Heading2"/>
      </w:pPr>
      <w:r w:rsidRPr="00AD49AF">
        <w:t>Recruitment</w:t>
      </w:r>
    </w:p>
    <w:p w14:paraId="46240B8C" w14:textId="5EDB75E8" w:rsidR="003D6594" w:rsidRPr="00AD49AF" w:rsidRDefault="004028D0" w:rsidP="00E861FB">
      <w:r w:rsidRPr="00AD49AF">
        <w:t>Project information</w:t>
      </w:r>
      <w:r w:rsidR="00E57552" w:rsidRPr="00AD49AF">
        <w:t xml:space="preserve"> </w:t>
      </w:r>
      <w:r w:rsidR="00A20FD4" w:rsidRPr="00AD49AF">
        <w:t xml:space="preserve">was circulated </w:t>
      </w:r>
      <w:r w:rsidR="00E57552" w:rsidRPr="00AD49AF">
        <w:t xml:space="preserve">to </w:t>
      </w:r>
      <w:r w:rsidR="00741422" w:rsidRPr="00AD49AF">
        <w:t>community</w:t>
      </w:r>
      <w:r w:rsidR="00256E32" w:rsidRPr="00AD49AF">
        <w:t>-</w:t>
      </w:r>
      <w:r w:rsidR="00741422" w:rsidRPr="00AD49AF">
        <w:t xml:space="preserve">based groups and Mosques in </w:t>
      </w:r>
      <w:r w:rsidR="000B0933" w:rsidRPr="00AD49AF">
        <w:t>Birmingham</w:t>
      </w:r>
      <w:r w:rsidR="006D081A" w:rsidRPr="00AD49AF">
        <w:t xml:space="preserve"> and placed as advertisements</w:t>
      </w:r>
      <w:r w:rsidR="00812E74" w:rsidRPr="00AD49AF">
        <w:t xml:space="preserve"> on social media, online discussion boards and mailing lists. </w:t>
      </w:r>
      <w:r w:rsidR="006D081A" w:rsidRPr="00AD49AF">
        <w:t>P</w:t>
      </w:r>
      <w:r w:rsidR="00812E74" w:rsidRPr="00AD49AF">
        <w:t>articipants</w:t>
      </w:r>
      <w:r w:rsidR="00E57552" w:rsidRPr="00AD49AF">
        <w:t xml:space="preserve"> were </w:t>
      </w:r>
      <w:r w:rsidR="00122F41" w:rsidRPr="00AD49AF">
        <w:t xml:space="preserve">asked to identify other community members who may be interested </w:t>
      </w:r>
      <w:r w:rsidR="00812E74" w:rsidRPr="00AD49AF">
        <w:t>in taking part,</w:t>
      </w:r>
      <w:r w:rsidR="003B0292" w:rsidRPr="00AD49AF">
        <w:t xml:space="preserve"> using a snowball sampling technique </w:t>
      </w:r>
      <w:r w:rsidR="003B0292" w:rsidRPr="00AD49AF">
        <w:fldChar w:fldCharType="begin" w:fldLock="1"/>
      </w:r>
      <w:r w:rsidR="003B0292" w:rsidRPr="00AD49AF">
        <w:instrText>ADDIN CSL_CITATION {"citationItems":[{"id":"ITEM-1","itemData":{"author":[{"dropping-particle":"","family":"Atkinson","given":"R","non-dropping-particle":"","parse-names":false,"suffix":""},{"dropping-particle":"","family":"Flint","given":"J","non-dropping-particle":"","parse-names":false,"suffix":""}],"container-title":"Encyclopedia of Social Science Research Methods","editor":[{"dropping-particle":"","family":"Lewis-Beck","given":"M","non-dropping-particle":"","parse-names":false,"suffix":""},{"dropping-particle":"","family":"Bryman","given":"A","non-dropping-particle":"","parse-names":false,"suffix":""},{"dropping-particle":"","family":"Liao","given":"T","non-dropping-particle":"","parse-names":false,"suffix":""}],"id":"ITEM-1","issued":{"date-parts":[["2004"]]},"page":"1044-1045","publisher":"Sage Publications","publisher-place":"Thousand Oaks, CA","title":"Snowball Sampling","type":"chapter"},"uris":["http://www.mendeley.com/documents/?uuid=dccf425e-2b50-4d7f-a6d0-d88c5764d6fd"]}],"mendeley":{"formattedCitation":"(Atkinson &amp; Flint, 2004)","plainTextFormattedCitation":"(Atkinson &amp; Flint, 2004)","previouslyFormattedCitation":"(Atkinson &amp; Flint, 2004)"},"properties":{"noteIndex":0},"schema":"https://github.com/citation-style-language/schema/raw/master/csl-citation.json"}</w:instrText>
      </w:r>
      <w:r w:rsidR="003B0292" w:rsidRPr="00AD49AF">
        <w:fldChar w:fldCharType="separate"/>
      </w:r>
      <w:r w:rsidR="003B0292" w:rsidRPr="00AD49AF">
        <w:rPr>
          <w:noProof/>
        </w:rPr>
        <w:t>(Atkinson &amp; Flint, 2004)</w:t>
      </w:r>
      <w:r w:rsidR="003B0292" w:rsidRPr="00AD49AF">
        <w:fldChar w:fldCharType="end"/>
      </w:r>
      <w:r w:rsidR="003B0292" w:rsidRPr="00AD49AF">
        <w:t xml:space="preserve">. </w:t>
      </w:r>
      <w:r w:rsidR="00C0375D" w:rsidRPr="00AD49AF">
        <w:t xml:space="preserve">Snowball </w:t>
      </w:r>
      <w:r w:rsidR="003B0292" w:rsidRPr="00AD49AF">
        <w:t>sampling is an effective strategy for recruiting these hard-to-reach groups</w:t>
      </w:r>
      <w:r w:rsidR="00C0375D" w:rsidRPr="00AD49AF">
        <w:t xml:space="preserve"> who are underrepresented in health research</w:t>
      </w:r>
      <w:r w:rsidR="003B0292" w:rsidRPr="00AD49AF">
        <w:t xml:space="preserve"> </w:t>
      </w:r>
      <w:r w:rsidR="003B0292" w:rsidRPr="00AD49AF">
        <w:fldChar w:fldCharType="begin" w:fldLock="1"/>
      </w:r>
      <w:r w:rsidR="003B0292" w:rsidRPr="00AD49AF">
        <w:instrText>ADDIN CSL_CITATION {"citationItems":[{"id":"ITEM-1","itemData":{"author":[{"dropping-particle":"","family":"Sadler","given":"R. G","non-dropping-particle":"","parse-names":false,"suffix":""},{"dropping-particle":"","family":"Lee","given":"H-C","non-dropping-particle":"","parse-names":false,"suffix":""},{"dropping-particle":"","family":"Lim","given":"R. S-H","non-dropping-particle":"","parse-names":false,"suffix":""},{"dropping-particle":"","family":"Fullerton","given":"J","non-dropping-particle":"","parse-names":false,"suffix":""}],"container-title":"Nursing and Health Sciences","id":"ITEM-1","issued":{"date-parts":[["2010"]]},"page":"369-374","title":"Recruiting hard-to-reach United States population sub-groups via adaptations of snowball sampling strategy","type":"article-journal","volume":"12"},"uris":["http://www.mendeley.com/documents/?uuid=529309bd-c0e8-42f5-b07f-8de11a58f682"]}],"mendeley":{"formattedCitation":"(Sadler, Lee, Lim, &amp; Fullerton, 2010)","plainTextFormattedCitation":"(Sadler, Lee, Lim, &amp; Fullerton, 2010)","previouslyFormattedCitation":"(Sadler, Lee, Lim, &amp; Fullerton, 2010)"},"properties":{"noteIndex":0},"schema":"https://github.com/citation-style-language/schema/raw/master/csl-citation.json"}</w:instrText>
      </w:r>
      <w:r w:rsidR="003B0292" w:rsidRPr="00AD49AF">
        <w:fldChar w:fldCharType="separate"/>
      </w:r>
      <w:r w:rsidR="003B0292" w:rsidRPr="00AD49AF">
        <w:rPr>
          <w:noProof/>
        </w:rPr>
        <w:t>(Sadler, Lee, Lim, &amp; Fullerton, 2010)</w:t>
      </w:r>
      <w:r w:rsidR="003B0292" w:rsidRPr="00AD49AF">
        <w:fldChar w:fldCharType="end"/>
      </w:r>
      <w:r w:rsidR="00122F41" w:rsidRPr="00AD49AF">
        <w:t>.</w:t>
      </w:r>
      <w:r w:rsidR="00232EEF" w:rsidRPr="00AD49AF">
        <w:t xml:space="preserve"> The study aimed to recruit 10-15 participants representing </w:t>
      </w:r>
      <w:r w:rsidR="00065F7C" w:rsidRPr="00AD49AF">
        <w:t xml:space="preserve">a small to medium project employing thematic analysis </w:t>
      </w:r>
      <w:r w:rsidR="00065F7C" w:rsidRPr="00AD49AF">
        <w:fldChar w:fldCharType="begin" w:fldLock="1"/>
      </w:r>
      <w:r w:rsidR="00375589" w:rsidRPr="00AD49AF">
        <w:instrText>ADDIN CSL_CITATION {"citationItems":[{"id":"ITEM-1","itemData":{"author":[{"dropping-particle":"","family":"Braun","given":"V.","non-dropping-particle":"","parse-names":false,"suffix":""},{"dropping-particle":"","family":"Clarke","given":"V.","non-dropping-particle":"","parse-names":false,"suffix":""}],"id":"ITEM-1","issued":{"date-parts":[["2013"]]},"publisher":"Sage","publisher-place":"London","title":"Successful qualitative research: A practical guide for beginners.","type":"book"},"uris":["http://www.mendeley.com/documents/?uuid=f07eaa5c-8dfb-465f-8ec5-5bbf221d38f5"]}],"mendeley":{"formattedCitation":"(Braun &amp; Clarke, 2013)","plainTextFormattedCitation":"(Braun &amp; Clarke, 2013)","previouslyFormattedCitation":"(Braun &amp; Clarke, 2013)"},"properties":{"noteIndex":0},"schema":"https://github.com/citation-style-language/schema/raw/master/csl-citation.json"}</w:instrText>
      </w:r>
      <w:r w:rsidR="00065F7C" w:rsidRPr="00AD49AF">
        <w:fldChar w:fldCharType="separate"/>
      </w:r>
      <w:r w:rsidR="00065F7C" w:rsidRPr="00AD49AF">
        <w:rPr>
          <w:noProof/>
        </w:rPr>
        <w:t>(Braun &amp; Clarke, 2013)</w:t>
      </w:r>
      <w:r w:rsidR="00065F7C" w:rsidRPr="00AD49AF">
        <w:fldChar w:fldCharType="end"/>
      </w:r>
      <w:r w:rsidR="00E860ED" w:rsidRPr="00AD49AF">
        <w:t>.</w:t>
      </w:r>
      <w:r w:rsidR="000B0933" w:rsidRPr="00AD49AF">
        <w:t xml:space="preserve"> </w:t>
      </w:r>
      <w:r w:rsidR="00122F41" w:rsidRPr="00AD49AF">
        <w:t xml:space="preserve">Sampling </w:t>
      </w:r>
      <w:r w:rsidR="00E57552" w:rsidRPr="00AD49AF">
        <w:t>continued unti</w:t>
      </w:r>
      <w:r w:rsidR="00122F41" w:rsidRPr="00AD49AF">
        <w:t>l no new themes</w:t>
      </w:r>
      <w:r w:rsidR="00E57552" w:rsidRPr="00AD49AF">
        <w:t xml:space="preserve"> or </w:t>
      </w:r>
      <w:r w:rsidR="00122F41" w:rsidRPr="00AD49AF">
        <w:t xml:space="preserve">key issues </w:t>
      </w:r>
      <w:r w:rsidR="00E57552" w:rsidRPr="00AD49AF">
        <w:t xml:space="preserve">were being </w:t>
      </w:r>
      <w:r w:rsidR="003D447D" w:rsidRPr="00AD49AF">
        <w:t>i</w:t>
      </w:r>
      <w:r w:rsidR="00122F41" w:rsidRPr="00AD49AF">
        <w:t>dentified in the interviews therefore achi</w:t>
      </w:r>
      <w:r w:rsidR="00E57552" w:rsidRPr="00AD49AF">
        <w:t>ev</w:t>
      </w:r>
      <w:r w:rsidR="00870CAE" w:rsidRPr="00AD49AF">
        <w:t>ing</w:t>
      </w:r>
      <w:r w:rsidR="00122F41" w:rsidRPr="00AD49AF">
        <w:t xml:space="preserve"> </w:t>
      </w:r>
      <w:r w:rsidR="00870CAE" w:rsidRPr="00AD49AF">
        <w:t>‘</w:t>
      </w:r>
      <w:r w:rsidR="00122F41" w:rsidRPr="00AD49AF">
        <w:t>theoretical saturation</w:t>
      </w:r>
      <w:r w:rsidR="00870CAE" w:rsidRPr="00AD49AF">
        <w:t>’</w:t>
      </w:r>
      <w:r w:rsidR="003D6594" w:rsidRPr="00AD49AF">
        <w:t xml:space="preserve"> </w:t>
      </w:r>
      <w:r w:rsidR="003D6594" w:rsidRPr="00AD49AF">
        <w:fldChar w:fldCharType="begin" w:fldLock="1"/>
      </w:r>
      <w:r w:rsidR="004D69EC" w:rsidRPr="00AD49AF">
        <w:instrText>ADDIN CSL_CITATION {"citationItems":[{"id":"ITEM-1","itemData":{"author":[{"dropping-particle":"","family":"Dallos","given":"R.","non-dropping-particle":"","parse-names":false,"suffix":""},{"dropping-particle":"","family":"Vetere","given":"A.","non-dropping-particle":"","parse-names":false,"suffix":""}],"id":"ITEM-1","issued":{"date-parts":[["2005"]]},"publisher":"Open University Press","publisher-place":"Berkshire","title":"Researching Psychotherapy and Counselling","type":"book"},"uris":["http://www.mendeley.com/documents/?uuid=b56b5a04-7b7f-4176-bc89-be447e6d57cb"]}],"mendeley":{"formattedCitation":"(Dallos &amp; Vetere, 2005)","plainTextFormattedCitation":"(Dallos &amp; Vetere, 2005)","previouslyFormattedCitation":"(Dallos &amp; Vetere, 2005)"},"properties":{"noteIndex":0},"schema":"https://github.com/citation-style-language/schema/raw/master/csl-citation.json"}</w:instrText>
      </w:r>
      <w:r w:rsidR="003D6594" w:rsidRPr="00AD49AF">
        <w:fldChar w:fldCharType="separate"/>
      </w:r>
      <w:r w:rsidR="003D6594" w:rsidRPr="00AD49AF">
        <w:rPr>
          <w:noProof/>
        </w:rPr>
        <w:t>(Dallos &amp; Vetere, 2005)</w:t>
      </w:r>
      <w:r w:rsidR="003D6594" w:rsidRPr="00AD49AF">
        <w:fldChar w:fldCharType="end"/>
      </w:r>
    </w:p>
    <w:p w14:paraId="5880661F" w14:textId="16957E6E" w:rsidR="00E147B1" w:rsidRPr="00AD49AF" w:rsidRDefault="005A025C" w:rsidP="00E861FB">
      <w:pPr>
        <w:pStyle w:val="Heading2"/>
      </w:pPr>
      <w:r w:rsidRPr="00AD49AF">
        <w:t>Procedure</w:t>
      </w:r>
    </w:p>
    <w:p w14:paraId="65C41399" w14:textId="3DB19C2B" w:rsidR="005A025C" w:rsidRPr="00AD49AF" w:rsidRDefault="009C7BD0" w:rsidP="00E861FB">
      <w:r w:rsidRPr="00AD49AF">
        <w:t>Interested individuals</w:t>
      </w:r>
      <w:r w:rsidR="005A025C" w:rsidRPr="00AD49AF">
        <w:t xml:space="preserve"> were </w:t>
      </w:r>
      <w:r w:rsidR="007D11F3" w:rsidRPr="00AD49AF">
        <w:t>sent</w:t>
      </w:r>
      <w:r w:rsidR="005A025C" w:rsidRPr="00AD49AF">
        <w:t xml:space="preserve"> a copy of the participant information sheet. Several days were given for consideration</w:t>
      </w:r>
      <w:r w:rsidR="00B65B8F" w:rsidRPr="00AD49AF">
        <w:t>, then</w:t>
      </w:r>
      <w:r w:rsidR="005331A1" w:rsidRPr="00AD49AF">
        <w:t xml:space="preserve"> </w:t>
      </w:r>
      <w:r w:rsidR="00834C90" w:rsidRPr="00AD49AF">
        <w:t>potential participant</w:t>
      </w:r>
      <w:r w:rsidR="007F6DDA" w:rsidRPr="00AD49AF">
        <w:t xml:space="preserve">s </w:t>
      </w:r>
      <w:r w:rsidR="00B65B8F" w:rsidRPr="00AD49AF">
        <w:t>were</w:t>
      </w:r>
      <w:r w:rsidR="007F6DDA" w:rsidRPr="00AD49AF">
        <w:t xml:space="preserve"> </w:t>
      </w:r>
      <w:r w:rsidR="005A025C" w:rsidRPr="00AD49AF">
        <w:t xml:space="preserve">contacted </w:t>
      </w:r>
      <w:r w:rsidR="005331A1" w:rsidRPr="00AD49AF">
        <w:t xml:space="preserve">to answer any questions </w:t>
      </w:r>
      <w:r w:rsidR="00FB5E79" w:rsidRPr="00AD49AF">
        <w:t>and arrange a time for interview</w:t>
      </w:r>
      <w:r w:rsidR="005A025C" w:rsidRPr="00AD49AF">
        <w:t xml:space="preserve">. </w:t>
      </w:r>
      <w:r w:rsidR="00BF2F03" w:rsidRPr="00AD49AF">
        <w:t>Participants</w:t>
      </w:r>
      <w:r w:rsidR="00B30613" w:rsidRPr="00AD49AF">
        <w:t xml:space="preserve"> were</w:t>
      </w:r>
      <w:r w:rsidR="005A025C" w:rsidRPr="00AD49AF">
        <w:t xml:space="preserve"> given the option of being interviewed by phone or face-to-face</w:t>
      </w:r>
      <w:r w:rsidR="00FC6919" w:rsidRPr="00AD49AF">
        <w:t xml:space="preserve"> </w:t>
      </w:r>
      <w:r w:rsidR="00FB5E79" w:rsidRPr="00AD49AF">
        <w:t>when geographically possible</w:t>
      </w:r>
      <w:r w:rsidR="005A025C" w:rsidRPr="00AD49AF">
        <w:t>.</w:t>
      </w:r>
      <w:r w:rsidR="00343FD7" w:rsidRPr="00AD49AF">
        <w:t xml:space="preserve"> Face-to-face interviews were completed in local community spaces chosen by the participants.</w:t>
      </w:r>
      <w:r w:rsidR="005A025C" w:rsidRPr="00AD49AF">
        <w:t xml:space="preserve"> Phone </w:t>
      </w:r>
      <w:r w:rsidR="00C56131" w:rsidRPr="00AD49AF">
        <w:t>interviewees</w:t>
      </w:r>
      <w:r w:rsidR="005A025C" w:rsidRPr="00AD49AF">
        <w:t xml:space="preserve"> </w:t>
      </w:r>
      <w:r w:rsidR="00790ABF" w:rsidRPr="00AD49AF">
        <w:t>read</w:t>
      </w:r>
      <w:r w:rsidR="00FB5E79" w:rsidRPr="00AD49AF">
        <w:t xml:space="preserve"> a copy of the consent form</w:t>
      </w:r>
      <w:r w:rsidR="00607EDD" w:rsidRPr="00AD49AF">
        <w:t>, th</w:t>
      </w:r>
      <w:r w:rsidR="00313C8F" w:rsidRPr="00AD49AF">
        <w:t>is</w:t>
      </w:r>
      <w:r w:rsidR="00607EDD" w:rsidRPr="00AD49AF">
        <w:t xml:space="preserve"> was also read </w:t>
      </w:r>
      <w:r w:rsidR="00B30613" w:rsidRPr="00AD49AF">
        <w:t>aloud by the interviewer</w:t>
      </w:r>
      <w:r w:rsidR="00607EDD" w:rsidRPr="00AD49AF">
        <w:t xml:space="preserve"> and verbal consent was audio recorded. </w:t>
      </w:r>
      <w:r w:rsidR="005A025C" w:rsidRPr="00AD49AF">
        <w:t xml:space="preserve">Face-to-face </w:t>
      </w:r>
      <w:r w:rsidR="000F0EC2" w:rsidRPr="00AD49AF">
        <w:t>interviewees</w:t>
      </w:r>
      <w:r w:rsidR="005A025C" w:rsidRPr="00AD49AF">
        <w:t xml:space="preserve"> </w:t>
      </w:r>
      <w:r w:rsidR="00607EDD" w:rsidRPr="00AD49AF">
        <w:t>completed written consent</w:t>
      </w:r>
      <w:r w:rsidR="00BF2F03" w:rsidRPr="00AD49AF">
        <w:t xml:space="preserve"> in person</w:t>
      </w:r>
      <w:r w:rsidR="005A025C" w:rsidRPr="00AD49AF">
        <w:t xml:space="preserve">. </w:t>
      </w:r>
      <w:r w:rsidR="00FB7DAC" w:rsidRPr="00AD49AF">
        <w:t xml:space="preserve">All </w:t>
      </w:r>
      <w:r w:rsidR="00790ABF" w:rsidRPr="00AD49AF">
        <w:t>declined the offer of</w:t>
      </w:r>
      <w:r w:rsidR="005A025C" w:rsidRPr="00AD49AF">
        <w:t xml:space="preserve"> an interpreter</w:t>
      </w:r>
      <w:r w:rsidR="00FB7DAC" w:rsidRPr="00AD49AF">
        <w:t>.</w:t>
      </w:r>
    </w:p>
    <w:p w14:paraId="2335CFD6" w14:textId="0EFA0C83" w:rsidR="00C44EB9" w:rsidRPr="00AD49AF" w:rsidRDefault="005A025C" w:rsidP="00E861FB">
      <w:r w:rsidRPr="00AD49AF">
        <w:t xml:space="preserve">Interviews </w:t>
      </w:r>
      <w:r w:rsidR="00FB7DAC" w:rsidRPr="00AD49AF">
        <w:t>were</w:t>
      </w:r>
      <w:r w:rsidRPr="00AD49AF">
        <w:t xml:space="preserve"> </w:t>
      </w:r>
      <w:r w:rsidR="00B1204C" w:rsidRPr="00AD49AF">
        <w:t xml:space="preserve">guided by a </w:t>
      </w:r>
      <w:r w:rsidRPr="00AD49AF">
        <w:t>semi-structured interview schedule</w:t>
      </w:r>
      <w:r w:rsidR="00F51651" w:rsidRPr="00AD49AF">
        <w:t xml:space="preserve"> (Table 1)</w:t>
      </w:r>
      <w:r w:rsidR="00FB7DAC" w:rsidRPr="00AD49AF">
        <w:t xml:space="preserve">. </w:t>
      </w:r>
      <w:r w:rsidR="00BD141C" w:rsidRPr="00AD49AF">
        <w:t xml:space="preserve">The interview schedule was devised </w:t>
      </w:r>
      <w:r w:rsidR="00837B1B" w:rsidRPr="00AD49AF">
        <w:t>by the first and second authors and based on existing literature exploring health in South Asian communities, the second authors knowledge of PMPs and clinical practice experience, and the British Pain Society (2013) guidelines on the content of PMP programmes.</w:t>
      </w:r>
      <w:r w:rsidR="00BD141C" w:rsidRPr="00AD49AF">
        <w:t xml:space="preserve"> </w:t>
      </w:r>
      <w:r w:rsidR="00FB7DAC" w:rsidRPr="00AD49AF">
        <w:t>The schedule</w:t>
      </w:r>
      <w:r w:rsidR="00B1204C" w:rsidRPr="00AD49AF">
        <w:t xml:space="preserve"> was used flexibly</w:t>
      </w:r>
      <w:r w:rsidR="00FB7DAC" w:rsidRPr="00AD49AF">
        <w:t xml:space="preserve"> to</w:t>
      </w:r>
      <w:r w:rsidRPr="00AD49AF">
        <w:t xml:space="preserve"> </w:t>
      </w:r>
      <w:r w:rsidR="00FB7DAC" w:rsidRPr="00AD49AF">
        <w:t xml:space="preserve">ensure participants were given </w:t>
      </w:r>
      <w:r w:rsidRPr="00AD49AF">
        <w:t xml:space="preserve">the opportunity to voice the </w:t>
      </w:r>
      <w:r w:rsidR="00313C8F" w:rsidRPr="00AD49AF">
        <w:t xml:space="preserve">beliefs </w:t>
      </w:r>
      <w:r w:rsidRPr="00AD49AF">
        <w:t xml:space="preserve">and ideas which </w:t>
      </w:r>
      <w:r w:rsidR="00FB7DAC" w:rsidRPr="00AD49AF">
        <w:t>were</w:t>
      </w:r>
      <w:r w:rsidRPr="00AD49AF">
        <w:t xml:space="preserve"> important to them. </w:t>
      </w:r>
      <w:r w:rsidR="00C44EB9" w:rsidRPr="00AD49AF">
        <w:t>Questions explored demographic information, pain history, specific pain experiences (</w:t>
      </w:r>
      <w:r w:rsidR="008503A8" w:rsidRPr="00AD49AF">
        <w:t>e.g.</w:t>
      </w:r>
      <w:r w:rsidR="00C44EB9" w:rsidRPr="00AD49AF">
        <w:t xml:space="preserve"> ‘What do you normally do when you experience pain?’), community member expressions of and reactions to pain (</w:t>
      </w:r>
      <w:r w:rsidR="008503A8" w:rsidRPr="00AD49AF">
        <w:t xml:space="preserve">e.g. </w:t>
      </w:r>
      <w:r w:rsidR="00C44EB9" w:rsidRPr="00AD49AF">
        <w:t>‘How do you know when someone in your community is experiencing pain?’), treatment expectations (</w:t>
      </w:r>
      <w:r w:rsidR="008503A8" w:rsidRPr="00AD49AF">
        <w:t xml:space="preserve">e.g. </w:t>
      </w:r>
      <w:r w:rsidR="00C44EB9" w:rsidRPr="00AD49AF">
        <w:t>‘How do you think chronic pain should be treated?’)</w:t>
      </w:r>
      <w:r w:rsidR="00AA3EAE" w:rsidRPr="00AD49AF">
        <w:t>,</w:t>
      </w:r>
      <w:r w:rsidR="00E567DE" w:rsidRPr="00AD49AF">
        <w:t xml:space="preserve"> and</w:t>
      </w:r>
      <w:r w:rsidR="00AA3EAE" w:rsidRPr="00AD49AF">
        <w:t xml:space="preserve"> perceptions of self-management recommendations (</w:t>
      </w:r>
      <w:r w:rsidR="008503A8" w:rsidRPr="00AD49AF">
        <w:t xml:space="preserve">e.g. </w:t>
      </w:r>
      <w:r w:rsidR="00AA3EAE" w:rsidRPr="00AD49AF">
        <w:t>‘Health care professionals often advise to do regular physical activity to manage chronic pain - how easily could you fit this into your current day-to-day life?’)</w:t>
      </w:r>
      <w:r w:rsidR="006249DF" w:rsidRPr="00AD49AF">
        <w:t>.</w:t>
      </w:r>
      <w:r w:rsidR="00F1210C" w:rsidRPr="00AD49AF">
        <w:t xml:space="preserve"> Interviews lasted between 30 minutes and 1 hour. </w:t>
      </w:r>
    </w:p>
    <w:p w14:paraId="59131848" w14:textId="68321A77" w:rsidR="00F51651" w:rsidRPr="00AD49AF" w:rsidRDefault="00F51651" w:rsidP="00F51651">
      <w:pPr>
        <w:jc w:val="center"/>
      </w:pPr>
      <w:r w:rsidRPr="00AD49AF">
        <w:t>**INSERT TABLE 1 ABOUT HERE**</w:t>
      </w:r>
    </w:p>
    <w:p w14:paraId="1D064E8E" w14:textId="20D8A819" w:rsidR="00FE0040" w:rsidRPr="00AD49AF" w:rsidRDefault="00584087" w:rsidP="00E861FB">
      <w:pPr>
        <w:pStyle w:val="Heading2"/>
      </w:pPr>
      <w:r w:rsidRPr="00AD49AF">
        <w:t>Analysis</w:t>
      </w:r>
    </w:p>
    <w:p w14:paraId="7DA40AFD" w14:textId="066A8463" w:rsidR="0085717D" w:rsidRPr="00AD49AF" w:rsidRDefault="00FB7DAC" w:rsidP="00E861FB">
      <w:r w:rsidRPr="00AD49AF">
        <w:lastRenderedPageBreak/>
        <w:t>Interviews were transcribed verbatim and subjected to</w:t>
      </w:r>
      <w:r w:rsidR="008A6C12" w:rsidRPr="00AD49AF">
        <w:t xml:space="preserve"> </w:t>
      </w:r>
      <w:r w:rsidR="005A7CDC" w:rsidRPr="00AD49AF">
        <w:t xml:space="preserve">descriptive </w:t>
      </w:r>
      <w:r w:rsidRPr="00AD49AF">
        <w:t>Thematic Analysis (Braun &amp; Clarke, 2013) conducted by the first and third authors</w:t>
      </w:r>
      <w:r w:rsidR="00EB03FC" w:rsidRPr="00AD49AF">
        <w:t>. A</w:t>
      </w:r>
      <w:r w:rsidR="00B34362" w:rsidRPr="00AD49AF">
        <w:t xml:space="preserve"> </w:t>
      </w:r>
      <w:r w:rsidR="00163450" w:rsidRPr="00AD49AF">
        <w:t>critical realist</w:t>
      </w:r>
      <w:r w:rsidR="00EB03FC" w:rsidRPr="00AD49AF">
        <w:t xml:space="preserve"> perspective</w:t>
      </w:r>
      <w:r w:rsidR="001F0308" w:rsidRPr="00AD49AF">
        <w:t xml:space="preserve"> </w:t>
      </w:r>
      <w:r w:rsidR="00EB03FC" w:rsidRPr="00AD49AF">
        <w:t>was taken</w:t>
      </w:r>
      <w:r w:rsidR="000F1A11" w:rsidRPr="00AD49AF">
        <w:t xml:space="preserve"> </w:t>
      </w:r>
      <w:r w:rsidR="00163450" w:rsidRPr="00AD49AF">
        <w:t xml:space="preserve">to data analysis, </w:t>
      </w:r>
      <w:r w:rsidR="000F1A11" w:rsidRPr="00AD49AF">
        <w:t>which acknowledges</w:t>
      </w:r>
      <w:r w:rsidR="00163450" w:rsidRPr="00AD49AF">
        <w:t xml:space="preserve"> that </w:t>
      </w:r>
      <w:r w:rsidR="0072525E" w:rsidRPr="00AD49AF">
        <w:t xml:space="preserve">contextual factors including culture, language and political interests, shape </w:t>
      </w:r>
      <w:r w:rsidR="00807385" w:rsidRPr="00AD49AF">
        <w:t xml:space="preserve">how </w:t>
      </w:r>
      <w:r w:rsidR="00163450" w:rsidRPr="00AD49AF">
        <w:t>reality is experienced</w:t>
      </w:r>
      <w:r w:rsidR="00C64156" w:rsidRPr="00AD49AF">
        <w:t xml:space="preserve"> and </w:t>
      </w:r>
      <w:r w:rsidR="0072525E" w:rsidRPr="00AD49AF">
        <w:t xml:space="preserve">interpreted </w:t>
      </w:r>
      <w:r w:rsidR="00307859" w:rsidRPr="00AD49AF">
        <w:fldChar w:fldCharType="begin" w:fldLock="1"/>
      </w:r>
      <w:r w:rsidR="00BE32CD" w:rsidRPr="00AD49AF">
        <w:instrText>ADDIN CSL_CITATION {"citationItems":[{"id":"ITEM-1","itemData":{"author":[{"dropping-particle":"","family":"Braun","given":"V.","non-dropping-particle":"","parse-names":false,"suffix":""},{"dropping-particle":"","family":"Clarke","given":"V.","non-dropping-particle":"","parse-names":false,"suffix":""}],"id":"ITEM-1","issued":{"date-parts":[["2013"]]},"publisher":"Sage","publisher-place":"London","title":"Successful qualitative research: A practical guide for beginners.","type":"book"},"uris":["http://www.mendeley.com/documents/?uuid=f07eaa5c-8dfb-465f-8ec5-5bbf221d38f5"]},{"id":"ITEM-2","itemData":{"DOI":"http://dx.doi.org/10.1191/1478088706qp063oa","ISSN":"1478-0887","abstract":"Thematic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 Research in Psychology 2006; 3: 77/101","author":[{"dropping-particle":"","family":"Braun","given":"V","non-dropping-particle":"","parse-names":false,"suffix":""},{"dropping-particle":"","family":"Clarke","given":"V","non-dropping-particle":"","parse-names":false,"suffix":""}],"container-title":"Qualitative Research in Psychology","id":"ITEM-2","issued":{"date-parts":[["2006"]]},"page":"37-41","title":"Using thematic analysis in psychology","type":"article-journal"},"uris":["http://www.mendeley.com/documents/?uuid=841c598b-f5c9-4598-b7b4-56b829f88b6d"]}],"mendeley":{"formattedCitation":"(Braun &amp; Clarke, 2006, 2013)","plainTextFormattedCitation":"(Braun &amp; Clarke, 2006, 2013)","previouslyFormattedCitation":"(Braun &amp; Clarke, 2006, 2013)"},"properties":{"noteIndex":0},"schema":"https://github.com/citation-style-language/schema/raw/master/csl-citation.json"}</w:instrText>
      </w:r>
      <w:r w:rsidR="00307859" w:rsidRPr="00AD49AF">
        <w:fldChar w:fldCharType="separate"/>
      </w:r>
      <w:r w:rsidR="00307859" w:rsidRPr="00AD49AF">
        <w:rPr>
          <w:noProof/>
        </w:rPr>
        <w:t>(Braun &amp; Clarke, 2006, 2013)</w:t>
      </w:r>
      <w:r w:rsidR="00307859" w:rsidRPr="00AD49AF">
        <w:fldChar w:fldCharType="end"/>
      </w:r>
      <w:r w:rsidR="00441714" w:rsidRPr="00AD49AF">
        <w:t>.</w:t>
      </w:r>
      <w:r w:rsidR="00B65CBA" w:rsidRPr="00AD49AF">
        <w:t xml:space="preserve"> This approach </w:t>
      </w:r>
      <w:r w:rsidR="00493735" w:rsidRPr="00AD49AF">
        <w:t>recognises</w:t>
      </w:r>
      <w:r w:rsidR="00B65CBA" w:rsidRPr="00AD49AF">
        <w:t xml:space="preserve"> </w:t>
      </w:r>
      <w:r w:rsidR="00073E86" w:rsidRPr="00AD49AF">
        <w:t>that we can only partially access a participants ‘reality’</w:t>
      </w:r>
      <w:r w:rsidR="00493735" w:rsidRPr="00AD49AF">
        <w:t>, but that we need to</w:t>
      </w:r>
      <w:r w:rsidR="007F3B4E" w:rsidRPr="00AD49AF">
        <w:t xml:space="preserve"> claim that an ‘authentic’ reality exists </w:t>
      </w:r>
      <w:r w:rsidR="0028742B" w:rsidRPr="00AD49AF">
        <w:t>in order to create knowledge with practical applications</w:t>
      </w:r>
      <w:r w:rsidR="00375589" w:rsidRPr="00AD49AF">
        <w:t xml:space="preserve"> </w:t>
      </w:r>
      <w:r w:rsidR="00375589" w:rsidRPr="00AD49AF">
        <w:fldChar w:fldCharType="begin" w:fldLock="1"/>
      </w:r>
      <w:r w:rsidR="005A1289" w:rsidRPr="00AD49AF">
        <w:instrText>ADDIN CSL_CITATION {"citationItems":[{"id":"ITEM-1","itemData":{"author":[{"dropping-particle":"","family":"Stainton Rogers","given":"W.","non-dropping-particle":"","parse-names":false,"suffix":""},{"dropping-particle":"","family":"Stainton Rogers","given":"R.","non-dropping-particle":"","parse-names":false,"suffix":""}],"container-title":"Critical Social Psychology","editor":[{"dropping-particle":"","family":"Ibanez","given":"T.","non-dropping-particle":"","parse-names":false,"suffix":""},{"dropping-particle":"","family":"Iniguez","given":"L.","non-dropping-particle":"","parse-names":false,"suffix":""}],"id":"ITEM-1","issued":{"date-parts":[["1997"]]},"page":"67-82","publisher":"Sage","publisher-place":"London","title":"Does critical psychology mean the end of the world?","type":"chapter"},"uris":["http://www.mendeley.com/documents/?uuid=0d65d458-93b8-4b9e-a4f1-e1b3d1cfe7ff"]}],"mendeley":{"formattedCitation":"(Stainton Rogers &amp; Stainton Rogers, 1997)","plainTextFormattedCitation":"(Stainton Rogers &amp; Stainton Rogers, 1997)","previouslyFormattedCitation":"(Stainton Rogers &amp; Stainton Rogers, 1997)"},"properties":{"noteIndex":0},"schema":"https://github.com/citation-style-language/schema/raw/master/csl-citation.json"}</w:instrText>
      </w:r>
      <w:r w:rsidR="00375589" w:rsidRPr="00AD49AF">
        <w:fldChar w:fldCharType="separate"/>
      </w:r>
      <w:r w:rsidR="00375589" w:rsidRPr="00AD49AF">
        <w:rPr>
          <w:noProof/>
        </w:rPr>
        <w:t>(Stainton Rogers &amp; Stainton Rogers, 1997)</w:t>
      </w:r>
      <w:r w:rsidR="00375589" w:rsidRPr="00AD49AF">
        <w:fldChar w:fldCharType="end"/>
      </w:r>
      <w:r w:rsidR="00A91B4E" w:rsidRPr="00AD49AF">
        <w:t xml:space="preserve">. </w:t>
      </w:r>
      <w:r w:rsidR="00A73D95" w:rsidRPr="00AD49AF">
        <w:t xml:space="preserve">The </w:t>
      </w:r>
      <w:r w:rsidR="00125EC9" w:rsidRPr="00AD49AF">
        <w:t xml:space="preserve">coding strategy focused on the </w:t>
      </w:r>
      <w:r w:rsidR="007A4EF6" w:rsidRPr="00AD49AF">
        <w:t>research aims</w:t>
      </w:r>
      <w:r w:rsidR="00125EC9" w:rsidRPr="00AD49AF">
        <w:t xml:space="preserve"> to explore</w:t>
      </w:r>
      <w:r w:rsidR="005A7CDC" w:rsidRPr="00AD49AF">
        <w:t xml:space="preserve"> and describe</w:t>
      </w:r>
      <w:r w:rsidR="00125EC9" w:rsidRPr="00AD49AF">
        <w:t xml:space="preserve"> </w:t>
      </w:r>
      <w:r w:rsidR="00441714" w:rsidRPr="00AD49AF">
        <w:t>understandings of</w:t>
      </w:r>
      <w:r w:rsidR="00125EC9" w:rsidRPr="00AD49AF">
        <w:t xml:space="preserve"> concepts key to the delivery of CBT </w:t>
      </w:r>
      <w:r w:rsidR="007A4EF6" w:rsidRPr="00AD49AF">
        <w:t>PMPS</w:t>
      </w:r>
      <w:r w:rsidR="00457BE2" w:rsidRPr="00AD49AF">
        <w:t xml:space="preserve"> </w:t>
      </w:r>
      <w:r w:rsidR="006570A0" w:rsidRPr="00AD49AF">
        <w:t>including</w:t>
      </w:r>
      <w:r w:rsidR="00F373AC" w:rsidRPr="00AD49AF">
        <w:t xml:space="preserve"> </w:t>
      </w:r>
      <w:r w:rsidR="00EC4985" w:rsidRPr="00AD49AF">
        <w:t>th</w:t>
      </w:r>
      <w:r w:rsidR="00F373AC" w:rsidRPr="00AD49AF">
        <w:t>oughts</w:t>
      </w:r>
      <w:r w:rsidR="005D3071" w:rsidRPr="00AD49AF">
        <w:t>,</w:t>
      </w:r>
      <w:r w:rsidR="00F373AC" w:rsidRPr="00AD49AF">
        <w:t xml:space="preserve"> beliefs,</w:t>
      </w:r>
      <w:r w:rsidR="00F82FAD" w:rsidRPr="00AD49AF">
        <w:t xml:space="preserve"> knowledge,</w:t>
      </w:r>
      <w:r w:rsidR="00510772" w:rsidRPr="00AD49AF">
        <w:t xml:space="preserve"> and self-care</w:t>
      </w:r>
      <w:r w:rsidR="005D3071" w:rsidRPr="00AD49AF">
        <w:t xml:space="preserve"> behaviours</w:t>
      </w:r>
      <w:r w:rsidR="00510772" w:rsidRPr="00AD49AF">
        <w:t xml:space="preserve"> (</w:t>
      </w:r>
      <w:r w:rsidR="005D3071" w:rsidRPr="00AD49AF">
        <w:t>e.g.</w:t>
      </w:r>
      <w:r w:rsidR="00F373AC" w:rsidRPr="00AD49AF">
        <w:t xml:space="preserve"> physical activity</w:t>
      </w:r>
      <w:r w:rsidR="00510772" w:rsidRPr="00AD49AF">
        <w:t>)</w:t>
      </w:r>
      <w:r w:rsidR="00BD4DE7" w:rsidRPr="00AD49AF">
        <w:t>.</w:t>
      </w:r>
      <w:r w:rsidR="003C54DB" w:rsidRPr="00AD49AF">
        <w:t xml:space="preserve"> T</w:t>
      </w:r>
      <w:r w:rsidR="00426D45" w:rsidRPr="00AD49AF">
        <w:t>hemes were reviewed and</w:t>
      </w:r>
      <w:r w:rsidR="00300DE7" w:rsidRPr="00AD49AF">
        <w:t xml:space="preserve"> confirmed by the second author</w:t>
      </w:r>
      <w:r w:rsidR="005F7E38" w:rsidRPr="00AD49AF">
        <w:t>.</w:t>
      </w:r>
      <w:r w:rsidR="003C54DB" w:rsidRPr="00AD49AF">
        <w:t xml:space="preserve"> The first and third authors reviewed the themes and transcripts and agreed data saturation had been achieved.</w:t>
      </w:r>
    </w:p>
    <w:p w14:paraId="6BC1B15B" w14:textId="77777777" w:rsidR="00295E5D" w:rsidRPr="00AD49AF" w:rsidRDefault="00295E5D" w:rsidP="00E861FB">
      <w:pPr>
        <w:pStyle w:val="Heading1"/>
      </w:pPr>
      <w:r w:rsidRPr="00AD49AF">
        <w:t>Ethical Approval</w:t>
      </w:r>
    </w:p>
    <w:p w14:paraId="6A737E50" w14:textId="20E90758" w:rsidR="00295E5D" w:rsidRPr="00AD49AF" w:rsidRDefault="00295E5D" w:rsidP="00E861FB">
      <w:r w:rsidRPr="00AD49AF">
        <w:t>Ethical approval was granted by Staffordshire University faculty of Health Sciences ethics panel.</w:t>
      </w:r>
    </w:p>
    <w:p w14:paraId="3DFFB3ED" w14:textId="422AC3BD" w:rsidR="00FE0040" w:rsidRPr="00AD49AF" w:rsidRDefault="00305578" w:rsidP="00E861FB">
      <w:pPr>
        <w:pStyle w:val="Heading1"/>
      </w:pPr>
      <w:r w:rsidRPr="00AD49AF">
        <w:t>R</w:t>
      </w:r>
      <w:r w:rsidR="00FE0040" w:rsidRPr="00AD49AF">
        <w:t xml:space="preserve">esults </w:t>
      </w:r>
    </w:p>
    <w:p w14:paraId="1C2D0390" w14:textId="4CF377BF" w:rsidR="005A025C" w:rsidRPr="00AD49AF" w:rsidRDefault="005A025C" w:rsidP="00E861FB">
      <w:pPr>
        <w:pStyle w:val="Heading2"/>
      </w:pPr>
      <w:r w:rsidRPr="00AD49AF">
        <w:t>Participants</w:t>
      </w:r>
    </w:p>
    <w:p w14:paraId="342E7D05" w14:textId="30D4CD86" w:rsidR="005A025C" w:rsidRPr="00AD49AF" w:rsidRDefault="005C285E" w:rsidP="00E861FB">
      <w:r w:rsidRPr="00AD49AF">
        <w:t>Ten interviews (two in person, eight via telephone) were conducted with</w:t>
      </w:r>
      <w:r w:rsidR="005A025C" w:rsidRPr="00AD49AF">
        <w:t xml:space="preserve"> South Asian adults</w:t>
      </w:r>
      <w:r w:rsidR="00955B43" w:rsidRPr="00AD49AF">
        <w:t xml:space="preserve"> (</w:t>
      </w:r>
      <w:r w:rsidR="00DD0129" w:rsidRPr="00AD49AF">
        <w:t>S</w:t>
      </w:r>
      <w:r w:rsidR="005A025C" w:rsidRPr="00AD49AF">
        <w:t xml:space="preserve">elf-reported </w:t>
      </w:r>
      <w:r w:rsidR="00DD0129" w:rsidRPr="00AD49AF">
        <w:t>characteristics</w:t>
      </w:r>
      <w:r w:rsidR="005A025C" w:rsidRPr="00AD49AF">
        <w:t xml:space="preserve"> can be seen in table </w:t>
      </w:r>
      <w:r w:rsidR="00F51651" w:rsidRPr="00AD49AF">
        <w:t>2</w:t>
      </w:r>
      <w:r w:rsidR="00955B43" w:rsidRPr="00AD49AF">
        <w:t>)</w:t>
      </w:r>
      <w:r w:rsidR="005A025C" w:rsidRPr="00AD49AF">
        <w:t>.</w:t>
      </w:r>
    </w:p>
    <w:p w14:paraId="2FAADA9E" w14:textId="088B5F11" w:rsidR="00E80037" w:rsidRPr="00AD49AF" w:rsidRDefault="00E80037" w:rsidP="00E80037">
      <w:pPr>
        <w:jc w:val="center"/>
      </w:pPr>
      <w:r w:rsidRPr="00AD49AF">
        <w:t xml:space="preserve">**INSERT TABLE </w:t>
      </w:r>
      <w:r w:rsidR="00F51651" w:rsidRPr="00AD49AF">
        <w:t>2</w:t>
      </w:r>
      <w:r w:rsidRPr="00AD49AF">
        <w:t xml:space="preserve"> ABOUT HERE**</w:t>
      </w:r>
    </w:p>
    <w:p w14:paraId="07F4DCEB" w14:textId="6B5F9344" w:rsidR="00EE3468" w:rsidRPr="00AD49AF" w:rsidRDefault="00EE3468" w:rsidP="00EE3468">
      <w:pPr>
        <w:pStyle w:val="Heading2"/>
      </w:pPr>
      <w:r w:rsidRPr="00AD49AF">
        <w:t>Themes</w:t>
      </w:r>
    </w:p>
    <w:p w14:paraId="4CA1858C" w14:textId="0A18E847" w:rsidR="00955B43" w:rsidRPr="00AD49AF" w:rsidRDefault="00955B43" w:rsidP="00955B43">
      <w:r w:rsidRPr="00AD49AF">
        <w:t>Four themes were developed: impacts of chronic pain, within group varia</w:t>
      </w:r>
      <w:r w:rsidR="007547DA" w:rsidRPr="00AD49AF">
        <w:t>tions</w:t>
      </w:r>
      <w:r w:rsidRPr="00AD49AF">
        <w:t xml:space="preserve"> in responses to chronic pain, personal responsibility vs paternalistic car</w:t>
      </w:r>
      <w:r w:rsidR="007547DA" w:rsidRPr="00AD49AF">
        <w:t>e</w:t>
      </w:r>
      <w:r w:rsidRPr="00AD49AF">
        <w:t>, and the acceptability of pain management concepts (relaxation and meditation, exercise and physical activity, and thoughts and beliefs: the dangers of pain healers).</w:t>
      </w:r>
    </w:p>
    <w:p w14:paraId="148AB642" w14:textId="348327B8" w:rsidR="005176A2" w:rsidRPr="00AD49AF" w:rsidRDefault="00636CBA" w:rsidP="00EE3468">
      <w:pPr>
        <w:pStyle w:val="Heading3"/>
      </w:pPr>
      <w:r w:rsidRPr="00AD49AF">
        <w:t>I</w:t>
      </w:r>
      <w:r w:rsidR="000D782C" w:rsidRPr="00AD49AF">
        <w:t>mpacts of chronic pain</w:t>
      </w:r>
    </w:p>
    <w:p w14:paraId="4BEF5E53" w14:textId="56045ADD" w:rsidR="000D782C" w:rsidRPr="00AD49AF" w:rsidRDefault="00392845" w:rsidP="00E861FB">
      <w:r w:rsidRPr="00AD49AF">
        <w:t>All participants</w:t>
      </w:r>
      <w:r w:rsidR="000D782C" w:rsidRPr="00AD49AF">
        <w:t xml:space="preserve"> reported </w:t>
      </w:r>
      <w:r w:rsidR="004B4A2D" w:rsidRPr="00AD49AF">
        <w:t>that they had experience</w:t>
      </w:r>
      <w:r w:rsidR="00A84C37" w:rsidRPr="00AD49AF">
        <w:t>d</w:t>
      </w:r>
      <w:r w:rsidR="004B4A2D" w:rsidRPr="00AD49AF">
        <w:t xml:space="preserve"> some form of acute pain</w:t>
      </w:r>
      <w:r w:rsidR="000D782C" w:rsidRPr="00AD49AF">
        <w:t xml:space="preserve"> (headache, indigestion, </w:t>
      </w:r>
      <w:r w:rsidR="001B3CF1" w:rsidRPr="00AD49AF">
        <w:t>muscular pain</w:t>
      </w:r>
      <w:r w:rsidR="000D782C" w:rsidRPr="00AD49AF">
        <w:t xml:space="preserve"> etc</w:t>
      </w:r>
      <w:r w:rsidR="00A84C37" w:rsidRPr="00AD49AF">
        <w:t>) and</w:t>
      </w:r>
      <w:r w:rsidR="000D782C" w:rsidRPr="00AD49AF">
        <w:t xml:space="preserve"> one participant</w:t>
      </w:r>
      <w:r w:rsidR="00A84C37" w:rsidRPr="00AD49AF">
        <w:t xml:space="preserve"> reported an</w:t>
      </w:r>
      <w:r w:rsidR="000D782C" w:rsidRPr="00AD49AF">
        <w:t xml:space="preserve"> experience</w:t>
      </w:r>
      <w:r w:rsidR="00A84C37" w:rsidRPr="00AD49AF">
        <w:t xml:space="preserve"> of</w:t>
      </w:r>
      <w:r w:rsidRPr="00AD49AF">
        <w:t xml:space="preserve"> chronic</w:t>
      </w:r>
      <w:r w:rsidR="000D782C" w:rsidRPr="00AD49AF">
        <w:t xml:space="preserve"> </w:t>
      </w:r>
      <w:r w:rsidR="00612370" w:rsidRPr="00AD49AF">
        <w:t xml:space="preserve">pain that lasted more than 6 weeks. Despite </w:t>
      </w:r>
      <w:r w:rsidR="0042572A" w:rsidRPr="00AD49AF">
        <w:t>not necessarily having experienced it</w:t>
      </w:r>
      <w:r w:rsidR="00612370" w:rsidRPr="00AD49AF">
        <w:t xml:space="preserve">, when asked to consider </w:t>
      </w:r>
      <w:r w:rsidR="00006CD3" w:rsidRPr="00AD49AF">
        <w:t xml:space="preserve">the </w:t>
      </w:r>
      <w:r w:rsidR="0042572A" w:rsidRPr="00AD49AF">
        <w:t>what</w:t>
      </w:r>
      <w:r w:rsidR="00612370" w:rsidRPr="00AD49AF">
        <w:t xml:space="preserve"> chronic pain</w:t>
      </w:r>
      <w:r w:rsidR="0042572A" w:rsidRPr="00AD49AF">
        <w:t xml:space="preserve"> may be like,</w:t>
      </w:r>
      <w:r w:rsidR="00612370" w:rsidRPr="00AD49AF">
        <w:t xml:space="preserve"> </w:t>
      </w:r>
      <w:r w:rsidR="00006CD3" w:rsidRPr="00AD49AF">
        <w:t>several commonly</w:t>
      </w:r>
      <w:r w:rsidR="00612370" w:rsidRPr="00AD49AF">
        <w:t xml:space="preserve"> </w:t>
      </w:r>
      <w:r w:rsidRPr="00AD49AF">
        <w:t xml:space="preserve">perceived impacts were </w:t>
      </w:r>
      <w:r w:rsidR="00A84C37" w:rsidRPr="00AD49AF">
        <w:t>suggested</w:t>
      </w:r>
      <w:r w:rsidR="00E11CE7" w:rsidRPr="00AD49AF">
        <w:t xml:space="preserve">: </w:t>
      </w:r>
      <w:r w:rsidR="00441214" w:rsidRPr="00AD49AF">
        <w:t xml:space="preserve">low </w:t>
      </w:r>
      <w:r w:rsidR="00E11CE7" w:rsidRPr="00AD49AF">
        <w:t xml:space="preserve">mood, </w:t>
      </w:r>
      <w:r w:rsidR="0082195B" w:rsidRPr="00AD49AF">
        <w:t xml:space="preserve">reduced </w:t>
      </w:r>
      <w:r w:rsidR="00E11CE7" w:rsidRPr="00AD49AF">
        <w:t>physical activity</w:t>
      </w:r>
      <w:r w:rsidR="00BC3A99" w:rsidRPr="00AD49AF">
        <w:t xml:space="preserve"> and </w:t>
      </w:r>
      <w:r w:rsidR="0082195B" w:rsidRPr="00AD49AF">
        <w:t xml:space="preserve">challenges to </w:t>
      </w:r>
      <w:r w:rsidR="00BC3A99" w:rsidRPr="00AD49AF">
        <w:t>sense of self.</w:t>
      </w:r>
      <w:r w:rsidR="00C7151B" w:rsidRPr="00AD49AF">
        <w:t xml:space="preserve"> In addition, chronic pain was often perceived as </w:t>
      </w:r>
      <w:r w:rsidR="00EC0273" w:rsidRPr="00AD49AF">
        <w:t xml:space="preserve">a medical </w:t>
      </w:r>
      <w:r w:rsidR="00902E6B" w:rsidRPr="00AD49AF">
        <w:t>‘emergency</w:t>
      </w:r>
      <w:r w:rsidR="00173FB8" w:rsidRPr="00AD49AF">
        <w:t>’</w:t>
      </w:r>
      <w:r w:rsidR="00902E6B" w:rsidRPr="00AD49AF">
        <w:t xml:space="preserve">. </w:t>
      </w:r>
    </w:p>
    <w:p w14:paraId="65ADE926" w14:textId="77777777" w:rsidR="000E52EC" w:rsidRPr="00AD49AF" w:rsidRDefault="00F02ADB" w:rsidP="00E861FB">
      <w:r w:rsidRPr="00AD49AF">
        <w:t>P</w:t>
      </w:r>
      <w:r w:rsidR="00AB0DE0" w:rsidRPr="00AD49AF">
        <w:t>articipants described the</w:t>
      </w:r>
      <w:r w:rsidRPr="00AD49AF">
        <w:t xml:space="preserve"> impact of chronic pain on mood</w:t>
      </w:r>
      <w:r w:rsidR="00023D66" w:rsidRPr="00AD49AF">
        <w:t xml:space="preserve"> </w:t>
      </w:r>
      <w:r w:rsidR="00AB0DE0" w:rsidRPr="00AD49AF">
        <w:t xml:space="preserve">as potentially </w:t>
      </w:r>
      <w:r w:rsidR="002E5B8D" w:rsidRPr="00AD49AF">
        <w:rPr>
          <w:i/>
        </w:rPr>
        <w:t>“</w:t>
      </w:r>
      <w:r w:rsidR="00AB0DE0" w:rsidRPr="00AD49AF">
        <w:rPr>
          <w:i/>
        </w:rPr>
        <w:t>debilitating</w:t>
      </w:r>
      <w:r w:rsidR="002E5B8D" w:rsidRPr="00AD49AF">
        <w:rPr>
          <w:i/>
        </w:rPr>
        <w:t>”</w:t>
      </w:r>
      <w:r w:rsidR="00AB0DE0" w:rsidRPr="00AD49AF">
        <w:rPr>
          <w:i/>
        </w:rPr>
        <w:t xml:space="preserve"> (participant 1</w:t>
      </w:r>
      <w:r w:rsidR="00441716" w:rsidRPr="00AD49AF">
        <w:rPr>
          <w:i/>
        </w:rPr>
        <w:t>)</w:t>
      </w:r>
      <w:r w:rsidR="00441716" w:rsidRPr="00AD49AF">
        <w:t xml:space="preserve"> highlighting </w:t>
      </w:r>
      <w:r w:rsidR="00120EE7" w:rsidRPr="00AD49AF">
        <w:t>a perceived</w:t>
      </w:r>
      <w:r w:rsidR="00441716" w:rsidRPr="00AD49AF">
        <w:t xml:space="preserve"> risk of extreme low mood and depression:</w:t>
      </w:r>
      <w:r w:rsidR="000E52EC" w:rsidRPr="00AD49AF">
        <w:t xml:space="preserve"> </w:t>
      </w:r>
      <w:r w:rsidR="003B2AC5" w:rsidRPr="00AD49AF">
        <w:rPr>
          <w:i/>
        </w:rPr>
        <w:t>“</w:t>
      </w:r>
      <w:r w:rsidR="00AB0DE0" w:rsidRPr="00AD49AF">
        <w:rPr>
          <w:i/>
        </w:rPr>
        <w:t>Psychologically dealing with pain it can be difficult, you can get depressed (participant 9)</w:t>
      </w:r>
      <w:r w:rsidR="003B2AC5" w:rsidRPr="00AD49AF">
        <w:rPr>
          <w:i/>
        </w:rPr>
        <w:t>”</w:t>
      </w:r>
      <w:r w:rsidR="00EE7926" w:rsidRPr="00AD49AF">
        <w:rPr>
          <w:i/>
        </w:rPr>
        <w:t>.</w:t>
      </w:r>
      <w:r w:rsidR="003B2AC5" w:rsidRPr="00AD49AF">
        <w:rPr>
          <w:i/>
        </w:rPr>
        <w:t xml:space="preserve"> </w:t>
      </w:r>
      <w:r w:rsidR="00331014" w:rsidRPr="00AD49AF">
        <w:lastRenderedPageBreak/>
        <w:t>These discourses highlight the perceived risk of</w:t>
      </w:r>
      <w:r w:rsidR="001E63B5" w:rsidRPr="00AD49AF">
        <w:t xml:space="preserve"> psychological impacts of</w:t>
      </w:r>
      <w:r w:rsidR="00331014" w:rsidRPr="00AD49AF">
        <w:t xml:space="preserve"> chronic pain </w:t>
      </w:r>
      <w:r w:rsidR="001E63B5" w:rsidRPr="00AD49AF">
        <w:t>within the sample</w:t>
      </w:r>
      <w:r w:rsidR="00331014" w:rsidRPr="00AD49AF">
        <w:t xml:space="preserve">. </w:t>
      </w:r>
    </w:p>
    <w:p w14:paraId="633213B5" w14:textId="594F65CD" w:rsidR="003B2AC5" w:rsidRPr="00AD49AF" w:rsidRDefault="00B82280" w:rsidP="00E861FB">
      <w:r w:rsidRPr="00AD49AF">
        <w:t xml:space="preserve">There was also a common perception that </w:t>
      </w:r>
      <w:r w:rsidR="001E63B5" w:rsidRPr="00AD49AF">
        <w:t xml:space="preserve">pain </w:t>
      </w:r>
      <w:r w:rsidR="000E52EC" w:rsidRPr="00AD49AF">
        <w:t>onset</w:t>
      </w:r>
      <w:r w:rsidR="00EE7926" w:rsidRPr="00AD49AF">
        <w:t xml:space="preserve"> leads to a </w:t>
      </w:r>
      <w:r w:rsidRPr="00AD49AF">
        <w:t>reduction in physical activity</w:t>
      </w:r>
      <w:r w:rsidR="002E5B8D" w:rsidRPr="00AD49AF">
        <w:t xml:space="preserve">. </w:t>
      </w:r>
      <w:r w:rsidR="00E8783F" w:rsidRPr="00AD49AF">
        <w:t>Most presented</w:t>
      </w:r>
      <w:r w:rsidR="002E5B8D" w:rsidRPr="00AD49AF">
        <w:t xml:space="preserve"> their own experience of acute</w:t>
      </w:r>
      <w:r w:rsidR="00264F7D" w:rsidRPr="00AD49AF">
        <w:t xml:space="preserve"> or chronic</w:t>
      </w:r>
      <w:r w:rsidR="002E5B8D" w:rsidRPr="00AD49AF">
        <w:t xml:space="preserve"> pain as</w:t>
      </w:r>
      <w:r w:rsidR="00264F7D" w:rsidRPr="00AD49AF">
        <w:t xml:space="preserve"> physically</w:t>
      </w:r>
      <w:r w:rsidR="002E5B8D" w:rsidRPr="00AD49AF">
        <w:t xml:space="preserve"> limiting: </w:t>
      </w:r>
      <w:r w:rsidR="002E5B8D" w:rsidRPr="00AD49AF">
        <w:rPr>
          <w:i/>
        </w:rPr>
        <w:t>“</w:t>
      </w:r>
      <w:r w:rsidRPr="00AD49AF">
        <w:rPr>
          <w:i/>
        </w:rPr>
        <w:t>To some extent [pain] will affect what type of activities that I choose to do. (participant 1)</w:t>
      </w:r>
      <w:r w:rsidR="002E5B8D" w:rsidRPr="00AD49AF">
        <w:rPr>
          <w:i/>
        </w:rPr>
        <w:t>”</w:t>
      </w:r>
      <w:r w:rsidR="003B2AC5" w:rsidRPr="00AD49AF">
        <w:rPr>
          <w:i/>
        </w:rPr>
        <w:t xml:space="preserve">, </w:t>
      </w:r>
      <w:r w:rsidR="00C32F60" w:rsidRPr="00AD49AF">
        <w:rPr>
          <w:i/>
        </w:rPr>
        <w:t>“</w:t>
      </w:r>
      <w:r w:rsidR="009D1235" w:rsidRPr="00AD49AF">
        <w:rPr>
          <w:i/>
        </w:rPr>
        <w:t>Recently I was… I had a bit of back pain. It was pretty stiff. It was quite bad. I couldn’t move for three or four days. It was quite bad (participant 10)</w:t>
      </w:r>
      <w:r w:rsidR="00C32F60" w:rsidRPr="00AD49AF">
        <w:rPr>
          <w:i/>
        </w:rPr>
        <w:t>”</w:t>
      </w:r>
      <w:r w:rsidR="00977CFE" w:rsidRPr="00AD49AF">
        <w:rPr>
          <w:i/>
        </w:rPr>
        <w:t xml:space="preserve">. </w:t>
      </w:r>
      <w:r w:rsidR="003B2AC5" w:rsidRPr="00AD49AF">
        <w:rPr>
          <w:i/>
        </w:rPr>
        <w:t xml:space="preserve"> </w:t>
      </w:r>
      <w:r w:rsidR="00FE130E" w:rsidRPr="00AD49AF">
        <w:t>These accounts illustrate</w:t>
      </w:r>
      <w:r w:rsidR="0071217B" w:rsidRPr="00AD49AF">
        <w:t xml:space="preserve"> potentially unhelpful</w:t>
      </w:r>
      <w:r w:rsidR="00826A25" w:rsidRPr="00AD49AF">
        <w:t xml:space="preserve"> assumptions</w:t>
      </w:r>
      <w:r w:rsidR="00FE130E" w:rsidRPr="00AD49AF">
        <w:t xml:space="preserve"> that pain should be associated with physical restriction and managed through rest. </w:t>
      </w:r>
    </w:p>
    <w:p w14:paraId="2D686697" w14:textId="5601555E" w:rsidR="003F13F5" w:rsidRPr="00AD49AF" w:rsidRDefault="0071217B" w:rsidP="00E861FB">
      <w:r w:rsidRPr="00AD49AF">
        <w:t>Pain was also</w:t>
      </w:r>
      <w:r w:rsidR="00DE4C4D" w:rsidRPr="00AD49AF">
        <w:t xml:space="preserve"> depicted as impacting on </w:t>
      </w:r>
      <w:r w:rsidR="00CA3E3E" w:rsidRPr="00AD49AF">
        <w:t>daily</w:t>
      </w:r>
      <w:r w:rsidR="00DE4C4D" w:rsidRPr="00AD49AF">
        <w:t xml:space="preserve"> life </w:t>
      </w:r>
      <w:r w:rsidRPr="00AD49AF">
        <w:t>though an</w:t>
      </w:r>
      <w:r w:rsidR="003F13F5" w:rsidRPr="00AD49AF">
        <w:t xml:space="preserve"> influence on sense of self. One participant drew on her mother’s experience of chronic pain:</w:t>
      </w:r>
      <w:r w:rsidR="003B2AC5" w:rsidRPr="00AD49AF">
        <w:t xml:space="preserve"> </w:t>
      </w:r>
      <w:r w:rsidR="003B2AC5" w:rsidRPr="00AD49AF">
        <w:rPr>
          <w:i/>
        </w:rPr>
        <w:t>“</w:t>
      </w:r>
      <w:r w:rsidR="00696B33" w:rsidRPr="00AD49AF">
        <w:rPr>
          <w:i/>
        </w:rPr>
        <w:t>[the medicines]</w:t>
      </w:r>
      <w:r w:rsidR="003F13F5" w:rsidRPr="00AD49AF">
        <w:rPr>
          <w:i/>
        </w:rPr>
        <w:t xml:space="preserve"> seemed to hinder her more than help her. She really wasn’t herself. She wasn’t able to be as active as she should be (participant 1)</w:t>
      </w:r>
      <w:r w:rsidR="003B2AC5" w:rsidRPr="00AD49AF">
        <w:rPr>
          <w:i/>
        </w:rPr>
        <w:t xml:space="preserve">”. </w:t>
      </w:r>
      <w:r w:rsidR="005F1DAA" w:rsidRPr="00AD49AF">
        <w:t>Another participant summarised the overarching impact of pai</w:t>
      </w:r>
      <w:r w:rsidR="004B055E" w:rsidRPr="00AD49AF">
        <w:t>n</w:t>
      </w:r>
      <w:r w:rsidR="000265BC" w:rsidRPr="00AD49AF">
        <w:rPr>
          <w:i/>
        </w:rPr>
        <w:t xml:space="preserve">: </w:t>
      </w:r>
      <w:r w:rsidR="003B2AC5" w:rsidRPr="00AD49AF">
        <w:rPr>
          <w:i/>
        </w:rPr>
        <w:t>“</w:t>
      </w:r>
      <w:r w:rsidR="003F13F5" w:rsidRPr="00AD49AF">
        <w:rPr>
          <w:i/>
        </w:rPr>
        <w:t xml:space="preserve">I think that pain is so frightening that you don’t know how to </w:t>
      </w:r>
      <w:r w:rsidR="00503E6B" w:rsidRPr="00AD49AF">
        <w:rPr>
          <w:i/>
        </w:rPr>
        <w:t>manage […]</w:t>
      </w:r>
      <w:r w:rsidR="003F13F5" w:rsidRPr="00AD49AF">
        <w:rPr>
          <w:i/>
        </w:rPr>
        <w:t xml:space="preserve"> it is frightening, isolating and it can take a great deal of your dignity away from you. (participant 7)</w:t>
      </w:r>
      <w:r w:rsidR="003B2AC5" w:rsidRPr="00AD49AF">
        <w:rPr>
          <w:i/>
        </w:rPr>
        <w:t xml:space="preserve">”. </w:t>
      </w:r>
      <w:r w:rsidR="0062331B" w:rsidRPr="00AD49AF">
        <w:t xml:space="preserve">These </w:t>
      </w:r>
      <w:r w:rsidR="005B067C" w:rsidRPr="00AD49AF">
        <w:t>examples show the</w:t>
      </w:r>
      <w:r w:rsidR="0062331B" w:rsidRPr="00AD49AF">
        <w:t xml:space="preserve"> potential for </w:t>
      </w:r>
      <w:r w:rsidR="004B055E" w:rsidRPr="00AD49AF">
        <w:t xml:space="preserve">fear of </w:t>
      </w:r>
      <w:r w:rsidR="005B067C" w:rsidRPr="00AD49AF">
        <w:t>chronic</w:t>
      </w:r>
      <w:r w:rsidR="004B055E" w:rsidRPr="00AD49AF">
        <w:t xml:space="preserve"> pain </w:t>
      </w:r>
      <w:r w:rsidR="00AD5E95" w:rsidRPr="00AD49AF">
        <w:t xml:space="preserve">and </w:t>
      </w:r>
      <w:r w:rsidR="005B067C" w:rsidRPr="00AD49AF">
        <w:t>the implications for altered</w:t>
      </w:r>
      <w:r w:rsidR="00AD5E95" w:rsidRPr="00AD49AF">
        <w:t xml:space="preserve"> sense of self and daily experience. </w:t>
      </w:r>
    </w:p>
    <w:p w14:paraId="755CE1FF" w14:textId="31942F95" w:rsidR="00A9349E" w:rsidRPr="00AD49AF" w:rsidRDefault="003F07B5" w:rsidP="00E861FB">
      <w:r w:rsidRPr="00AD49AF">
        <w:t>There was un</w:t>
      </w:r>
      <w:r w:rsidR="0030413F" w:rsidRPr="00AD49AF">
        <w:t xml:space="preserve">certainty about the best strategy to manage </w:t>
      </w:r>
      <w:r w:rsidR="00E62C73" w:rsidRPr="00AD49AF">
        <w:t>chronic pain</w:t>
      </w:r>
      <w:r w:rsidRPr="00AD49AF">
        <w:t xml:space="preserve"> with the experience often characterised as an</w:t>
      </w:r>
      <w:r w:rsidR="007042E1" w:rsidRPr="00AD49AF">
        <w:t xml:space="preserve"> emergency requiring immediate medical assistance:</w:t>
      </w:r>
      <w:r w:rsidR="00E62C73" w:rsidRPr="00AD49AF">
        <w:t xml:space="preserve"> </w:t>
      </w:r>
      <w:r w:rsidR="000839B0" w:rsidRPr="00AD49AF">
        <w:rPr>
          <w:i/>
        </w:rPr>
        <w:t>“</w:t>
      </w:r>
      <w:r w:rsidR="00C677AC" w:rsidRPr="00AD49AF">
        <w:rPr>
          <w:i/>
        </w:rPr>
        <w:t xml:space="preserve">[if experiencing chronic pain] </w:t>
      </w:r>
      <w:r w:rsidR="007042E1" w:rsidRPr="00AD49AF">
        <w:rPr>
          <w:i/>
        </w:rPr>
        <w:t>I would tell my doctor to transfer me to hospital and check it out</w:t>
      </w:r>
      <w:r w:rsidR="009B6BC9" w:rsidRPr="00AD49AF">
        <w:rPr>
          <w:i/>
        </w:rPr>
        <w:t xml:space="preserve">” </w:t>
      </w:r>
      <w:r w:rsidR="007042E1" w:rsidRPr="00AD49AF">
        <w:t>(participant 5</w:t>
      </w:r>
      <w:r w:rsidR="009B6BC9" w:rsidRPr="00AD49AF">
        <w:t>)</w:t>
      </w:r>
      <w:r w:rsidR="000839B0" w:rsidRPr="00AD49AF">
        <w:rPr>
          <w:i/>
        </w:rPr>
        <w:t>.</w:t>
      </w:r>
      <w:r w:rsidR="00E61202" w:rsidRPr="00AD49AF">
        <w:rPr>
          <w:i/>
        </w:rPr>
        <w:t xml:space="preserve"> </w:t>
      </w:r>
      <w:r w:rsidR="00E068FA" w:rsidRPr="00AD49AF">
        <w:t>Some participants</w:t>
      </w:r>
      <w:r w:rsidR="00480F35" w:rsidRPr="00AD49AF">
        <w:t xml:space="preserve"> were critical of this </w:t>
      </w:r>
      <w:r w:rsidR="0075198A" w:rsidRPr="00AD49AF">
        <w:t>highlighting</w:t>
      </w:r>
      <w:r w:rsidR="001D50DA" w:rsidRPr="00AD49AF">
        <w:t xml:space="preserve"> </w:t>
      </w:r>
      <w:r w:rsidR="0038138A" w:rsidRPr="00AD49AF">
        <w:t xml:space="preserve">a </w:t>
      </w:r>
      <w:r w:rsidR="00E766AD" w:rsidRPr="00AD49AF">
        <w:t xml:space="preserve">perception that </w:t>
      </w:r>
      <w:r w:rsidR="0075198A" w:rsidRPr="00AD49AF">
        <w:t>some</w:t>
      </w:r>
      <w:r w:rsidR="001D50DA" w:rsidRPr="00AD49AF">
        <w:t xml:space="preserve"> community members </w:t>
      </w:r>
      <w:r w:rsidR="00E766AD" w:rsidRPr="00AD49AF">
        <w:t>may</w:t>
      </w:r>
      <w:r w:rsidR="001D50DA" w:rsidRPr="00AD49AF">
        <w:t xml:space="preserve"> </w:t>
      </w:r>
      <w:r w:rsidR="0038138A" w:rsidRPr="00AD49AF">
        <w:t>abuse</w:t>
      </w:r>
      <w:r w:rsidR="001D50DA" w:rsidRPr="00AD49AF">
        <w:t xml:space="preserve"> healthcare services</w:t>
      </w:r>
      <w:r w:rsidR="00A9349E" w:rsidRPr="00AD49AF">
        <w:t xml:space="preserve">: </w:t>
      </w:r>
    </w:p>
    <w:p w14:paraId="24B67BA7" w14:textId="4FA2C2DA" w:rsidR="00A9349E" w:rsidRPr="00AD49AF" w:rsidRDefault="00A9349E" w:rsidP="00E861FB">
      <w:pPr>
        <w:pStyle w:val="Quote"/>
      </w:pPr>
      <w:r w:rsidRPr="00AD49AF">
        <w:t>I think people in this community go to the GP or to A&amp;E even if it’s unnecessary as well. Like I said, people don’t want to be in pain and will do anything not to be in pain. Sometimes I think that it is unnecessary and it’s waste of the emergency services. Like they would go to A&amp;E when they could have took some paracetamol for the pain (participant 9)</w:t>
      </w:r>
    </w:p>
    <w:p w14:paraId="471B5AAC" w14:textId="64BB93CB" w:rsidR="00D82791" w:rsidRPr="00AD49AF" w:rsidRDefault="00373689" w:rsidP="00E861FB">
      <w:r w:rsidRPr="00AD49AF">
        <w:t xml:space="preserve">Most </w:t>
      </w:r>
      <w:r w:rsidR="00AB6BBF" w:rsidRPr="00AD49AF">
        <w:t>a</w:t>
      </w:r>
      <w:r w:rsidRPr="00AD49AF">
        <w:t xml:space="preserve">greed that medication was an important element of the management of chronic pain and that healthcare professionals, particularly </w:t>
      </w:r>
      <w:r w:rsidR="00F034AE" w:rsidRPr="00AD49AF">
        <w:t>GPs,</w:t>
      </w:r>
      <w:r w:rsidRPr="00AD49AF">
        <w:t xml:space="preserve"> were the experts </w:t>
      </w:r>
      <w:r w:rsidR="001C2023" w:rsidRPr="00AD49AF">
        <w:t>and should be consulted</w:t>
      </w:r>
      <w:r w:rsidR="004F68EF" w:rsidRPr="00AD49AF">
        <w:t>:</w:t>
      </w:r>
      <w:r w:rsidR="006715BE" w:rsidRPr="00AD49AF">
        <w:t xml:space="preserve"> </w:t>
      </w:r>
      <w:r w:rsidR="006715BE" w:rsidRPr="00AD49AF">
        <w:rPr>
          <w:i/>
        </w:rPr>
        <w:t>“</w:t>
      </w:r>
      <w:r w:rsidR="006B4EC4" w:rsidRPr="00AD49AF">
        <w:rPr>
          <w:i/>
        </w:rPr>
        <w:t>I don’t normally take pain killers unless it’s sort of ongoing then by that time I will go and see somebody like a GP and been prescribed something.  (participant 2)</w:t>
      </w:r>
      <w:r w:rsidR="006715BE" w:rsidRPr="00AD49AF">
        <w:rPr>
          <w:i/>
        </w:rPr>
        <w:t>”</w:t>
      </w:r>
      <w:r w:rsidR="002D1665" w:rsidRPr="00AD49AF">
        <w:rPr>
          <w:i/>
        </w:rPr>
        <w:t xml:space="preserve">. </w:t>
      </w:r>
      <w:r w:rsidR="007E260F" w:rsidRPr="00AD49AF">
        <w:t xml:space="preserve">However, some </w:t>
      </w:r>
      <w:r w:rsidR="002D1665" w:rsidRPr="00AD49AF">
        <w:t>presented</w:t>
      </w:r>
      <w:r w:rsidR="007E260F" w:rsidRPr="00AD49AF">
        <w:t xml:space="preserve"> themselves as stoic</w:t>
      </w:r>
      <w:r w:rsidR="00B51795" w:rsidRPr="00AD49AF">
        <w:t xml:space="preserve"> </w:t>
      </w:r>
      <w:r w:rsidR="007E260F" w:rsidRPr="00AD49AF">
        <w:t xml:space="preserve">and reluctant to seek medical </w:t>
      </w:r>
      <w:r w:rsidR="00D70DD6" w:rsidRPr="00AD49AF">
        <w:t>assistance unless it was essential</w:t>
      </w:r>
      <w:r w:rsidR="007E260F" w:rsidRPr="00AD49AF">
        <w:t>:</w:t>
      </w:r>
      <w:r w:rsidR="005E1D30" w:rsidRPr="00AD49AF">
        <w:t xml:space="preserve"> </w:t>
      </w:r>
      <w:r w:rsidR="005E1D30" w:rsidRPr="00AD49AF">
        <w:rPr>
          <w:i/>
        </w:rPr>
        <w:t>“</w:t>
      </w:r>
      <w:r w:rsidR="006B4EC4" w:rsidRPr="00AD49AF">
        <w:rPr>
          <w:i/>
        </w:rPr>
        <w:t>I think because I am quite resilient, because I’d rather not take a pill. I’d rather try to hold out as long as I can before I have medication</w:t>
      </w:r>
      <w:r w:rsidR="005E1D30" w:rsidRPr="00AD49AF">
        <w:rPr>
          <w:i/>
        </w:rPr>
        <w:t>”</w:t>
      </w:r>
      <w:r w:rsidR="006B4EC4" w:rsidRPr="00AD49AF">
        <w:t xml:space="preserve"> </w:t>
      </w:r>
      <w:r w:rsidR="00D70DD6" w:rsidRPr="00AD49AF">
        <w:t>(</w:t>
      </w:r>
      <w:r w:rsidR="006B4EC4" w:rsidRPr="00AD49AF">
        <w:t>participant 9)</w:t>
      </w:r>
      <w:r w:rsidR="005E1D30" w:rsidRPr="00AD49AF">
        <w:t xml:space="preserve">. </w:t>
      </w:r>
      <w:r w:rsidR="00D82791" w:rsidRPr="00AD49AF">
        <w:t xml:space="preserve">These participants drew on discourses of resilience and the need for self-care to illustrate a personal responsibility for managing pain. </w:t>
      </w:r>
    </w:p>
    <w:p w14:paraId="28032FDA" w14:textId="77777777" w:rsidR="006049AC" w:rsidRPr="00AD49AF" w:rsidRDefault="006049AC" w:rsidP="00D27D31">
      <w:pPr>
        <w:pStyle w:val="Heading3"/>
      </w:pPr>
      <w:r w:rsidRPr="00AD49AF">
        <w:t>Within group variations in responses to chronic pain</w:t>
      </w:r>
    </w:p>
    <w:p w14:paraId="1D4F9018" w14:textId="6FEF1608" w:rsidR="006049AC" w:rsidRPr="00AD49AF" w:rsidRDefault="006049AC" w:rsidP="006049AC">
      <w:r w:rsidRPr="00AD49AF">
        <w:lastRenderedPageBreak/>
        <w:t>Participants presented experience of and responses to pain as varying across different community members. Two key subgroups were highlighted: gender and generation. Female</w:t>
      </w:r>
      <w:r w:rsidR="00C56BE2" w:rsidRPr="00AD49AF">
        <w:t xml:space="preserve">s </w:t>
      </w:r>
      <w:r w:rsidRPr="00AD49AF">
        <w:t>were presented as willing to discuss and share pain while males were presented as stoic and more likely to hide pain:</w:t>
      </w:r>
    </w:p>
    <w:p w14:paraId="1057B0A7" w14:textId="422D2186" w:rsidR="006049AC" w:rsidRPr="00AD49AF" w:rsidRDefault="006049AC" w:rsidP="006049AC">
      <w:pPr>
        <w:pStyle w:val="Quote"/>
      </w:pPr>
      <w:r w:rsidRPr="00AD49AF">
        <w:t xml:space="preserve"> [When they experience pain, people in my community] will be vocal about it. They are not shy in coming forward with it. But it tends to be more from females than males. You never actually ever hear the males talking about it openly</w:t>
      </w:r>
      <w:r w:rsidR="00C56BE2" w:rsidRPr="00AD49AF">
        <w:t>,</w:t>
      </w:r>
      <w:r w:rsidRPr="00AD49AF">
        <w:t xml:space="preserve"> that they are in some kind of pain.  […] My dad has got pain in his knees he has arthritis and he has had the knee op on both of his knees but he does a lot of yoga and he tries not to complain about it. And you tend to see that generally in the males which means to me that the males tend to talk about it less. (participant 2)</w:t>
      </w:r>
    </w:p>
    <w:p w14:paraId="0F20B889" w14:textId="5BEE414B" w:rsidR="006049AC" w:rsidRPr="00AD49AF" w:rsidRDefault="006049AC" w:rsidP="006049AC">
      <w:r w:rsidRPr="00AD49AF">
        <w:t xml:space="preserve">The other key difference in terms of openly expressing pain was generational, with older people presented as more likely to discuss and share their pain experience than younger generations: </w:t>
      </w:r>
    </w:p>
    <w:p w14:paraId="75540648" w14:textId="77777777" w:rsidR="006049AC" w:rsidRPr="00AD49AF" w:rsidRDefault="006049AC" w:rsidP="006049AC">
      <w:pPr>
        <w:pStyle w:val="Quote"/>
      </w:pPr>
      <w:r w:rsidRPr="00AD49AF">
        <w:t>Particularly women of a certain age, it tends to be middle aged to elderly […] have noticed that in our community that it is something that is very socially acceptable to talk about it and it is something that seems to be expected. For example, there are two ladies and when they bump into each other in town they end up sharing stories about their pain very openly. (participant 3)</w:t>
      </w:r>
    </w:p>
    <w:p w14:paraId="3381DFEF" w14:textId="77777777" w:rsidR="006049AC" w:rsidRPr="00AD49AF" w:rsidRDefault="006049AC" w:rsidP="006049AC">
      <w:r w:rsidRPr="00AD49AF">
        <w:t>In addition, older generations were presented as more likely to manage pain though the use of home remedies (“</w:t>
      </w:r>
      <w:r w:rsidRPr="00AD49AF">
        <w:rPr>
          <w:i/>
        </w:rPr>
        <w:t>My parents, because they grew up in India, they would be more likely to take home remedies which have been passed down through the generations to them and things like ginger and turmeric, they probably take those more than I would.”</w:t>
      </w:r>
      <w:r w:rsidRPr="00AD49AF">
        <w:t>, participant 4); more likely to draw on religion to cope with pain experiences (“</w:t>
      </w:r>
      <w:r w:rsidRPr="00AD49AF">
        <w:rPr>
          <w:i/>
        </w:rPr>
        <w:t>I think especially the elderly. I think people who are very spiritual as well. People will turn to God. I think that the elderly are very religious and will turn to God for help or go to India and try to find something to help.”</w:t>
      </w:r>
      <w:r w:rsidRPr="00AD49AF">
        <w:t xml:space="preserve"> , participant 9); and more mistrusting of healthcare professionals: </w:t>
      </w:r>
    </w:p>
    <w:p w14:paraId="18789D55" w14:textId="77777777" w:rsidR="006049AC" w:rsidRPr="00AD49AF" w:rsidRDefault="006049AC" w:rsidP="006049AC">
      <w:pPr>
        <w:pStyle w:val="Quote"/>
      </w:pPr>
      <w:r w:rsidRPr="00AD49AF">
        <w:t xml:space="preserve">[My grandparents] would rather take advice from their friends than their GP. If the GP was to say take this medication or do that they may be a little more hesitant. Whereas if it was someone like their friend from their community or relative that gave them </w:t>
      </w:r>
      <w:proofErr w:type="gramStart"/>
      <w:r w:rsidRPr="00AD49AF">
        <w:t>advice</w:t>
      </w:r>
      <w:proofErr w:type="gramEnd"/>
      <w:r w:rsidRPr="00AD49AF">
        <w:t xml:space="preserve"> they are more likely to adhere to that. […] If their friend says they have had this medication and it might work why don’t you go and ask your GP to give you the same medication. So they are more likely to go to the GP and you know say so and so has this problem and their GP gave them that and it worked so give me that medication as well. (participant 4)</w:t>
      </w:r>
    </w:p>
    <w:p w14:paraId="6638809F" w14:textId="36199C04" w:rsidR="006049AC" w:rsidRPr="00AD49AF" w:rsidRDefault="006049AC" w:rsidP="006049AC">
      <w:r w:rsidRPr="00AD49AF">
        <w:t xml:space="preserve">These examples illustrate the different responses to pain both within and between cultural groups. It is important for those delivering </w:t>
      </w:r>
      <w:r w:rsidR="007F45A6" w:rsidRPr="00AD49AF">
        <w:t>PMPs</w:t>
      </w:r>
      <w:r w:rsidRPr="00AD49AF">
        <w:t xml:space="preserve"> to be aware of and adjust content to reflect potential variation in responses to pain experience.</w:t>
      </w:r>
    </w:p>
    <w:p w14:paraId="00342754" w14:textId="613DC38B" w:rsidR="00133C97" w:rsidRPr="00AD49AF" w:rsidRDefault="002C0C90" w:rsidP="00D27D31">
      <w:pPr>
        <w:pStyle w:val="Heading3"/>
      </w:pPr>
      <w:r w:rsidRPr="00AD49AF">
        <w:lastRenderedPageBreak/>
        <w:t xml:space="preserve">Personal responsibility </w:t>
      </w:r>
      <w:r w:rsidR="001B40E6" w:rsidRPr="00AD49AF">
        <w:t xml:space="preserve">vs </w:t>
      </w:r>
      <w:r w:rsidR="007412A7" w:rsidRPr="00AD49AF">
        <w:t xml:space="preserve">need for </w:t>
      </w:r>
      <w:r w:rsidR="006C5349" w:rsidRPr="00AD49AF">
        <w:t>paternalistic care</w:t>
      </w:r>
    </w:p>
    <w:p w14:paraId="1577150E" w14:textId="535A9438" w:rsidR="002C0C90" w:rsidRPr="00AD49AF" w:rsidRDefault="002C0C90" w:rsidP="00E861FB">
      <w:r w:rsidRPr="00AD49AF">
        <w:t xml:space="preserve">Despite the common assumption that medication was a key element </w:t>
      </w:r>
      <w:r w:rsidR="008978BD" w:rsidRPr="00AD49AF">
        <w:t>most talked about pain management as a personal responsibility.</w:t>
      </w:r>
      <w:r w:rsidR="00E572A3" w:rsidRPr="00AD49AF">
        <w:t xml:space="preserve"> </w:t>
      </w:r>
      <w:r w:rsidR="005531CA" w:rsidRPr="00AD49AF">
        <w:t xml:space="preserve">For some this was a responsibility to pro-actively seek medical support: </w:t>
      </w:r>
    </w:p>
    <w:p w14:paraId="33C5586C" w14:textId="54F4F7C4" w:rsidR="00612CC4" w:rsidRPr="00AD49AF" w:rsidRDefault="00612CC4" w:rsidP="00E861FB">
      <w:pPr>
        <w:pStyle w:val="Quote"/>
      </w:pPr>
      <w:r w:rsidRPr="00AD49AF">
        <w:t>I would say that most people in my community are quite practical with regards to health and taking care of themselves. If the pain is extreme, I think most definitely yes that they would go to their GP almost immediately. I think that if it is less than extreme that they would just try to figure it out. (Participant 10)</w:t>
      </w:r>
    </w:p>
    <w:p w14:paraId="76C1F0E1" w14:textId="28D6A3A0" w:rsidR="00AF12A8" w:rsidRPr="00AD49AF" w:rsidRDefault="00B0366E" w:rsidP="00E861FB">
      <w:r w:rsidRPr="00AD49AF">
        <w:t>There</w:t>
      </w:r>
      <w:r w:rsidR="00AF12A8" w:rsidRPr="00AD49AF">
        <w:t xml:space="preserve"> was </w:t>
      </w:r>
      <w:r w:rsidRPr="00AD49AF">
        <w:t xml:space="preserve">also </w:t>
      </w:r>
      <w:r w:rsidR="00AF12A8" w:rsidRPr="00AD49AF">
        <w:t>a broader awareness of potential activities that could contribute to self-management</w:t>
      </w:r>
      <w:r w:rsidR="00796162" w:rsidRPr="00AD49AF">
        <w:t xml:space="preserve">. These included discussions with medical professionals, changes to diet, engaging in exercise, </w:t>
      </w:r>
      <w:r w:rsidR="0005731A" w:rsidRPr="00AD49AF">
        <w:t>relaxation</w:t>
      </w:r>
      <w:r w:rsidR="001A1BBE" w:rsidRPr="00AD49AF">
        <w:t>, and other lifestyle changes</w:t>
      </w:r>
      <w:r w:rsidR="00AF12A8" w:rsidRPr="00AD49AF">
        <w:t xml:space="preserve">. </w:t>
      </w:r>
      <w:r w:rsidR="00561F60" w:rsidRPr="00AD49AF">
        <w:t xml:space="preserve">These activities were also </w:t>
      </w:r>
      <w:r w:rsidR="00F640DF" w:rsidRPr="00AD49AF">
        <w:t>presented</w:t>
      </w:r>
      <w:r w:rsidR="00561F60" w:rsidRPr="00AD49AF">
        <w:t xml:space="preserve"> as something requiring personal engagement and responsibility:</w:t>
      </w:r>
    </w:p>
    <w:p w14:paraId="3FB28587" w14:textId="3C18125F" w:rsidR="00331C2A" w:rsidRPr="00AD49AF" w:rsidRDefault="00331C2A" w:rsidP="00E861FB">
      <w:pPr>
        <w:pStyle w:val="Quote"/>
      </w:pPr>
      <w:r w:rsidRPr="00AD49AF">
        <w:t>I think again that it’s about taking some proactive responsibility yourself. So, not just taking passively some prescribed medicines but having a full conversation with your medical professionals about how you are reacting to that prescribed medicine and thinking about probably how you can contribute to manage with the pain</w:t>
      </w:r>
      <w:r w:rsidR="00206B93" w:rsidRPr="00AD49AF">
        <w:t>.</w:t>
      </w:r>
      <w:r w:rsidRPr="00AD49AF">
        <w:t xml:space="preserve"> (participant 1)</w:t>
      </w:r>
    </w:p>
    <w:p w14:paraId="7AC1FCE2" w14:textId="193F4635" w:rsidR="001A1BBE" w:rsidRPr="00AD49AF" w:rsidRDefault="001A1BBE" w:rsidP="00E861FB">
      <w:r w:rsidRPr="00AD49AF">
        <w:t>However</w:t>
      </w:r>
      <w:r w:rsidR="001B40E6" w:rsidRPr="00AD49AF">
        <w:t>,</w:t>
      </w:r>
      <w:r w:rsidRPr="00AD49AF">
        <w:t xml:space="preserve"> it was also evident that many participants felt these activities needed to be guided by healthcare professionals and founded on sound medical advice</w:t>
      </w:r>
      <w:r w:rsidR="00E1182D" w:rsidRPr="00AD49AF">
        <w:t xml:space="preserve">. One participant summed up the importance of </w:t>
      </w:r>
      <w:r w:rsidR="000144A6" w:rsidRPr="00AD49AF">
        <w:t>Doctor’s advice</w:t>
      </w:r>
      <w:r w:rsidR="00E1182D" w:rsidRPr="00AD49AF">
        <w:t xml:space="preserve"> for South Asian communit</w:t>
      </w:r>
      <w:r w:rsidR="00DA3005" w:rsidRPr="00AD49AF">
        <w:t>y members</w:t>
      </w:r>
      <w:r w:rsidR="00E1182D" w:rsidRPr="00AD49AF">
        <w:t>:</w:t>
      </w:r>
      <w:r w:rsidR="001D7B39" w:rsidRPr="00AD49AF">
        <w:t xml:space="preserve"> </w:t>
      </w:r>
      <w:r w:rsidR="000144A6" w:rsidRPr="00AD49AF">
        <w:t>“</w:t>
      </w:r>
      <w:r w:rsidR="00E1182D" w:rsidRPr="00AD49AF">
        <w:rPr>
          <w:i/>
        </w:rPr>
        <w:t>I would say one thing that in Asian communities is that the doctor</w:t>
      </w:r>
      <w:r w:rsidR="0011393B" w:rsidRPr="00AD49AF">
        <w:rPr>
          <w:i/>
        </w:rPr>
        <w:t>s</w:t>
      </w:r>
      <w:r w:rsidR="00E1182D" w:rsidRPr="00AD49AF">
        <w:rPr>
          <w:i/>
        </w:rPr>
        <w:t xml:space="preserve"> are […] people tend to take their word as gospel</w:t>
      </w:r>
      <w:r w:rsidR="000144A6" w:rsidRPr="00AD49AF">
        <w:rPr>
          <w:i/>
        </w:rPr>
        <w:t>”</w:t>
      </w:r>
      <w:r w:rsidR="00E1182D" w:rsidRPr="00AD49AF">
        <w:t xml:space="preserve"> (participant 1).</w:t>
      </w:r>
      <w:r w:rsidR="001D7B39" w:rsidRPr="00AD49AF">
        <w:t xml:space="preserve"> </w:t>
      </w:r>
      <w:r w:rsidR="00E1182D" w:rsidRPr="00AD49AF">
        <w:t>GPs were</w:t>
      </w:r>
      <w:r w:rsidR="001D7B39" w:rsidRPr="00AD49AF">
        <w:t xml:space="preserve"> often</w:t>
      </w:r>
      <w:r w:rsidR="00E1182D" w:rsidRPr="00AD49AF">
        <w:t xml:space="preserve"> viewed as playing a key role in chronic pain management with patients constructed as responsible for adhering to advice and guidance provided in order to manage their pain:</w:t>
      </w:r>
    </w:p>
    <w:p w14:paraId="369B18B3" w14:textId="379087FC" w:rsidR="00331C2A" w:rsidRPr="00AD49AF" w:rsidRDefault="00331C2A" w:rsidP="00E861FB">
      <w:pPr>
        <w:pStyle w:val="Quote"/>
      </w:pPr>
      <w:r w:rsidRPr="00AD49AF">
        <w:t>I think chronic pain, I think once it has been diagnosed the best thing is to go to your GP and see how they think you could manage it better. Whether that’s the medication you could take or lifestyle changes. I think there should be a discussion with the GP about the changes that may happen as a result of the chronic pain and how you can adjust to those changes and how you are going to manage over time. (participant 4)</w:t>
      </w:r>
    </w:p>
    <w:p w14:paraId="3EBD8D1D" w14:textId="379F9B14" w:rsidR="00E87E18" w:rsidRPr="00AD49AF" w:rsidRDefault="00B34FEE" w:rsidP="00E87E18">
      <w:r w:rsidRPr="00AD49AF">
        <w:t>These examples illustrate</w:t>
      </w:r>
      <w:r w:rsidR="00E87E18" w:rsidRPr="00AD49AF">
        <w:t xml:space="preserve"> a common perception </w:t>
      </w:r>
      <w:r w:rsidRPr="00AD49AF">
        <w:t xml:space="preserve">that South Asian individuals preferred a paternalistic style of care in which clear medical </w:t>
      </w:r>
      <w:r w:rsidR="00093A48" w:rsidRPr="00AD49AF">
        <w:t xml:space="preserve">intervention </w:t>
      </w:r>
      <w:r w:rsidRPr="00AD49AF">
        <w:t>was given and</w:t>
      </w:r>
      <w:r w:rsidR="009B47CA" w:rsidRPr="00AD49AF">
        <w:t xml:space="preserve"> guidance was</w:t>
      </w:r>
      <w:r w:rsidRPr="00AD49AF">
        <w:t xml:space="preserve"> to be followed by the individual.</w:t>
      </w:r>
      <w:r w:rsidR="00093A48" w:rsidRPr="00AD49AF">
        <w:t xml:space="preserve"> However, this was juxtaposed against an acceptance of individual responsibility to manage pain and follow advice given.</w:t>
      </w:r>
    </w:p>
    <w:p w14:paraId="5A120670" w14:textId="075291BB" w:rsidR="00634B16" w:rsidRPr="00AD49AF" w:rsidRDefault="006A1418" w:rsidP="00D27D31">
      <w:pPr>
        <w:pStyle w:val="Heading3"/>
      </w:pPr>
      <w:r w:rsidRPr="00AD49AF">
        <w:t>Acceptability of pain management concepts</w:t>
      </w:r>
    </w:p>
    <w:p w14:paraId="0FF182CC" w14:textId="3BCE208B" w:rsidR="00634B16" w:rsidRPr="00AD49AF" w:rsidRDefault="006A1418" w:rsidP="00D27D31">
      <w:pPr>
        <w:pStyle w:val="Heading4"/>
      </w:pPr>
      <w:r w:rsidRPr="00AD49AF">
        <w:lastRenderedPageBreak/>
        <w:t xml:space="preserve">Relaxation and meditation </w:t>
      </w:r>
    </w:p>
    <w:p w14:paraId="4F108591" w14:textId="3DDDB0A6" w:rsidR="00CA770A" w:rsidRPr="00AD49AF" w:rsidRDefault="00981ABB" w:rsidP="00E861FB">
      <w:r w:rsidRPr="00AD49AF">
        <w:t xml:space="preserve">One concept included in </w:t>
      </w:r>
      <w:r w:rsidR="008D2F48" w:rsidRPr="00AD49AF">
        <w:t>PMPs</w:t>
      </w:r>
      <w:r w:rsidRPr="00AD49AF">
        <w:t xml:space="preserve"> is </w:t>
      </w:r>
      <w:r w:rsidR="000A5759" w:rsidRPr="00AD49AF">
        <w:t>that of enhanced acceptance. This is often promoted through development of skills in mindful</w:t>
      </w:r>
      <w:r w:rsidR="00F1760D" w:rsidRPr="00AD49AF">
        <w:t xml:space="preserve">ness and psychological flexibility </w:t>
      </w:r>
      <w:r w:rsidR="00280BDC" w:rsidRPr="00AD49AF">
        <w:fldChar w:fldCharType="begin" w:fldLock="1"/>
      </w:r>
      <w:r w:rsidR="0052010B" w:rsidRPr="00AD49AF">
        <w:instrText>ADDIN CSL_CITATION {"citationItems":[{"id":"ITEM-1","itemData":{"ISBN":"9780956138644","author":[{"dropping-particle":"","family":"The British Pain Society","given":"","non-dropping-particle":"","parse-names":false,"suffix":""}],"id":"ITEM-1","issued":{"date-parts":[["2013"]]},"publisher-place":"London, UK","title":"The British Pain Society Guidelines for Pain Management Programmes for adults","type":"report"},"uris":["http://www.mendeley.com/documents/?uuid=eeffad0f-2c64-4b73-a1ac-54effe9fe038"]}],"mendeley":{"formattedCitation":"(The British Pain Society, 2013)","plainTextFormattedCitation":"(The British Pain Society, 2013)","previouslyFormattedCitation":"(The British Pain Society, 2013)"},"properties":{"noteIndex":0},"schema":"https://github.com/citation-style-language/schema/raw/master/csl-citation.json"}</w:instrText>
      </w:r>
      <w:r w:rsidR="00280BDC" w:rsidRPr="00AD49AF">
        <w:fldChar w:fldCharType="separate"/>
      </w:r>
      <w:r w:rsidR="00280BDC" w:rsidRPr="00AD49AF">
        <w:rPr>
          <w:noProof/>
        </w:rPr>
        <w:t>(The British Pain Society, 2013)</w:t>
      </w:r>
      <w:r w:rsidR="00280BDC" w:rsidRPr="00AD49AF">
        <w:fldChar w:fldCharType="end"/>
      </w:r>
      <w:r w:rsidR="00280BDC" w:rsidRPr="00AD49AF">
        <w:t>.</w:t>
      </w:r>
      <w:r w:rsidR="00A242BD" w:rsidRPr="00AD49AF">
        <w:t xml:space="preserve"> </w:t>
      </w:r>
      <w:r w:rsidR="00CA770A" w:rsidRPr="00AD49AF">
        <w:t>The British Pain Society highlight that these approaches are ‘designed to enhance participant openness and willingness to experience undesirable feelings, and to loosen the influence of judgemental, evaluative and analytic thought content</w:t>
      </w:r>
      <w:r w:rsidR="005A1289" w:rsidRPr="00AD49AF">
        <w:t>’</w:t>
      </w:r>
      <w:r w:rsidR="00E22D4A" w:rsidRPr="00AD49AF">
        <w:t xml:space="preserve"> </w:t>
      </w:r>
      <w:r w:rsidR="005A1289" w:rsidRPr="00AD49AF">
        <w:fldChar w:fldCharType="begin" w:fldLock="1"/>
      </w:r>
      <w:r w:rsidR="005A1289" w:rsidRPr="00AD49AF">
        <w:instrText>ADDIN CSL_CITATION {"citationItems":[{"id":"ITEM-1","itemData":{"ISBN":"9780956138644","author":[{"dropping-particle":"","family":"The British Pain Society","given":"","non-dropping-particle":"","parse-names":false,"suffix":""}],"id":"ITEM-1","issued":{"date-parts":[["2013"]]},"publisher-place":"London, UK","title":"The British Pain Society Guidelines for Pain Management Programmes for adults","type":"report"},"suffix":"p.13","uris":["http://www.mendeley.com/documents/?uuid=eeffad0f-2c64-4b73-a1ac-54effe9fe038"]}],"mendeley":{"formattedCitation":"(The British Pain Society, 2013 p.13)","plainTextFormattedCitation":"(The British Pain Society, 2013 p.13)"},"properties":{"noteIndex":0},"schema":"https://github.com/citation-style-language/schema/raw/master/csl-citation.json"}</w:instrText>
      </w:r>
      <w:r w:rsidR="005A1289" w:rsidRPr="00AD49AF">
        <w:fldChar w:fldCharType="separate"/>
      </w:r>
      <w:r w:rsidR="005A1289" w:rsidRPr="00AD49AF">
        <w:rPr>
          <w:noProof/>
        </w:rPr>
        <w:t>(The British Pain Society, 2013 p.13)</w:t>
      </w:r>
      <w:r w:rsidR="005A1289" w:rsidRPr="00AD49AF">
        <w:fldChar w:fldCharType="end"/>
      </w:r>
      <w:r w:rsidR="00CA770A" w:rsidRPr="00AD49AF">
        <w:t xml:space="preserve">. </w:t>
      </w:r>
    </w:p>
    <w:p w14:paraId="639B65E8" w14:textId="3649FA35" w:rsidR="00F1760D" w:rsidRPr="00AD49AF" w:rsidRDefault="00B31EAD" w:rsidP="00E861FB">
      <w:r w:rsidRPr="00AD49AF">
        <w:t>P</w:t>
      </w:r>
      <w:r w:rsidR="005573D3" w:rsidRPr="00AD49AF">
        <w:t>articipants frequently discussed how relaxation, meditation and mindfulness were accepted concepts for both themselves and others in their communities:</w:t>
      </w:r>
    </w:p>
    <w:p w14:paraId="3671A56C" w14:textId="0933855D" w:rsidR="00981ABB" w:rsidRPr="00AD49AF" w:rsidRDefault="00981ABB" w:rsidP="00E861FB">
      <w:pPr>
        <w:pStyle w:val="Quote"/>
      </w:pPr>
      <w:r w:rsidRPr="00AD49AF">
        <w:t>I mean my dad reckons that meditation or mindfulness that you might want to call it tends to help him quite a bit</w:t>
      </w:r>
      <w:r w:rsidR="000E3DC7" w:rsidRPr="00AD49AF">
        <w:t xml:space="preserve"> [with his pain</w:t>
      </w:r>
      <w:proofErr w:type="gramStart"/>
      <w:r w:rsidR="000E3DC7" w:rsidRPr="00AD49AF">
        <w:t>]</w:t>
      </w:r>
      <w:r w:rsidRPr="00AD49AF">
        <w:t>.[</w:t>
      </w:r>
      <w:proofErr w:type="gramEnd"/>
      <w:r w:rsidRPr="00AD49AF">
        <w:t>…] (participant 2)</w:t>
      </w:r>
    </w:p>
    <w:p w14:paraId="2B2C2815" w14:textId="162DB755" w:rsidR="00E03F26" w:rsidRPr="00AD49AF" w:rsidRDefault="00E03F26" w:rsidP="00E861FB">
      <w:r w:rsidRPr="00AD49AF">
        <w:t>Some participants highlighted how the acceptability of these concepts could be linked to core religious beliefs:</w:t>
      </w:r>
    </w:p>
    <w:p w14:paraId="54702AAE" w14:textId="155D0A4A" w:rsidR="00981ABB" w:rsidRPr="00AD49AF" w:rsidRDefault="00981ABB" w:rsidP="00E861FB">
      <w:pPr>
        <w:pStyle w:val="Quote"/>
      </w:pPr>
      <w:r w:rsidRPr="00AD49AF">
        <w:t xml:space="preserve">Sikhs they believe in the idea of relaxation and taking time. Sikhs just do a little less they get a little more excited and they can you know… They don’t have any problems with relaxation. </w:t>
      </w:r>
      <w:r w:rsidR="006D253F" w:rsidRPr="00AD49AF">
        <w:t>[…]</w:t>
      </w:r>
      <w:r w:rsidRPr="00AD49AF">
        <w:t xml:space="preserve"> I would say that the Hindu community is a lot more into yoga and relaxation music and all of that. (participant 10)</w:t>
      </w:r>
    </w:p>
    <w:p w14:paraId="2D606A1D" w14:textId="36637AA7" w:rsidR="003E7BF9" w:rsidRPr="00AD49AF" w:rsidRDefault="003E7BF9" w:rsidP="003E7BF9">
      <w:r w:rsidRPr="00AD49AF">
        <w:t>This element of pain management was</w:t>
      </w:r>
      <w:r w:rsidR="00B3028F" w:rsidRPr="00AD49AF">
        <w:t xml:space="preserve"> acceptable to all participants. Gi</w:t>
      </w:r>
      <w:r w:rsidR="00D04AE2" w:rsidRPr="00AD49AF">
        <w:t xml:space="preserve">ven the close links to cultural practices and religion these comments illustrate how drawing on these practices may help facilitate these behaviours within </w:t>
      </w:r>
      <w:r w:rsidR="000D4778" w:rsidRPr="00AD49AF">
        <w:t>PMPs.</w:t>
      </w:r>
      <w:r w:rsidR="00D04AE2" w:rsidRPr="00AD49AF">
        <w:t xml:space="preserve"> </w:t>
      </w:r>
    </w:p>
    <w:p w14:paraId="002C4AF0" w14:textId="7F702979" w:rsidR="00B70672" w:rsidRPr="00AD49AF" w:rsidRDefault="00B70672" w:rsidP="00D27D31">
      <w:pPr>
        <w:pStyle w:val="Heading4"/>
      </w:pPr>
      <w:r w:rsidRPr="00AD49AF">
        <w:t>Exercise and physical activity</w:t>
      </w:r>
    </w:p>
    <w:p w14:paraId="0CF40E95" w14:textId="14C8008D" w:rsidR="00B70672" w:rsidRPr="00AD49AF" w:rsidRDefault="00B70672" w:rsidP="00E861FB">
      <w:r w:rsidRPr="00AD49AF">
        <w:t xml:space="preserve">Another key element of </w:t>
      </w:r>
      <w:r w:rsidR="0096575F" w:rsidRPr="00AD49AF">
        <w:t>PMPs</w:t>
      </w:r>
      <w:r w:rsidRPr="00AD49AF">
        <w:t xml:space="preserve"> is physical </w:t>
      </w:r>
      <w:r w:rsidR="0096575F" w:rsidRPr="00AD49AF">
        <w:t>activity</w:t>
      </w:r>
      <w:r w:rsidRPr="00AD49AF">
        <w:t xml:space="preserve"> </w:t>
      </w:r>
      <w:r w:rsidRPr="00AD49AF">
        <w:fldChar w:fldCharType="begin" w:fldLock="1"/>
      </w:r>
      <w:r w:rsidR="0052010B" w:rsidRPr="00AD49AF">
        <w:instrText>ADDIN CSL_CITATION {"citationItems":[{"id":"ITEM-1","itemData":{"ISBN":"9780956138644","author":[{"dropping-particle":"","family":"The British Pain Society","given":"","non-dropping-particle":"","parse-names":false,"suffix":""}],"id":"ITEM-1","issued":{"date-parts":[["2013"]]},"publisher-place":"London, UK","title":"The British Pain Society Guidelines for Pain Management Programmes for adults","type":"report"},"uris":["http://www.mendeley.com/documents/?uuid=eeffad0f-2c64-4b73-a1ac-54effe9fe038"]}],"mendeley":{"formattedCitation":"(The British Pain Society, 2013)","plainTextFormattedCitation":"(The British Pain Society, 2013)","previouslyFormattedCitation":"(The British Pain Society, 2013)"},"properties":{"noteIndex":0},"schema":"https://github.com/citation-style-language/schema/raw/master/csl-citation.json"}</w:instrText>
      </w:r>
      <w:r w:rsidRPr="00AD49AF">
        <w:fldChar w:fldCharType="separate"/>
      </w:r>
      <w:r w:rsidRPr="00AD49AF">
        <w:rPr>
          <w:noProof/>
        </w:rPr>
        <w:t>(The British Pain Society, 2013)</w:t>
      </w:r>
      <w:r w:rsidRPr="00AD49AF">
        <w:fldChar w:fldCharType="end"/>
      </w:r>
      <w:r w:rsidRPr="00AD49AF">
        <w:t xml:space="preserve">. </w:t>
      </w:r>
      <w:r w:rsidR="00817944" w:rsidRPr="00AD49AF">
        <w:t xml:space="preserve">The promotion of </w:t>
      </w:r>
      <w:r w:rsidR="0096575F" w:rsidRPr="00AD49AF">
        <w:t>exercise</w:t>
      </w:r>
      <w:r w:rsidR="00817944" w:rsidRPr="00AD49AF">
        <w:t xml:space="preserve"> was</w:t>
      </w:r>
      <w:r w:rsidRPr="00AD49AF">
        <w:t xml:space="preserve"> presented </w:t>
      </w:r>
      <w:r w:rsidR="00CE3305" w:rsidRPr="00AD49AF">
        <w:t>as having the potential to be rejected by</w:t>
      </w:r>
      <w:r w:rsidRPr="00AD49AF">
        <w:t xml:space="preserve"> South Asian communities.</w:t>
      </w:r>
    </w:p>
    <w:p w14:paraId="5D7F63F8" w14:textId="1823A5B9" w:rsidR="00906E82" w:rsidRPr="00AD49AF" w:rsidRDefault="00906E82" w:rsidP="00E861FB">
      <w:pPr>
        <w:pStyle w:val="Quote"/>
      </w:pPr>
      <w:r w:rsidRPr="00AD49AF">
        <w:t>You probably already know that Asians and exercise don’t generally go. It just, yeah. There are no role models that I know of that in terms of sport or anything. It’s not even part of, it’s so alien to even think of doing it</w:t>
      </w:r>
      <w:r w:rsidR="00AF632A" w:rsidRPr="00AD49AF">
        <w:t>.</w:t>
      </w:r>
      <w:r w:rsidRPr="00AD49AF">
        <w:t xml:space="preserve"> (participant 2)</w:t>
      </w:r>
    </w:p>
    <w:p w14:paraId="7B2AF6A9" w14:textId="35E92E5A" w:rsidR="00906E82" w:rsidRPr="00AD49AF" w:rsidRDefault="00906E82" w:rsidP="00E861FB">
      <w:pPr>
        <w:pStyle w:val="Quote"/>
        <w:rPr>
          <w:rStyle w:val="QuoteChar"/>
          <w:i/>
          <w:iCs/>
        </w:rPr>
      </w:pPr>
      <w:r w:rsidRPr="00AD49AF">
        <w:rPr>
          <w:rStyle w:val="QuoteChar"/>
          <w:i/>
          <w:iCs/>
        </w:rPr>
        <w:t>I never see anyone from a South Asian background jogging or anything like that. (participant 4)</w:t>
      </w:r>
    </w:p>
    <w:p w14:paraId="49336531" w14:textId="4EAB2481" w:rsidR="00B70672" w:rsidRPr="00AD49AF" w:rsidRDefault="00E72C46" w:rsidP="00E861FB">
      <w:r w:rsidRPr="00AD49AF">
        <w:t xml:space="preserve">Exercise was conceptualised as </w:t>
      </w:r>
      <w:r w:rsidR="009B606C" w:rsidRPr="00AD49AF">
        <w:t>‘</w:t>
      </w:r>
      <w:r w:rsidR="009B606C" w:rsidRPr="00AD49AF">
        <w:rPr>
          <w:i/>
        </w:rPr>
        <w:t xml:space="preserve">alien’ </w:t>
      </w:r>
      <w:r w:rsidR="009B606C" w:rsidRPr="00AD49AF">
        <w:t>to</w:t>
      </w:r>
      <w:r w:rsidRPr="00AD49AF">
        <w:t xml:space="preserve"> South Asian individuals with participants highlighting the lack of role models or examples of others engaging in these behaviours. </w:t>
      </w:r>
      <w:r w:rsidR="00B70672" w:rsidRPr="00AD49AF">
        <w:t>However, some types of exercise</w:t>
      </w:r>
      <w:r w:rsidR="002E537D" w:rsidRPr="00AD49AF">
        <w:t>,</w:t>
      </w:r>
      <w:r w:rsidR="00B70672" w:rsidRPr="00AD49AF">
        <w:t xml:space="preserve"> such as Yoga</w:t>
      </w:r>
      <w:r w:rsidR="002E537D" w:rsidRPr="00AD49AF">
        <w:t>,</w:t>
      </w:r>
      <w:r w:rsidR="00DB2732" w:rsidRPr="00AD49AF">
        <w:t xml:space="preserve"> </w:t>
      </w:r>
      <w:r w:rsidR="00B70672" w:rsidRPr="00AD49AF">
        <w:t xml:space="preserve">were </w:t>
      </w:r>
      <w:r w:rsidR="003A5E05" w:rsidRPr="00AD49AF">
        <w:t>more acceptable</w:t>
      </w:r>
      <w:r w:rsidR="00554A35" w:rsidRPr="00AD49AF">
        <w:t xml:space="preserve"> </w:t>
      </w:r>
      <w:r w:rsidR="00940D0B" w:rsidRPr="00AD49AF">
        <w:t>(</w:t>
      </w:r>
      <w:r w:rsidR="00940D0B" w:rsidRPr="00AD49AF">
        <w:rPr>
          <w:i/>
        </w:rPr>
        <w:t xml:space="preserve">“My sister does yoga regularly at home” participant 5; </w:t>
      </w:r>
      <w:r w:rsidR="00040A08" w:rsidRPr="00AD49AF">
        <w:rPr>
          <w:i/>
        </w:rPr>
        <w:t>“</w:t>
      </w:r>
      <w:r w:rsidR="00940D0B" w:rsidRPr="00AD49AF">
        <w:rPr>
          <w:i/>
        </w:rPr>
        <w:t xml:space="preserve">I think that people who are generally </w:t>
      </w:r>
      <w:r w:rsidR="00416141" w:rsidRPr="00AD49AF">
        <w:rPr>
          <w:i/>
        </w:rPr>
        <w:t>forty-five</w:t>
      </w:r>
      <w:r w:rsidR="00940D0B" w:rsidRPr="00AD49AF">
        <w:rPr>
          <w:i/>
        </w:rPr>
        <w:t xml:space="preserve"> plus are. They generally do a lot of yoga</w:t>
      </w:r>
      <w:r w:rsidR="00040A08" w:rsidRPr="00AD49AF">
        <w:rPr>
          <w:i/>
        </w:rPr>
        <w:t>”</w:t>
      </w:r>
      <w:r w:rsidR="00940D0B" w:rsidRPr="00AD49AF">
        <w:rPr>
          <w:i/>
        </w:rPr>
        <w:t>, participant 7</w:t>
      </w:r>
      <w:r w:rsidR="00940D0B" w:rsidRPr="00AD49AF">
        <w:t xml:space="preserve">) </w:t>
      </w:r>
      <w:r w:rsidR="00554A35" w:rsidRPr="00AD49AF">
        <w:t>and perceived as a useful way to manage pain experiences</w:t>
      </w:r>
      <w:r w:rsidR="00177BCF" w:rsidRPr="00AD49AF">
        <w:t>:</w:t>
      </w:r>
    </w:p>
    <w:p w14:paraId="612C4E52" w14:textId="633E180D" w:rsidR="00D31280" w:rsidRPr="00AD49AF" w:rsidRDefault="00D31280" w:rsidP="00E861FB">
      <w:pPr>
        <w:pStyle w:val="Quote"/>
      </w:pPr>
      <w:r w:rsidRPr="00AD49AF">
        <w:lastRenderedPageBreak/>
        <w:t xml:space="preserve">Yoga is something that is done correctly and done in the right way can actually take care of a lot of the pain over a period of time. </w:t>
      </w:r>
      <w:r w:rsidR="00B61576" w:rsidRPr="00AD49AF">
        <w:t>[…]</w:t>
      </w:r>
      <w:r w:rsidRPr="00AD49AF">
        <w:t xml:space="preserve"> In general, I think that most Indians do yoga and exercise. General lifestyle changes can certainly take care of pain often. (participant 10)</w:t>
      </w:r>
    </w:p>
    <w:p w14:paraId="6F11703D" w14:textId="0B0D3FA9" w:rsidR="00D31280" w:rsidRPr="00AD49AF" w:rsidRDefault="00D67DEA" w:rsidP="00E861FB">
      <w:r w:rsidRPr="00AD49AF">
        <w:t>O</w:t>
      </w:r>
      <w:r w:rsidR="0083429A" w:rsidRPr="00AD49AF">
        <w:t>n</w:t>
      </w:r>
      <w:r w:rsidR="00416141" w:rsidRPr="00AD49AF">
        <w:t xml:space="preserve">e reason for the popularity of Yoga, particularly in older </w:t>
      </w:r>
      <w:r w:rsidR="009732D8" w:rsidRPr="00AD49AF">
        <w:t>generations</w:t>
      </w:r>
      <w:r w:rsidR="00416141" w:rsidRPr="00AD49AF">
        <w:t xml:space="preserve">, was the accessibility of role models through </w:t>
      </w:r>
      <w:r w:rsidR="009732D8" w:rsidRPr="00AD49AF">
        <w:t>programmes on Asian television channels:</w:t>
      </w:r>
    </w:p>
    <w:p w14:paraId="0B0BC0E2" w14:textId="6B05C93A" w:rsidR="00D31280" w:rsidRPr="00AD49AF" w:rsidRDefault="009732D8" w:rsidP="00E861FB">
      <w:pPr>
        <w:pStyle w:val="Quote"/>
      </w:pPr>
      <w:r w:rsidRPr="00AD49AF">
        <w:t>A</w:t>
      </w:r>
      <w:r w:rsidR="00D31280" w:rsidRPr="00AD49AF">
        <w:t xml:space="preserve"> yoga guy that comes on one of the Asian channels and he has done what the NHS as a whole has failed to do. Trying to get people from certain communities exercising and stuff. </w:t>
      </w:r>
      <w:r w:rsidR="00483834" w:rsidRPr="00AD49AF">
        <w:t xml:space="preserve">[…] </w:t>
      </w:r>
      <w:r w:rsidR="00D31280" w:rsidRPr="00AD49AF">
        <w:t>it’s like my dad will be telling me stuff that I have been telling him for years and he seems to not have listened when anybody else has been telling him but this guy has told him and it’s just great. (participant 2)</w:t>
      </w:r>
    </w:p>
    <w:p w14:paraId="5CF36728" w14:textId="7FAA240D" w:rsidR="00D31280" w:rsidRPr="00AD49AF" w:rsidRDefault="00D31280" w:rsidP="00E861FB">
      <w:pPr>
        <w:pStyle w:val="Quote"/>
      </w:pPr>
      <w:r w:rsidRPr="00AD49AF">
        <w:t>I know a lot of people in my community do yoga a lot. That’s because there is a lot of it on the TV like on the Asian channels. They have a lot of yoga shows and stuff so even the older generation they do participate in yoga a lot.</w:t>
      </w:r>
      <w:r w:rsidR="002E131F" w:rsidRPr="00AD49AF">
        <w:t>[…] there is a programme that tells you how to do it step by step</w:t>
      </w:r>
      <w:r w:rsidRPr="00AD49AF">
        <w:t xml:space="preserve"> (participant 4)</w:t>
      </w:r>
    </w:p>
    <w:p w14:paraId="2762A252" w14:textId="20D3DB21" w:rsidR="00D65D55" w:rsidRPr="00AD49AF" w:rsidRDefault="00FE51C5" w:rsidP="00E861FB">
      <w:r w:rsidRPr="00AD49AF">
        <w:t>The presence of role models for exercise behaviour seemed to be a strong motivating factor. Similarly</w:t>
      </w:r>
      <w:r w:rsidR="00577F2A" w:rsidRPr="00AD49AF">
        <w:t>, participant</w:t>
      </w:r>
      <w:r w:rsidRPr="00AD49AF">
        <w:t xml:space="preserve">s </w:t>
      </w:r>
      <w:r w:rsidR="00C818FB" w:rsidRPr="00AD49AF">
        <w:t xml:space="preserve">highlighted that engaging in exercise behaviour with others as part of a social activity </w:t>
      </w:r>
      <w:r w:rsidR="00577F2A" w:rsidRPr="00AD49AF">
        <w:t xml:space="preserve">was </w:t>
      </w:r>
      <w:r w:rsidR="007726FB" w:rsidRPr="00AD49AF">
        <w:t>a potential motivator</w:t>
      </w:r>
      <w:r w:rsidR="00C818FB" w:rsidRPr="00AD49AF">
        <w:t>:</w:t>
      </w:r>
    </w:p>
    <w:p w14:paraId="49CBE370" w14:textId="0DDC0C1C" w:rsidR="00D65D55" w:rsidRPr="00AD49AF" w:rsidRDefault="00D65D55" w:rsidP="009207A4">
      <w:pPr>
        <w:pStyle w:val="Quote"/>
      </w:pPr>
      <w:r w:rsidRPr="00AD49AF">
        <w:t>My mum said to me one day when I went to visit to come along we’ll go for a walk with one of her friends and walked all the way around this park</w:t>
      </w:r>
      <w:r w:rsidR="007642DE" w:rsidRPr="00AD49AF">
        <w:t xml:space="preserve">. </w:t>
      </w:r>
      <w:r w:rsidR="000E738A" w:rsidRPr="00AD49AF">
        <w:t xml:space="preserve">[…] </w:t>
      </w:r>
      <w:r w:rsidRPr="00AD49AF">
        <w:t>They are all from different communities and my parents are Indian, there are others Sikh, Muslim and there were women walking the other way. I said are they all walking? She said yes and I don’t know who it started or where started it but the women just go around walking and do a few laps.</w:t>
      </w:r>
      <w:r w:rsidR="000E738A" w:rsidRPr="00AD49AF">
        <w:t xml:space="preserve"> </w:t>
      </w:r>
      <w:r w:rsidRPr="00AD49AF">
        <w:t>(participant 2)</w:t>
      </w:r>
    </w:p>
    <w:p w14:paraId="2DE11448" w14:textId="3061A81F" w:rsidR="00D65D55" w:rsidRPr="00AD49AF" w:rsidRDefault="00D65D55" w:rsidP="00E861FB">
      <w:pPr>
        <w:pStyle w:val="Quote"/>
        <w:rPr>
          <w:rFonts w:ascii="Arial" w:hAnsi="Arial" w:cs="Arial"/>
        </w:rPr>
      </w:pPr>
      <w:r w:rsidRPr="00AD49AF">
        <w:t>I think that people, especially in the Punjabi culture where I am from are quite social beings. So if there was something going on like meditation in the park or something to do with lifestyle then people would be encouraged to do so</w:t>
      </w:r>
      <w:r w:rsidR="009207A4" w:rsidRPr="00AD49AF">
        <w:t xml:space="preserve"> (</w:t>
      </w:r>
      <w:r w:rsidRPr="00AD49AF">
        <w:t>participant 7</w:t>
      </w:r>
      <w:r w:rsidRPr="00AD49AF">
        <w:rPr>
          <w:rFonts w:ascii="Arial" w:hAnsi="Arial" w:cs="Arial"/>
        </w:rPr>
        <w:t>)</w:t>
      </w:r>
    </w:p>
    <w:p w14:paraId="2D7B8D65" w14:textId="0EA57186" w:rsidR="00E003E8" w:rsidRPr="00AD49AF" w:rsidRDefault="00E003E8" w:rsidP="00E003E8">
      <w:r w:rsidRPr="00AD49AF">
        <w:t xml:space="preserve">While exercise may be a challenging element of PMPs to deliver to South Asian individuals, </w:t>
      </w:r>
      <w:r w:rsidR="00803581" w:rsidRPr="00AD49AF">
        <w:t>approaches which include Yoga, role modelling and social support are all likely to encourage motivation for physical activity.</w:t>
      </w:r>
    </w:p>
    <w:p w14:paraId="4A008E8B" w14:textId="6D5C895B" w:rsidR="005F7CE8" w:rsidRPr="00AD49AF" w:rsidRDefault="005F7CE8" w:rsidP="00D27D31">
      <w:pPr>
        <w:pStyle w:val="Heading4"/>
      </w:pPr>
      <w:r w:rsidRPr="00AD49AF">
        <w:t>Thoughts and beliefs: The dangers of pain ‘healers’</w:t>
      </w:r>
    </w:p>
    <w:p w14:paraId="12694C21" w14:textId="77777777" w:rsidR="005F7CE8" w:rsidRPr="00AD49AF" w:rsidRDefault="005F7CE8" w:rsidP="005F7CE8">
      <w:r w:rsidRPr="00AD49AF">
        <w:t>No participants expressed that they had used pain ‘healers’ themselves, but they did perceive that they were used by others within their communities. Healers were discussed, particularly in relation to the Hindu community, as a dangerous option for the treatment of chronic pain:</w:t>
      </w:r>
    </w:p>
    <w:p w14:paraId="6C9A5B76" w14:textId="77777777" w:rsidR="005F7CE8" w:rsidRPr="00AD49AF" w:rsidRDefault="005F7CE8" w:rsidP="005F7CE8">
      <w:pPr>
        <w:pStyle w:val="Quote"/>
      </w:pPr>
      <w:r w:rsidRPr="00AD49AF">
        <w:lastRenderedPageBreak/>
        <w:t>For all sorts of ailments and if people are feeling unwell or have been unwell for a while they will go and see somebody else. It’s not necessarily in a temple, it can be, but it is usually somebody who they say is a… I don’t know how to describe it, not possessed, but had God enter them or something at some point […</w:t>
      </w:r>
      <w:proofErr w:type="gramStart"/>
      <w:r w:rsidRPr="00AD49AF">
        <w:t>] .</w:t>
      </w:r>
      <w:proofErr w:type="gramEnd"/>
      <w:r w:rsidRPr="00AD49AF">
        <w:t xml:space="preserve"> So you will go to some woman’s house and give her some money […] it can be quite a dangerous thing. (participant 2)</w:t>
      </w:r>
    </w:p>
    <w:p w14:paraId="78B3B706" w14:textId="77777777" w:rsidR="005F7CE8" w:rsidRPr="00AD49AF" w:rsidRDefault="005F7CE8" w:rsidP="005F7CE8">
      <w:pPr>
        <w:pStyle w:val="Quote"/>
      </w:pPr>
      <w:r w:rsidRPr="00AD49AF">
        <w:t>I think that people in my community take a lot of spiritual help and advice when it comes to pain and the majority of the time they take on the spiritual support and help which isn’t coming from a good place. […] some people go and see so called holy men […] This is particularly in the Hindu faith there is a lot of mystical, spiritual, so called spiritual people that say that they can help or get rid of any medical issues you have got. (participant 3)</w:t>
      </w:r>
    </w:p>
    <w:p w14:paraId="21815672" w14:textId="77777777" w:rsidR="005F7CE8" w:rsidRPr="00AD49AF" w:rsidRDefault="005F7CE8" w:rsidP="005F7CE8">
      <w:r w:rsidRPr="00AD49AF">
        <w:t>One Sikh participant also discussed the risks of ‘con artists’ and ‘medicine men and women’:</w:t>
      </w:r>
    </w:p>
    <w:p w14:paraId="79DE113A" w14:textId="0F36B5DE" w:rsidR="005F7CE8" w:rsidRPr="00AD49AF" w:rsidRDefault="005F7CE8" w:rsidP="005F7CE8">
      <w:pPr>
        <w:pStyle w:val="Quote"/>
      </w:pPr>
      <w:r w:rsidRPr="00AD49AF">
        <w:t>I feel that the South Asian community can fall into traps with con artists […] Unfortunately, I have seen things growing in the Asian community and I do believe that there is a massive danger out there where people go to so called con artists and medicine men and women around. (participant 7)</w:t>
      </w:r>
    </w:p>
    <w:p w14:paraId="5747D8A7" w14:textId="0FB9A375" w:rsidR="005F7CE8" w:rsidRPr="00AD49AF" w:rsidRDefault="005F7CE8" w:rsidP="005F7CE8">
      <w:r w:rsidRPr="00AD49AF">
        <w:t>These examples illustrate potential alternative sources of pain management that may be used by attendees at PMPs. Discussions around these beliefs and practices may be essential to ensure, where relevant, potentially dangerous beliefs and practices are challenged.</w:t>
      </w:r>
    </w:p>
    <w:p w14:paraId="0BDE936E" w14:textId="1A024773" w:rsidR="007E3D66" w:rsidRPr="00AD49AF" w:rsidRDefault="007E3D66" w:rsidP="00E861FB">
      <w:pPr>
        <w:pStyle w:val="Heading1"/>
      </w:pPr>
      <w:r w:rsidRPr="00AD49AF">
        <w:t xml:space="preserve">Discussion </w:t>
      </w:r>
    </w:p>
    <w:p w14:paraId="149E0EC9" w14:textId="3DB5E4B6" w:rsidR="002A69E4" w:rsidRPr="00AD49AF" w:rsidRDefault="00212EF0" w:rsidP="00590F5C">
      <w:r w:rsidRPr="00AD49AF">
        <w:t xml:space="preserve">The present study contributes to the understanding of </w:t>
      </w:r>
      <w:r w:rsidR="0003511C" w:rsidRPr="00AD49AF">
        <w:t>pain management</w:t>
      </w:r>
      <w:r w:rsidR="008A76CD" w:rsidRPr="00AD49AF">
        <w:t xml:space="preserve"> perceptions of</w:t>
      </w:r>
      <w:r w:rsidR="0003511C" w:rsidRPr="00AD49AF">
        <w:t xml:space="preserve"> individuals of South Asian origin living within the UK</w:t>
      </w:r>
      <w:r w:rsidR="006E0AD7" w:rsidRPr="00AD49AF">
        <w:t xml:space="preserve">. Findings demonstrate perceptions relating to the impacts of chronic pain, beliefs about and preferences for </w:t>
      </w:r>
      <w:r w:rsidR="007965C1" w:rsidRPr="00AD49AF">
        <w:t>approaches to</w:t>
      </w:r>
      <w:r w:rsidR="006E0AD7" w:rsidRPr="00AD49AF">
        <w:t xml:space="preserve"> care, and the acceptability of pain management </w:t>
      </w:r>
      <w:r w:rsidR="0098452F" w:rsidRPr="00AD49AF">
        <w:t>concepts. When considering the application of these findings it is important to remember that p</w:t>
      </w:r>
      <w:r w:rsidR="006C3C8D" w:rsidRPr="00AD49AF">
        <w:t xml:space="preserve">articipants </w:t>
      </w:r>
      <w:r w:rsidR="0098452F" w:rsidRPr="00AD49AF">
        <w:t>were</w:t>
      </w:r>
      <w:r w:rsidR="00B37696" w:rsidRPr="00AD49AF">
        <w:t xml:space="preserve"> from a range of faiths and </w:t>
      </w:r>
      <w:r w:rsidR="0098452F" w:rsidRPr="00AD49AF">
        <w:t>cultures,</w:t>
      </w:r>
      <w:r w:rsidR="00B37696" w:rsidRPr="00AD49AF">
        <w:t xml:space="preserve"> and there are </w:t>
      </w:r>
      <w:r w:rsidR="00361809" w:rsidRPr="00AD49AF">
        <w:t xml:space="preserve">individual and group </w:t>
      </w:r>
      <w:r w:rsidR="00B37696" w:rsidRPr="00AD49AF">
        <w:t xml:space="preserve">variations </w:t>
      </w:r>
      <w:r w:rsidR="00C55473" w:rsidRPr="00AD49AF">
        <w:t>in beliefs and experiences</w:t>
      </w:r>
      <w:r w:rsidR="000C5B6A" w:rsidRPr="00AD49AF">
        <w:t xml:space="preserve">. </w:t>
      </w:r>
      <w:r w:rsidR="00FF2BAF" w:rsidRPr="00AD49AF">
        <w:t xml:space="preserve">Traditional </w:t>
      </w:r>
      <w:r w:rsidR="00536712" w:rsidRPr="00AD49AF">
        <w:t>pain</w:t>
      </w:r>
      <w:r w:rsidR="00FF2BAF" w:rsidRPr="00AD49AF">
        <w:t xml:space="preserve"> outcome</w:t>
      </w:r>
      <w:r w:rsidR="00432CB8" w:rsidRPr="00AD49AF">
        <w:t xml:space="preserve"> research</w:t>
      </w:r>
      <w:r w:rsidR="00FF2BAF" w:rsidRPr="00AD49AF">
        <w:t xml:space="preserve"> </w:t>
      </w:r>
      <w:r w:rsidR="00A41A09" w:rsidRPr="00AD49AF">
        <w:t>has illustrated</w:t>
      </w:r>
      <w:r w:rsidR="00DB2402" w:rsidRPr="00AD49AF">
        <w:t xml:space="preserve"> differences between ethnic groups</w:t>
      </w:r>
      <w:r w:rsidR="00964846" w:rsidRPr="00AD49AF">
        <w:t xml:space="preserve"> </w:t>
      </w:r>
      <w:r w:rsidR="00964846" w:rsidRPr="00AD49AF">
        <w:fldChar w:fldCharType="begin" w:fldLock="1"/>
      </w:r>
      <w:r w:rsidR="00485FAA" w:rsidRPr="00AD49AF">
        <w:instrText>ADDIN CSL_CITATION {"citationItems":[{"id":"ITEM-1","itemData":{"author":[{"dropping-particle":"","family":"Bates","given":"M. S.","non-dropping-particle":"","parse-names":false,"suffix":""},{"dropping-particle":"","family":"Edwards","given":"W. T.","non-dropping-particle":"","parse-names":false,"suffix":""}],"container-title":"Pain","id":"ITEM-1","issued":{"date-parts":[["1993"]]},"page":"101-112","title":"Ethnocultural influences on the chronic pain experi- ence.","type":"article-journal","volume":"52"},"uris":["http://www.mendeley.com/documents/?uuid=b816b327-0248-4534-b49f-44d93f7af783"]},{"id":"ITEM-2","itemData":{"author":[{"dropping-particle":"","family":"Baker","given":"T.A.","non-dropping-particle":"","parse-names":false,"suffix":""},{"dropping-particle":"","family":"Green","given":"C.R.","non-dropping-particle":"","parse-names":false,"suffix":""}],"container-title":"Pain Medicine","id":"ITEM-2","issued":{"date-parts":[["2005"]]},"page":"29-38","title":"Intrarace differences among black and white Americans presenting for chronic pain management: The influence of age, physical health, and psychosocial factors.","type":"article-journal","volume":"6"},"uris":["http://www.mendeley.com/documents/?uuid=fdfd42be-ba31-45b2-99c8-3b742867571b"]},{"id":"ITEM-3","itemData":{"author":[{"dropping-particle":"","family":"Edwards","given":"C. L.","non-dropping-particle":"","parse-names":false,"suffix":""},{"dropping-particle":"","family":"Fillingin","given":"R. B.","non-dropping-particle":"","parse-names":false,"suffix":""},{"dropping-particle":"","family":"Keefe","given":"R.","non-dropping-particle":"","parse-names":false,"suffix":""}],"container-title":"Pain","id":"ITEM-3","issued":{"date-parts":[["2001"]]},"page":"133-137","title":"Race, ethnicity and pain","type":"article-journal","volume":"94"},"uris":["http://www.mendeley.com/documents/?uuid=3eb642f7-c4de-4b2c-9636-087b72461c15"]}],"mendeley":{"formattedCitation":"(Baker &amp; Green, 2005; Bates &amp; Edwards, 1993; Edwards, Fillingin, &amp; Keefe, 2001)","plainTextFormattedCitation":"(Baker &amp; Green, 2005; Bates &amp; Edwards, 1993; Edwards, Fillingin, &amp; Keefe, 2001)","previouslyFormattedCitation":"(Baker &amp; Green, 2005; Bates &amp; Edwards, 1993; Edwards, Fillingin, &amp; Keefe, 2001)"},"properties":{"noteIndex":0},"schema":"https://github.com/citation-style-language/schema/raw/master/csl-citation.json"}</w:instrText>
      </w:r>
      <w:r w:rsidR="00964846" w:rsidRPr="00AD49AF">
        <w:fldChar w:fldCharType="separate"/>
      </w:r>
      <w:r w:rsidR="00964846" w:rsidRPr="00AD49AF">
        <w:rPr>
          <w:noProof/>
        </w:rPr>
        <w:t>(Baker &amp; Green, 2005; Bates &amp; Edwards, 1993; Edwards, Fillingin, &amp; Keefe, 2001)</w:t>
      </w:r>
      <w:r w:rsidR="00964846" w:rsidRPr="00AD49AF">
        <w:fldChar w:fldCharType="end"/>
      </w:r>
      <w:r w:rsidR="00A41A09" w:rsidRPr="00AD49AF">
        <w:t>;</w:t>
      </w:r>
      <w:r w:rsidR="007965C1" w:rsidRPr="00AD49AF">
        <w:t xml:space="preserve"> ignoring</w:t>
      </w:r>
      <w:r w:rsidR="00821272" w:rsidRPr="00AD49AF">
        <w:t xml:space="preserve"> the potential variability within populations</w:t>
      </w:r>
      <w:r w:rsidR="00273300" w:rsidRPr="00AD49AF">
        <w:t>. However,</w:t>
      </w:r>
      <w:r w:rsidR="000C5B6A" w:rsidRPr="00AD49AF">
        <w:t xml:space="preserve"> there is evidence to show that interventions that </w:t>
      </w:r>
      <w:r w:rsidR="00473C8D" w:rsidRPr="00AD49AF">
        <w:t>are adapted to</w:t>
      </w:r>
      <w:r w:rsidR="000C5B6A" w:rsidRPr="00AD49AF">
        <w:t xml:space="preserve"> language, religious and cultural needs of particular South Asian groups can be effective </w:t>
      </w:r>
      <w:r w:rsidR="00F37137" w:rsidRPr="00AD49AF">
        <w:fldChar w:fldCharType="begin" w:fldLock="1"/>
      </w:r>
      <w:r w:rsidR="00280BDC" w:rsidRPr="00AD49AF">
        <w:instrText>ADDIN CSL_CITATION {"citationItems":[{"id":"ITEM-1","itemData":{"DOI":"10.1016/j.physio.2016.10.240","ISSN":"0031-9406","author":[{"dropping-particle":"","family":"Shoiab","given":"M","non-dropping-particle":"","parse-names":false,"suffix":""},{"dropping-particle":"","family":"Sherlock","given":"R","non-dropping-particle":"","parse-names":false,"suffix":""},{"dropping-particle":"","family":"Ali","given":"R Bhatti","non-dropping-particle":"","parse-names":false,"suffix":""},{"dropping-particle":"","family":"Suleman","given":"A","non-dropping-particle":"","parse-names":false,"suffix":""},{"dropping-particle":"","family":"Arshad","given":"M","non-dropping-particle":"","parse-names":false,"suffix":""}],"container-title":"Physiotherapy","id":"ITEM-1","issued":{"date-parts":[["2016"]]},"page":"e197-e198","publisher":"The Chartered Society of Physiotherapy","title":"A language specific and culturally adapted pain management programme","type":"article-journal","volume":"102"},"uris":["http://www.mendeley.com/documents/?uuid=97567359-b946-4087-8c95-e94bbb6486e9"]}],"mendeley":{"formattedCitation":"(Shoiab, Sherlock, Ali, Suleman, &amp; Arshad, 2016)","plainTextFormattedCitation":"(Shoiab, Sherlock, Ali, Suleman, &amp; Arshad, 2016)","previouslyFormattedCitation":"(Shoiab, Sherlock, Ali, Suleman, &amp; Arshad, 2016)"},"properties":{"noteIndex":0},"schema":"https://github.com/citation-style-language/schema/raw/master/csl-citation.json"}</w:instrText>
      </w:r>
      <w:r w:rsidR="00F37137" w:rsidRPr="00AD49AF">
        <w:fldChar w:fldCharType="separate"/>
      </w:r>
      <w:r w:rsidR="00F37137" w:rsidRPr="00AD49AF">
        <w:rPr>
          <w:noProof/>
        </w:rPr>
        <w:t>(Shoiab, Sherlock, Ali, Suleman, &amp; Arshad, 2016)</w:t>
      </w:r>
      <w:r w:rsidR="00F37137" w:rsidRPr="00AD49AF">
        <w:fldChar w:fldCharType="end"/>
      </w:r>
      <w:r w:rsidR="00273300" w:rsidRPr="00AD49AF">
        <w:t xml:space="preserve"> and therefore understanding of these issues is essential for the development of pain services</w:t>
      </w:r>
      <w:r w:rsidR="008F0BA3" w:rsidRPr="00AD49AF">
        <w:t>.</w:t>
      </w:r>
      <w:r w:rsidR="00F34871" w:rsidRPr="00AD49AF">
        <w:t xml:space="preserve"> </w:t>
      </w:r>
    </w:p>
    <w:p w14:paraId="1F5C0932" w14:textId="16C48062" w:rsidR="00BD6C86" w:rsidRPr="00AD49AF" w:rsidRDefault="00501F3A" w:rsidP="00486E44">
      <w:r w:rsidRPr="00AD49AF">
        <w:t>Participants discussed clear</w:t>
      </w:r>
      <w:r w:rsidR="00077AF1" w:rsidRPr="00AD49AF">
        <w:t xml:space="preserve"> variations in the perception of</w:t>
      </w:r>
      <w:r w:rsidR="005F5B58" w:rsidRPr="00AD49AF">
        <w:t xml:space="preserve"> and response to</w:t>
      </w:r>
      <w:r w:rsidR="00077AF1" w:rsidRPr="00AD49AF">
        <w:t xml:space="preserve"> pain management. </w:t>
      </w:r>
      <w:r w:rsidR="003927F6" w:rsidRPr="00AD49AF">
        <w:t>R</w:t>
      </w:r>
      <w:r w:rsidR="00077AF1" w:rsidRPr="00AD49AF">
        <w:t>ather than differences across religious</w:t>
      </w:r>
      <w:r w:rsidR="00E60A7A" w:rsidRPr="00AD49AF">
        <w:t xml:space="preserve"> or cultural</w:t>
      </w:r>
      <w:r w:rsidR="00077AF1" w:rsidRPr="00AD49AF">
        <w:t xml:space="preserve"> groupings</w:t>
      </w:r>
      <w:r w:rsidR="00E60A7A" w:rsidRPr="00AD49AF">
        <w:t>,</w:t>
      </w:r>
      <w:r w:rsidR="00077AF1" w:rsidRPr="00AD49AF">
        <w:t xml:space="preserve"> the most common discourses highlighted generational and gender differences</w:t>
      </w:r>
      <w:r w:rsidR="00316FB7" w:rsidRPr="00AD49AF">
        <w:t>,</w:t>
      </w:r>
      <w:r w:rsidR="00F06176" w:rsidRPr="00AD49AF">
        <w:t xml:space="preserve"> indicating that stratifying PMPs </w:t>
      </w:r>
      <w:r w:rsidR="00011C0A" w:rsidRPr="00AD49AF">
        <w:t>by specific</w:t>
      </w:r>
      <w:r w:rsidR="00F06176" w:rsidRPr="00AD49AF">
        <w:t xml:space="preserve"> age and gender groups would help to ensure content is tailored </w:t>
      </w:r>
      <w:r w:rsidR="00F06176" w:rsidRPr="00AD49AF">
        <w:lastRenderedPageBreak/>
        <w:t xml:space="preserve">to patient needs. </w:t>
      </w:r>
      <w:r w:rsidR="00011C0A" w:rsidRPr="00AD49AF">
        <w:t>Participant</w:t>
      </w:r>
      <w:r w:rsidR="00486E44" w:rsidRPr="00AD49AF">
        <w:t xml:space="preserve"> perception</w:t>
      </w:r>
      <w:r w:rsidR="00011C0A" w:rsidRPr="00AD49AF">
        <w:t>s</w:t>
      </w:r>
      <w:r w:rsidR="00486E44" w:rsidRPr="00AD49AF">
        <w:t xml:space="preserve"> that older people are more likely </w:t>
      </w:r>
      <w:r w:rsidR="00D63BFC" w:rsidRPr="00AD49AF">
        <w:t>to</w:t>
      </w:r>
      <w:r w:rsidR="00486E44" w:rsidRPr="00AD49AF">
        <w:t xml:space="preserve"> discuss their pain may relate to </w:t>
      </w:r>
      <w:r w:rsidR="00D63BFC" w:rsidRPr="00AD49AF">
        <w:t>an</w:t>
      </w:r>
      <w:r w:rsidR="00486E44" w:rsidRPr="00AD49AF">
        <w:t xml:space="preserve"> </w:t>
      </w:r>
      <w:r w:rsidR="00D63BFC" w:rsidRPr="00AD49AF">
        <w:t>increased prevalence of</w:t>
      </w:r>
      <w:r w:rsidR="00486E44" w:rsidRPr="00AD49AF">
        <w:t xml:space="preserve"> musculoskeletal pain, pain disability, and use of pain medication </w:t>
      </w:r>
      <w:r w:rsidR="00D63BFC" w:rsidRPr="00AD49AF">
        <w:t xml:space="preserve">when compared to </w:t>
      </w:r>
      <w:r w:rsidR="00486E44" w:rsidRPr="00AD49AF">
        <w:t xml:space="preserve">younger individuals </w:t>
      </w:r>
      <w:r w:rsidR="00486E44" w:rsidRPr="00AD49AF">
        <w:fldChar w:fldCharType="begin" w:fldLock="1"/>
      </w:r>
      <w:r w:rsidR="00486E44" w:rsidRPr="00AD49AF">
        <w:instrText>ADDIN CSL_CITATION {"citationItems":[{"id":"ITEM-1","itemData":{"DOI":"10.1016/S0022-3999(03)00078-3","author":[{"dropping-particle":"","family":"Soars","given":"J. J. F.","non-dropping-particle":"","parse-names":false,"suffix":""},{"dropping-particle":"","family":"Sundin","given":"O.","non-dropping-particle":"","parse-names":false,"suffix":""},{"dropping-particle":"","family":"Grossi","given":"G.","non-dropping-particle":"","parse-names":false,"suffix":""}],"id":"ITEM-1","issued":{"date-parts":[["2004"]]},"page":"297-305","title":"The stress of musculoskeletal pain: A comparison between primary care patients in various ages","type":"article-journal","volume":"56"},"uris":["http://www.mendeley.com/documents/?uuid=19990460-9fb4-4e3c-887e-e2a9a0cedff2"]}],"mendeley":{"formattedCitation":"(Soars, Sundin, &amp; Grossi, 2004)","plainTextFormattedCitation":"(Soars, Sundin, &amp; Grossi, 2004)","previouslyFormattedCitation":"(Soars, Sundin, &amp; Grossi, 2004)"},"properties":{"noteIndex":0},"schema":"https://github.com/citation-style-language/schema/raw/master/csl-citation.json"}</w:instrText>
      </w:r>
      <w:r w:rsidR="00486E44" w:rsidRPr="00AD49AF">
        <w:fldChar w:fldCharType="separate"/>
      </w:r>
      <w:r w:rsidR="00486E44" w:rsidRPr="00AD49AF">
        <w:rPr>
          <w:noProof/>
        </w:rPr>
        <w:t>(Soars, Sundin, &amp; Grossi, 2004)</w:t>
      </w:r>
      <w:r w:rsidR="00486E44" w:rsidRPr="00AD49AF">
        <w:fldChar w:fldCharType="end"/>
      </w:r>
      <w:r w:rsidR="00486E44" w:rsidRPr="00AD49AF">
        <w:t>.</w:t>
      </w:r>
      <w:r w:rsidR="008B2E2F" w:rsidRPr="00AD49AF">
        <w:t xml:space="preserve"> </w:t>
      </w:r>
      <w:r w:rsidR="009767AE" w:rsidRPr="00AD49AF">
        <w:t>Discussions indicated o</w:t>
      </w:r>
      <w:r w:rsidR="005A069D" w:rsidRPr="00AD49AF">
        <w:t xml:space="preserve">lder adults may be more likely to engage with traditional </w:t>
      </w:r>
      <w:r w:rsidR="00DC100A" w:rsidRPr="00AD49AF">
        <w:t xml:space="preserve">medicine, </w:t>
      </w:r>
      <w:r w:rsidR="005834F6" w:rsidRPr="00AD49AF">
        <w:t xml:space="preserve">and </w:t>
      </w:r>
      <w:r w:rsidR="00DC100A" w:rsidRPr="00AD49AF">
        <w:t>whil</w:t>
      </w:r>
      <w:r w:rsidR="005834F6" w:rsidRPr="00AD49AF">
        <w:t>st</w:t>
      </w:r>
      <w:r w:rsidR="00DC100A" w:rsidRPr="00AD49AF">
        <w:t xml:space="preserve"> this</w:t>
      </w:r>
      <w:r w:rsidR="00BD6C86" w:rsidRPr="00AD49AF">
        <w:t xml:space="preserve"> is unlikely to reduce engagement with Western health services </w:t>
      </w:r>
      <w:r w:rsidR="00BD6C86" w:rsidRPr="00AD49AF">
        <w:fldChar w:fldCharType="begin" w:fldLock="1"/>
      </w:r>
      <w:r w:rsidR="00770218" w:rsidRPr="00AD49AF">
        <w:instrText>ADDIN CSL_CITATION {"citationItems":[{"id":"ITEM-1","itemData":{"ISSN":"00084263","abstract":"OBJECTIVE: South Asians are the largest visible minority group in Canada, but little research is available, particularly on the older adults and their use of Western health services. This study examined the effects of the predisposing, enabling, need, and cultural factors on the use of Western health services by older South Asian immigrants.\\n\\nMETHOD: Using a modified version of the Andersen-Newman service utilization model, the specific effects of cultural factors on use of Western health services were examined. A random sample of 220 South Asians 55 years and older were interviewed in Calgary using a structured telephone survey.\\n\\nRESULTS: Hierarchical regression analysis showed that the cultural factors were as important as the need factors in explaining the proportion of variance in the use of Western health services. Being a Hindu, immigrated to Canada for a longer period of time, fewer access barriers related to cultural incompatibility, a lower level of agreement with traditional South Asian health beliefs, and a stronger South Asian ethnic identity were significantly related to the use of more types of Western health services.\\n\\nCONCLUSIONS: The findings signify the importance of developing strategies for providing culturally competent health promotion, prevention, and intervention, and health care services.","author":[{"dropping-particle":"","family":"Surood","given":"Shireen","non-dropping-particle":"","parse-names":false,"suffix":""},{"dropping-particle":"","family":"Lai","given":"Daniel W.L.","non-dropping-particle":"","parse-names":false,"suffix":""}],"container-title":"Canadian Journal of Public Health","id":"ITEM-1","issue":"2","issued":{"date-parts":[["2010"]]},"page":"176-180","title":"Impact of culture on use of Western health services by older South Asian Canadians","type":"article-journal","volume":"101"},"uris":["http://www.mendeley.com/documents/?uuid=aa2f8b64-d2f0-4207-a8da-e8b7c965895c"]}],"mendeley":{"formattedCitation":"(Surood &amp; Lai, 2010)","plainTextFormattedCitation":"(Surood &amp; Lai, 2010)","previouslyFormattedCitation":"(Surood &amp; Lai, 2010)"},"properties":{"noteIndex":0},"schema":"https://github.com/citation-style-language/schema/raw/master/csl-citation.json"}</w:instrText>
      </w:r>
      <w:r w:rsidR="00BD6C86" w:rsidRPr="00AD49AF">
        <w:fldChar w:fldCharType="separate"/>
      </w:r>
      <w:r w:rsidR="00BD6C86" w:rsidRPr="00AD49AF">
        <w:rPr>
          <w:noProof/>
        </w:rPr>
        <w:t>(Surood &amp; Lai, 2010)</w:t>
      </w:r>
      <w:r w:rsidR="00BD6C86" w:rsidRPr="00AD49AF">
        <w:fldChar w:fldCharType="end"/>
      </w:r>
      <w:r w:rsidR="00DC100A" w:rsidRPr="00AD49AF">
        <w:t xml:space="preserve"> it should be discussed and acknowledged </w:t>
      </w:r>
      <w:r w:rsidR="00344307" w:rsidRPr="00AD49AF">
        <w:t>with South Asian</w:t>
      </w:r>
      <w:r w:rsidR="00DC100A" w:rsidRPr="00AD49AF">
        <w:t xml:space="preserve"> older adults. </w:t>
      </w:r>
      <w:r w:rsidR="00AB57E3" w:rsidRPr="00AD49AF">
        <w:t xml:space="preserve">In addition, </w:t>
      </w:r>
      <w:r w:rsidR="005402FA" w:rsidRPr="00AD49AF">
        <w:t xml:space="preserve">for older adults, </w:t>
      </w:r>
      <w:r w:rsidR="00AB57E3" w:rsidRPr="00AD49AF">
        <w:t>peer influence was suggested to be particularly important and potentially more influential than GP advice</w:t>
      </w:r>
      <w:r w:rsidR="00056C63" w:rsidRPr="00AD49AF">
        <w:t xml:space="preserve">. </w:t>
      </w:r>
      <w:r w:rsidR="00770218" w:rsidRPr="00AD49AF">
        <w:t xml:space="preserve">Peer support has been shown to be a motivator for exercise in South Asian older adults </w:t>
      </w:r>
      <w:r w:rsidR="00770218" w:rsidRPr="00AD49AF">
        <w:fldChar w:fldCharType="begin" w:fldLock="1"/>
      </w:r>
      <w:r w:rsidR="00587C64" w:rsidRPr="00AD49AF">
        <w:instrText>ADDIN CSL_CITATION {"citationItems":[{"id":"ITEM-1","itemData":{"DOI":"10.1016/j.ypmed.2012.07.016","ISBN":"0091-7435","ISSN":"00917435","PMID":"22846506","abstract":"Objective: The objective of this study is to synthesise views and experiences of South Asian (SA) older adults in relation to exercise and physical activity (PA). It was anticipated that this work would identify barriers and facilitators that could inform interventions aimed at promoting PA among this population. Method: A systematic review of qualitative research was conducted. Six electronic databases were searched for relevant papers published from January 2000 to October 2011. Studies were appraised and data extracted by two reviewers. A synthesis was undertaken using framework analysis. Of 26 papers read in full, 11 were included in the review. Results: An overriding concept derived from the synthesis was the influence of empowering and disempowering contexts on PA levels of SA participants. It was supported by the following themes: communication (e.g. relying on relatives for translation of information, lack of understanding); relationships (e.g. social support from family, friends, community), beliefs (e.g. not culturally appropriate to exercise, fatalism) and environment (e.g. lack of accessible recreational areas/facilities). Conclusions: Drawing on community resources to generate group norms appears to be important when trying to increase exercise and PA among SA older adults. Implications of the results for PA promotion and provision are discussed. © 2012 Elsevier Inc.","author":[{"dropping-particle":"","family":"Horne","given":"M","non-dropping-particle":"","parse-names":false,"suffix":""},{"dropping-particle":"","family":"Tierney","given":"Stephanie","non-dropping-particle":"","parse-names":false,"suffix":""}],"container-title":"Preventive Medicine","id":"ITEM-1","issue":"4","issued":{"date-parts":[["2012"]]},"page":"276-284","publisher":"Elsevier Inc.","title":"What are the barriers and facilitators to exercise and physical activity uptake and adherence among South Asian older adults: A systematic review of qualitative studies","type":"article-journal","volume":"55"},"uris":["http://www.mendeley.com/documents/?uuid=a9973922-edc2-4836-b597-dfd2710483d8"]},{"id":"ITEM-2","itemData":{"DOI":"10.1016/j.puhe.2018.05.005","ISSN":"14765616","abstract":"Objective: High prevalence of sedentary behaviour is seen in most immigrant groups in Western countries, particularly in those from the Indian subcontinent. The primary objective of this study was to determine the sociocognitive associations with intention to undertake physical activity (PA) among separate groups of Indian, Pakistani and Bangladeshi older adults aged ≥60 years in the North West of England, UK. Study design: Cross-sectional survey Methods: Using a cross-sectional survey, informed by the Theory of Planned Behaviour (TPB), 138 of 964 South Asian (SA) older adults completed a mailed questionnaire that assessed self-reported PA and TPB variables. Results: Associations were seen in beliefs about PA and the amount of PA undertaken (rho = 0.18, P = 0.04). Attitude was correlated with intention (rho = 0.29, P = 0.01) and amount of PA undertaken (rho = 0.21, P = 0.02). Subjective norm was correlated with intention to undertake PA (rho = 0.21, P = 0.02). Between-group differences were seen between (1) Indian and Pakistani group's in subjective norm; (2) all ethnicities in intention to undertake PA; and (3) in the amount and attitude to undertaking PA between men and women. Comorbidity was associated with beliefs about PA uptake. Conclusions: Subgroup differences between Indian, Pakistani and Bangladeshi older adults in subjective norm and intention to undertaking PA highlight the importance of tailoring interventions to accommodate for subgroup differences when developing culturally appropriate PA interventions aimed at increasing uptake and adherence.","author":[{"dropping-particle":"","family":"Horne","given":"M.","non-dropping-particle":"","parse-names":false,"suffix":""},{"dropping-particle":"","family":"Emsley","given":"R.","non-dropping-particle":"","parse-names":false,"suffix":""},{"dropping-particle":"","family":"Woodham","given":"A.","non-dropping-particle":"","parse-names":false,"suffix":""},{"dropping-particle":"","family":"Wearden","given":"A.","non-dropping-particle":"","parse-names":false,"suffix":""},{"dropping-particle":"","family":"Skelton","given":"D. A.","non-dropping-particle":"","parse-names":false,"suffix":""}],"container-title":"Public Health","id":"ITEM-2","issue":"0","issued":{"date-parts":[["2018"]]},"page":"1-8","publisher":"Elsevier Ltd","title":"Associations of intention to undertake physical activity among community dwelling British South Asian adults aged 60 years and over: a cross-sectional study","type":"article-journal","volume":"162"},"uris":["http://www.mendeley.com/documents/?uuid=3042853e-0fa1-4565-a6dc-ce1e2d9a980c"]}],"mendeley":{"formattedCitation":"(Horne, Emsley, Woodham, Wearden, &amp; Skelton, 2018; Horne &amp; Tierney, 2012)","plainTextFormattedCitation":"(Horne, Emsley, Woodham, Wearden, &amp; Skelton, 2018; Horne &amp; Tierney, 2012)","previouslyFormattedCitation":"(Horne, Emsley, Woodham, Wearden, &amp; Skelton, 2018; Horne &amp; Tierney, 2012)"},"properties":{"noteIndex":0},"schema":"https://github.com/citation-style-language/schema/raw/master/csl-citation.json"}</w:instrText>
      </w:r>
      <w:r w:rsidR="00770218" w:rsidRPr="00AD49AF">
        <w:fldChar w:fldCharType="separate"/>
      </w:r>
      <w:r w:rsidR="00176723" w:rsidRPr="00AD49AF">
        <w:rPr>
          <w:noProof/>
        </w:rPr>
        <w:t>(Horne, Emsley, Woodham, Wearden, &amp; Skelton, 2018; Horne &amp; Tierney, 2012)</w:t>
      </w:r>
      <w:r w:rsidR="00770218" w:rsidRPr="00AD49AF">
        <w:fldChar w:fldCharType="end"/>
      </w:r>
      <w:r w:rsidR="00CB71D8" w:rsidRPr="00AD49AF">
        <w:t xml:space="preserve"> and should therefore be a central component in PMPs for this group.</w:t>
      </w:r>
    </w:p>
    <w:p w14:paraId="61B7FE6C" w14:textId="6D2A5D67" w:rsidR="00C453B7" w:rsidRPr="00AD49AF" w:rsidRDefault="007D147F" w:rsidP="00590F5C">
      <w:r w:rsidRPr="00AD49AF">
        <w:t xml:space="preserve">Gender differences in perceptions, expressions and approaches to coping with chronic pain are common and embedded within gendered social norms </w:t>
      </w:r>
      <w:r w:rsidRPr="00AD49AF">
        <w:fldChar w:fldCharType="begin" w:fldLock="1"/>
      </w:r>
      <w:r w:rsidRPr="00AD49AF">
        <w:instrText>ADDIN CSL_CITATION {"citationItems":[{"id":"ITEM-1","itemData":{"DOI":"10.1155/2018/6358624","abstract":"Background. Despite the large body of research on sex differences in pain, there is a lack of knowledge about the influence of gender in the patient-provider encounter. The purpose of this study was to review literature on gendered norms about men and women with pain and gender bias in the treatment of pain. The second aim was to analyze the results guided by the theoretical concepts of hegemonic masculinity and andronormativity. Methods. A literature search of databases was conducted. A total of 77 articles met the inclusion criteria. The included articles were analyzed qualitatively, with an integrative approach. Results. The included studies demonstrated a variety of gendered norms about men&amp;#x2019;s and women&amp;#x2019;s experience and expression of pain, their identity, lifestyle, and coping style. Gender bias in pain treatment was identified, as part of the patient-provider encounter and the professional&amp;#x2019;s treatment decisions. It was discussed how gendered norms are consolidated by hegemonic masculinity and andronormativity. Conclusions. Awareness about gendered norms is important, both in research and clinical practice, in order to counteract gender bias in health care and to support health-care professionals in providing more equitable care that is more capable to meet the need of all patients, men and women.","author":[{"dropping-particle":"","family":"Samulowitz","given":"Anke","non-dropping-particle":"","parse-names":false,"suffix":""},{"dropping-particle":"","family":"Gremyr","given":"Ida","non-dropping-particle":"","parse-names":false,"suffix":""},{"dropping-particle":"","family":"Eriksson","given":"Erik","non-dropping-particle":"","parse-names":false,"suffix":""},{"dropping-particle":"","family":"Hensing","given":"Gunnel","non-dropping-particle":"","parse-names":false,"suffix":""}],"id":"ITEM-1","issued":{"date-parts":[["2018"]]},"publisher":"Hindawi","title":"“ Brave Men ” and “ Emotional Women ”: A Theory-Guided Literature Review on Gender Bias in Health Care and Gendered Norms towards Patients with Chronic Pain","type":"article-journal"},"uris":["http://www.mendeley.com/documents/?uuid=93f6d800-7a7d-4b53-b07b-421669e7bf27"]}],"mendeley":{"formattedCitation":"(Samulowitz, Gremyr, Eriksson, &amp; Hensing, 2018)","plainTextFormattedCitation":"(Samulowitz, Gremyr, Eriksson, &amp; Hensing, 2018)","previouslyFormattedCitation":"(Samulowitz, Gremyr, Eriksson, &amp; Hensing, 2018)"},"properties":{"noteIndex":0},"schema":"https://github.com/citation-style-language/schema/raw/master/csl-citation.json"}</w:instrText>
      </w:r>
      <w:r w:rsidRPr="00AD49AF">
        <w:fldChar w:fldCharType="separate"/>
      </w:r>
      <w:r w:rsidRPr="00AD49AF">
        <w:rPr>
          <w:noProof/>
        </w:rPr>
        <w:t>(Samulowitz, Gremyr, Eriksson, &amp; Hensing, 2018)</w:t>
      </w:r>
      <w:r w:rsidRPr="00AD49AF">
        <w:fldChar w:fldCharType="end"/>
      </w:r>
      <w:r w:rsidRPr="00AD49AF">
        <w:t xml:space="preserve">. </w:t>
      </w:r>
      <w:r w:rsidR="00C453B7" w:rsidRPr="00AD49AF">
        <w:t xml:space="preserve">Across ethnic groups women have been shown to be more receptive to and receive more benefit from multimodal pain treatment programmes than men </w:t>
      </w:r>
      <w:r w:rsidR="00C453B7" w:rsidRPr="00AD49AF">
        <w:fldChar w:fldCharType="begin" w:fldLock="1"/>
      </w:r>
      <w:r w:rsidR="00C453B7" w:rsidRPr="00AD49AF">
        <w:instrText>ADDIN CSL_CITATION {"citationItems":[{"id":"ITEM-1","itemData":{"author":[{"dropping-particle":"","family":"Pieh","given":"C.","non-dropping-particle":"","parse-names":false,"suffix":""},{"dropping-particle":"","family":"Altmeppen","given":"J","non-dropping-particle":"","parse-names":false,"suffix":""},{"dropping-particle":"","family":"Neumeier","given":"S","non-dropping-particle":"","parse-names":false,"suffix":""},{"dropping-particle":"","family":"Loew","given":"T","non-dropping-particle":"","parse-names":false,"suffix":""},{"dropping-particle":"","family":"Angerer","given":"M","non-dropping-particle":"","parse-names":false,"suffix":""},{"dropping-particle":"","family":"Lahmann","given":"C","non-dropping-particle":"","parse-names":false,"suffix":""}],"container-title":"Pain","id":"ITEM-1","issue":"1","issued":{"date-parts":[["2012"]]},"page":"197-202","title":"Gender differences in outcomes of a multimodal pain management program","type":"article-journal","volume":"153"},"uris":["http://www.mendeley.com/documents/?uuid=3faba933-0d56-46e5-93f7-4749d6f42595"]}],"mendeley":{"formattedCitation":"(Pieh et al., 2012)","plainTextFormattedCitation":"(Pieh et al., 2012)","previouslyFormattedCitation":"(Pieh et al., 2012)"},"properties":{"noteIndex":0},"schema":"https://github.com/citation-style-language/schema/raw/master/csl-citation.json"}</w:instrText>
      </w:r>
      <w:r w:rsidR="00C453B7" w:rsidRPr="00AD49AF">
        <w:fldChar w:fldCharType="separate"/>
      </w:r>
      <w:r w:rsidR="00C453B7" w:rsidRPr="00AD49AF">
        <w:rPr>
          <w:noProof/>
        </w:rPr>
        <w:t>(Pieh et al., 2012)</w:t>
      </w:r>
      <w:r w:rsidR="00C453B7" w:rsidRPr="00AD49AF">
        <w:fldChar w:fldCharType="end"/>
      </w:r>
      <w:r w:rsidR="00C453B7" w:rsidRPr="00AD49AF">
        <w:t xml:space="preserve">. South Asian women often experience barriers to self-care activities for health due to cultural expectations to spend time focussed on the family and performing domestic duties </w:t>
      </w:r>
      <w:r w:rsidR="00C453B7" w:rsidRPr="00AD49AF">
        <w:fldChar w:fldCharType="begin" w:fldLock="1"/>
      </w:r>
      <w:r w:rsidR="00C453B7" w:rsidRPr="00AD49AF">
        <w:instrText>ADDIN CSL_CITATION {"citationItems":[{"id":"ITEM-1","itemData":{"DOI":"10.1093/her/cyh042","ISSN":"0268-1153","author":[{"dropping-particle":"","family":"Lawton","given":"J.","non-dropping-particle":"","parse-names":false,"suffix":""},{"dropping-particle":"","family":"Hallowell","given":"N.","non-dropping-particle":"","parse-names":false,"suffix":""},{"dropping-particle":"","family":"Ahmad","given":"N.","non-dropping-particle":"","parse-names":false,"suffix":""},{"dropping-particle":"","family":"Hanna","given":"L.","non-dropping-particle":"","parse-names":false,"suffix":""},{"dropping-particle":"","family":"Douglas","given":"M.","non-dropping-particle":"","parse-names":false,"suffix":""}],"container-title":"Health Education Research","id":"ITEM-1","issue":"1","issued":{"date-parts":[["2005"]]},"page":"43-54","title":"‘I can't do any serious exercise’: barriers to physical activity amongst people of Pakistani and Indian origin with Type 2 diabetes","type":"article-journal","volume":"21"},"uris":["http://www.mendeley.com/documents/?uuid=8c616f00-d1ce-4e3a-9fee-2733e4646c46"]},{"id":"ITEM-2","itemData":{"DOI":"10.3390/ijerph120303152","ISSN":"16604601","abstract":"INTRODUCTION: Limited self-report data suggest that South Asian (SA) women fail to meet physical activity (PA) recommendations. Recent research using objective measures reveals SA women living in the UK have higher PA levels than previously reported, and a pattern of under-reporting PA and sedentary time (ST). There is limited research on SA women's understanding and experiences of PA/ST, and the cultural contexts and conditions within which they occur. Therefore the aims of this mixed-methods study were to compare perceived PA and ST to objectively measured data and explore PA- and ST-specific contexts, experiences, and sources of PA and ST amongst SA women in the UK.\\n\\nMETHODS: 24 women were purposively sampled to participate in a semi-structured interview from a larger study of 140 women who wore an accelerometer for 7 days. Demographic and anthropometric data were also collected.\\n\\nRESULTS: Notable qualitative themes on contextualisation were of adequate PA as \"keeping busy\" or \"being healthy\", and of ST as \"lazy\" or \"resting in old age\". Few participants reported being sedentary, and most believed they were sufficiently physically active. Objectively measured PA/ST indicated that 66% women were less active than perceived (with regard to duration and intensity), with none able to estimate duration of ST.\\n\\nDISCUSSION: Findings suggest that overall, SA women have contextualisations of PA/ST that may not coincide with those of researchers, health professionals and policy makers, and lack awareness of the intensity of PA in which they engage and the health risks of high levels of ST. These findings highlight the need for objective measures of PA and ST in this population combined with in-depth qualitative assessments to provide more accurate assessments of these behaviours. This information can subsequently be used to develop health promotion messages and interventions focusing on increasing duration and/or intensity levels of daily activities (e.g., walking, housework) and reducing ST in this population.","author":[{"dropping-particle":"","family":"Curry","given":"Whitney Babakus","non-dropping-particle":"","parse-names":false,"suffix":""},{"dropping-particle":"","family":"Duda","given":"Joan L.","non-dropping-particle":"","parse-names":false,"suffix":""},{"dropping-particle":"","family":"Thompson","given":"Janice L.","non-dropping-particle":"","parse-names":false,"suffix":""}],"container-title":"International Journal of Environmental Research and Public Health","id":"ITEM-2","issue":"3","issued":{"date-parts":[["2015"]]},"page":"3152-3173","title":"Perceived and objectively measured physical activity and sedentary time among South Asian Women in the UK","type":"article-journal","volume":"12"},"uris":["http://www.mendeley.com/documents/?uuid=594fa155-2494-45fc-9911-2963ba6826eb"]}],"mendeley":{"formattedCitation":"(Curry, Duda, &amp; Thompson, 2015; Lawton, Hallowell, Ahmad, Hanna, &amp; Douglas, 2005)","plainTextFormattedCitation":"(Curry, Duda, &amp; Thompson, 2015; Lawton, Hallowell, Ahmad, Hanna, &amp; Douglas, 2005)","previouslyFormattedCitation":"(Curry, Duda, &amp; Thompson, 2015; Lawton, Hallowell, Ahmad, Hanna, &amp; Douglas, 2005)"},"properties":{"noteIndex":0},"schema":"https://github.com/citation-style-language/schema/raw/master/csl-citation.json"}</w:instrText>
      </w:r>
      <w:r w:rsidR="00C453B7" w:rsidRPr="00AD49AF">
        <w:fldChar w:fldCharType="separate"/>
      </w:r>
      <w:r w:rsidR="00C453B7" w:rsidRPr="00AD49AF">
        <w:rPr>
          <w:noProof/>
        </w:rPr>
        <w:t>(Curry, Duda, &amp; Thompson, 2015; Lawton, Hallowell, Ahmad, Hanna, &amp; Douglas, 2005)</w:t>
      </w:r>
      <w:r w:rsidR="00C453B7" w:rsidRPr="00AD49AF">
        <w:fldChar w:fldCharType="end"/>
      </w:r>
      <w:r w:rsidR="00C453B7" w:rsidRPr="00AD49AF">
        <w:t>. It may be that, given the preference for paternalistic approaches to care illustrated by these participants, the structure of PMPs as a healthcare intervention legitimises engagement in self-care activities and facilitates cultural acceptance for South Asian women.</w:t>
      </w:r>
    </w:p>
    <w:p w14:paraId="3BA2D284" w14:textId="32374E94" w:rsidR="00590F5C" w:rsidRPr="00AD49AF" w:rsidRDefault="00590F5C" w:rsidP="00590F5C">
      <w:r w:rsidRPr="00AD49AF">
        <w:t>This research has been unique in that it has</w:t>
      </w:r>
      <w:r w:rsidR="00C453B7" w:rsidRPr="00AD49AF">
        <w:t xml:space="preserve"> also</w:t>
      </w:r>
      <w:r w:rsidRPr="00AD49AF">
        <w:t xml:space="preserve"> captured perceptions of South Asian </w:t>
      </w:r>
      <w:r w:rsidR="00C97C0C" w:rsidRPr="00AD49AF">
        <w:t xml:space="preserve">males </w:t>
      </w:r>
      <w:r w:rsidRPr="00AD49AF">
        <w:t xml:space="preserve">and highlighted a discourse that men tend not to openly discuss pain experiences. </w:t>
      </w:r>
      <w:r w:rsidR="00C2776A" w:rsidRPr="00AD49AF">
        <w:t xml:space="preserve">In other areas of </w:t>
      </w:r>
      <w:r w:rsidR="007A3821" w:rsidRPr="00AD49AF">
        <w:t>health self-management</w:t>
      </w:r>
      <w:r w:rsidRPr="00AD49AF">
        <w:t xml:space="preserve"> evidence </w:t>
      </w:r>
      <w:r w:rsidR="000F7B4D" w:rsidRPr="00AD49AF">
        <w:t>indicates</w:t>
      </w:r>
      <w:r w:rsidRPr="00AD49AF">
        <w:t xml:space="preserve"> that South Asian men with diabetes</w:t>
      </w:r>
      <w:r w:rsidR="00581343" w:rsidRPr="00AD49AF">
        <w:t xml:space="preserve"> often have poor health literacy levels </w:t>
      </w:r>
      <w:r w:rsidR="00855139" w:rsidRPr="00AD49AF">
        <w:fldChar w:fldCharType="begin" w:fldLock="1"/>
      </w:r>
      <w:r w:rsidR="00B67DE5" w:rsidRPr="00AD49AF">
        <w:instrText>ADDIN CSL_CITATION {"citationItems":[{"id":"ITEM-1","itemData":{"DOI":"10.1017/S1463423614000152","ISSN":"14771128","abstract":"This study aims to explore the health literacy needs of South Asian men with diabetes to generate scoping data to inform culturally appropriate interventions with this group. Health literacy levels were measured using the TOFHLA-UK (n=45) and supplemented by semi-structured interviews with healthcare providers (n=12). Data suggest that the majority of participants from this cohort tend to have marginal to inadequate health literacy levels. A generational gap was also found. Although language is a common barrier, low literacy confounds this issue since some patients are unable to read even in their own language. Thus health communication and care plans need to be simplified to match current health literacy levels of South Asian men with diabetes. Interventions need to work around cultural norms and collaborate with community members. Research and interventions that consider the needs of older generations of South Asian people with diabetes are also needed.","author":[{"dropping-particle":"V.","family":"Estacio","given":"Emee.","non-dropping-particle":"","parse-names":false,"suffix":""},{"dropping-particle":"","family":"McKinley","given":"Robert K.","non-dropping-particle":"","parse-names":false,"suffix":""},{"dropping-particle":"","family":"Saidy-Khan","given":"Sirandou","non-dropping-particle":"","parse-names":false,"suffix":""},{"dropping-particle":"","family":"Karic","given":"Toni","non-dropping-particle":"","parse-names":false,"suffix":""},{"dropping-particle":"","family":"Clark","given":"Linda","non-dropping-particle":"","parse-names":false,"suffix":""},{"dropping-particle":"","family":"Kurth","given":"Judy","non-dropping-particle":"","parse-names":false,"suffix":""}],"container-title":"Primary health care research &amp; development","id":"ITEM-1","issue":"2","issued":{"date-parts":[["2015"]]},"page":"214-218","title":"Health literacy: why it matters to South Asian men with diabetes","type":"article-journal","volume":"16"},"uris":["http://www.mendeley.com/documents/?uuid=97cb5bf4-09c7-4460-8f0d-1b02376e266e"]}],"mendeley":{"formattedCitation":"(Estacio et al., 2015)","plainTextFormattedCitation":"(Estacio et al., 2015)","previouslyFormattedCitation":"(Estacio et al., 2015)"},"properties":{"noteIndex":0},"schema":"https://github.com/citation-style-language/schema/raw/master/csl-citation.json"}</w:instrText>
      </w:r>
      <w:r w:rsidR="00855139" w:rsidRPr="00AD49AF">
        <w:fldChar w:fldCharType="separate"/>
      </w:r>
      <w:r w:rsidR="00006F88" w:rsidRPr="00AD49AF">
        <w:rPr>
          <w:noProof/>
        </w:rPr>
        <w:t>(Estacio et al., 2015)</w:t>
      </w:r>
      <w:r w:rsidR="00855139" w:rsidRPr="00AD49AF">
        <w:fldChar w:fldCharType="end"/>
      </w:r>
      <w:r w:rsidR="00855139" w:rsidRPr="00AD49AF">
        <w:t xml:space="preserve"> </w:t>
      </w:r>
      <w:r w:rsidR="00581343" w:rsidRPr="00AD49AF">
        <w:t>and</w:t>
      </w:r>
      <w:r w:rsidRPr="00AD49AF">
        <w:t xml:space="preserve"> rely on female family members for activities like diet modification and medication support </w:t>
      </w:r>
      <w:r w:rsidRPr="00AD49AF">
        <w:fldChar w:fldCharType="begin" w:fldLock="1"/>
      </w:r>
      <w:r w:rsidRPr="00AD49AF">
        <w:instrText>ADDIN CSL_CITATION {"citationItems":[{"id":"ITEM-1","itemData":{"DOI":"10.1186/s12875-015-0269-y","ISSN":"14712296","PMID":"25958196","abstract":"British South Asians have a higher incidence of diabetes and poorer health outcomes compared to the general UK population. Beliefs about diabetes are known to play an important role in self-management, yet little is known about the sociocultural context in shaping beliefs. This study aimed to explore the influence of sociocultural context on illness beliefs and diabetes self-management in British South Asians.","author":[{"dropping-particle":"","family":"Patel","given":"N. R.","non-dropping-particle":"","parse-names":false,"suffix":""},{"dropping-particle":"","family":"Chew-Graham","given":"Carolyn","non-dropping-particle":"","parse-names":false,"suffix":""},{"dropping-particle":"","family":"Bundy","given":"Christine","non-dropping-particle":"","parse-names":false,"suffix":""},{"dropping-particle":"","family":"Kennedy","given":"Anne","non-dropping-particle":"","parse-names":false,"suffix":""},{"dropping-particle":"","family":"Blickem","given":"Christian","non-dropping-particle":"","parse-names":false,"suffix":""},{"dropping-particle":"","family":"Reeves","given":"David","non-dropping-particle":"","parse-names":false,"suffix":""}],"container-title":"BMC Family Practice","id":"ITEM-1","issue":"1","issued":{"date-parts":[["2015"]]},"page":"1-12","publisher":"???","title":"Illness beliefs and the sociocultural context of diabetes self-management in British South Asians: A mixed methods study","type":"article-journal","volume":"16"},"uris":["http://www.mendeley.com/documents/?uuid=7b97d8c5-738b-4962-8e9e-d065d9564ba8"]}],"mendeley":{"formattedCitation":"(N. R. Patel et al., 2015)","plainTextFormattedCitation":"(N. R. Patel et al., 2015)","previouslyFormattedCitation":"(N. R. Patel et al., 2015)"},"properties":{"noteIndex":0},"schema":"https://github.com/citation-style-language/schema/raw/master/csl-citation.json"}</w:instrText>
      </w:r>
      <w:r w:rsidRPr="00AD49AF">
        <w:fldChar w:fldCharType="separate"/>
      </w:r>
      <w:r w:rsidRPr="00AD49AF">
        <w:rPr>
          <w:noProof/>
        </w:rPr>
        <w:t>(N. R. Patel et al., 2015)</w:t>
      </w:r>
      <w:r w:rsidRPr="00AD49AF">
        <w:fldChar w:fldCharType="end"/>
      </w:r>
      <w:r w:rsidRPr="00AD49AF">
        <w:t>. This</w:t>
      </w:r>
      <w:r w:rsidR="00006F88" w:rsidRPr="00AD49AF">
        <w:t xml:space="preserve"> </w:t>
      </w:r>
      <w:r w:rsidR="00692290" w:rsidRPr="00AD49AF">
        <w:t>reduced health literacy</w:t>
      </w:r>
      <w:r w:rsidR="00006F88" w:rsidRPr="00AD49AF">
        <w:t xml:space="preserve"> and behavioural</w:t>
      </w:r>
      <w:r w:rsidRPr="00AD49AF">
        <w:t xml:space="preserve"> passivity may also apply to other chronic conditions</w:t>
      </w:r>
      <w:r w:rsidR="00A519D9" w:rsidRPr="00AD49AF">
        <w:t xml:space="preserve"> </w:t>
      </w:r>
      <w:r w:rsidRPr="00AD49AF">
        <w:t>and help to explain a lack of</w:t>
      </w:r>
      <w:r w:rsidR="000F7B4D" w:rsidRPr="00AD49AF">
        <w:t xml:space="preserve"> discussion of </w:t>
      </w:r>
      <w:r w:rsidR="00A519D9" w:rsidRPr="00AD49AF">
        <w:t>pain and pain management</w:t>
      </w:r>
      <w:r w:rsidR="000F7B4D" w:rsidRPr="00AD49AF">
        <w:t xml:space="preserve"> and</w:t>
      </w:r>
      <w:r w:rsidRPr="00AD49AF">
        <w:t xml:space="preserve"> engagement in secondary services.</w:t>
      </w:r>
      <w:r w:rsidR="00C97C0C" w:rsidRPr="00AD49AF">
        <w:t xml:space="preserve"> </w:t>
      </w:r>
      <w:r w:rsidR="000F7B4D" w:rsidRPr="00AD49AF">
        <w:t xml:space="preserve">No other research has explored barriers and facilitators for engaging South Asian men in pain self-management and further work is needed </w:t>
      </w:r>
      <w:r w:rsidR="000666A7" w:rsidRPr="00AD49AF">
        <w:t xml:space="preserve">in order to </w:t>
      </w:r>
      <w:r w:rsidR="009B7050" w:rsidRPr="00AD49AF">
        <w:t>inform</w:t>
      </w:r>
      <w:r w:rsidR="000666A7" w:rsidRPr="00AD49AF">
        <w:t xml:space="preserve"> PMPs for this population.</w:t>
      </w:r>
    </w:p>
    <w:p w14:paraId="403B27C0" w14:textId="77AD2DCA" w:rsidR="00DA1E3E" w:rsidRPr="00AD49AF" w:rsidRDefault="00BB06A3" w:rsidP="00E861FB">
      <w:r w:rsidRPr="00AD49AF">
        <w:t xml:space="preserve">Responsibility for self-care was highlighted within the accounts, however this was often associated with a need for actions to be grounded in GP provided medical guidance. </w:t>
      </w:r>
      <w:r w:rsidR="001F6394" w:rsidRPr="00AD49AF">
        <w:t>Th</w:t>
      </w:r>
      <w:r w:rsidR="009B7050" w:rsidRPr="00AD49AF">
        <w:t>is perceived</w:t>
      </w:r>
      <w:r w:rsidR="001F6394" w:rsidRPr="00AD49AF">
        <w:t xml:space="preserve"> importance of </w:t>
      </w:r>
      <w:r w:rsidR="007A6171" w:rsidRPr="00AD49AF">
        <w:t xml:space="preserve">practitioner </w:t>
      </w:r>
      <w:r w:rsidR="00D91AA3" w:rsidRPr="00AD49AF">
        <w:t xml:space="preserve">recommendations </w:t>
      </w:r>
      <w:r w:rsidR="007A6171" w:rsidRPr="00AD49AF">
        <w:t>illustrates a potential avenue</w:t>
      </w:r>
      <w:r w:rsidR="00417E90" w:rsidRPr="00AD49AF">
        <w:t xml:space="preserve"> for developing motivation for chronic pain self-management. </w:t>
      </w:r>
      <w:r w:rsidR="000A27BD" w:rsidRPr="00AD49AF">
        <w:t xml:space="preserve">In particular, the practice of social prescribing may be a valuable addition to chronic pain </w:t>
      </w:r>
      <w:r w:rsidR="004A37C6" w:rsidRPr="00AD49AF">
        <w:t>service pathways for South Asian populations.</w:t>
      </w:r>
      <w:r w:rsidR="000B4430" w:rsidRPr="00AD49AF">
        <w:t xml:space="preserve"> Social prescribing is a model of care in which a GP</w:t>
      </w:r>
      <w:r w:rsidR="0092732C" w:rsidRPr="00AD49AF">
        <w:t>s can provide non-medical referrals to existing voluntary and community sources of support</w:t>
      </w:r>
      <w:r w:rsidR="008A2555" w:rsidRPr="00AD49AF">
        <w:t xml:space="preserve"> </w:t>
      </w:r>
      <w:r w:rsidR="00E83096" w:rsidRPr="00AD49AF">
        <w:fldChar w:fldCharType="begin" w:fldLock="1"/>
      </w:r>
      <w:r w:rsidR="0052010B" w:rsidRPr="00AD49AF">
        <w:instrText>ADDIN CSL_CITATION {"citationItems":[{"id":"ITEM-1","itemData":{"abstract":"Perhaps the most striking finding from this report is the number of committed men and women in many areas of the country who are already successfully pioneering social prescribing. Through the new Social Prescribing Network, we have helped connect up far more people than we expected. These are courageous people who are showing us how social prescribing can produce positive outcomes for their patients and local communities despite the current lack of central direction or dedicated funding streams. It is time today for the whole health service from clinical commissioning groups (CCGs), NHS England, Public Health England, the Department of Health and Government to put its full force behind these efforts. These social prescribing services offer the health service a potential safety net and answers to key problems of our time, whether it be overburdened general practices, the need for better NHS outcomes, the burnout of our health professionals, the unsustainability of increasing health costs or how to improve the fabric of society itself.","author":[{"dropping-particle":"","family":"University of Westminster","given":"","non-dropping-particle":"","parse-names":false,"suffix":""}],"id":"ITEM-1","issued":{"date-parts":[["2016"]]},"publisher-place":"London, UK","title":"Report of the annual social prescribing network conference","type":"report"},"uris":["http://www.mendeley.com/documents/?uuid=7512cd63-10f0-46d5-87a2-5ddf954c47e5"]}],"mendeley":{"formattedCitation":"(University of Westminster, 2016)","plainTextFormattedCitation":"(University of Westminster, 2016)","previouslyFormattedCitation":"(University of Westminster, 2016)"},"properties":{"noteIndex":0},"schema":"https://github.com/citation-style-language/schema/raw/master/csl-citation.json"}</w:instrText>
      </w:r>
      <w:r w:rsidR="00E83096" w:rsidRPr="00AD49AF">
        <w:fldChar w:fldCharType="separate"/>
      </w:r>
      <w:r w:rsidR="00E83096" w:rsidRPr="00AD49AF">
        <w:rPr>
          <w:noProof/>
        </w:rPr>
        <w:t>(University of Westminster, 2016)</w:t>
      </w:r>
      <w:r w:rsidR="00E83096" w:rsidRPr="00AD49AF">
        <w:fldChar w:fldCharType="end"/>
      </w:r>
      <w:r w:rsidR="008A643E" w:rsidRPr="00AD49AF">
        <w:t xml:space="preserve">. The </w:t>
      </w:r>
      <w:r w:rsidR="006A2911" w:rsidRPr="00AD49AF">
        <w:t>patient</w:t>
      </w:r>
      <w:r w:rsidR="008A643E" w:rsidRPr="00AD49AF">
        <w:t xml:space="preserve"> works with </w:t>
      </w:r>
      <w:r w:rsidR="006A2911" w:rsidRPr="00AD49AF">
        <w:t>a</w:t>
      </w:r>
      <w:r w:rsidR="008A643E" w:rsidRPr="00AD49AF">
        <w:t xml:space="preserve"> link worker to co-design a non-clinical </w:t>
      </w:r>
      <w:r w:rsidR="008A643E" w:rsidRPr="00AD49AF">
        <w:lastRenderedPageBreak/>
        <w:t xml:space="preserve">prescription to improve their health and wellbeing. This approach </w:t>
      </w:r>
      <w:r w:rsidR="00B50462" w:rsidRPr="00AD49AF">
        <w:t xml:space="preserve">could help to address the potential for low mood, impact on sense of self and reduced physical activity associated with chronic pain </w:t>
      </w:r>
      <w:r w:rsidR="00111DD4" w:rsidRPr="00AD49AF">
        <w:t>within this study</w:t>
      </w:r>
      <w:r w:rsidR="00667AAD" w:rsidRPr="00AD49AF">
        <w:t>.</w:t>
      </w:r>
      <w:r w:rsidR="008E0B50" w:rsidRPr="00AD49AF">
        <w:t xml:space="preserve"> Social prescribing enables</w:t>
      </w:r>
      <w:r w:rsidR="00B50462" w:rsidRPr="00AD49AF">
        <w:t xml:space="preserve"> link workers</w:t>
      </w:r>
      <w:r w:rsidR="008E0B50" w:rsidRPr="00AD49AF">
        <w:t xml:space="preserve"> to</w:t>
      </w:r>
      <w:r w:rsidR="00B50462" w:rsidRPr="00AD49AF">
        <w:t xml:space="preserve"> connect patients to</w:t>
      </w:r>
      <w:r w:rsidR="007D5C4F" w:rsidRPr="00AD49AF">
        <w:t xml:space="preserve"> advice services, community </w:t>
      </w:r>
      <w:r w:rsidR="00121245" w:rsidRPr="00AD49AF">
        <w:t>activities</w:t>
      </w:r>
      <w:r w:rsidR="007D5C4F" w:rsidRPr="00AD49AF">
        <w:t>, physical activities, befriending, enabling services and faith groups w</w:t>
      </w:r>
      <w:r w:rsidR="00121245" w:rsidRPr="00AD49AF">
        <w:t xml:space="preserve">ithin their immediate community </w:t>
      </w:r>
      <w:r w:rsidR="00121245" w:rsidRPr="00AD49AF">
        <w:fldChar w:fldCharType="begin" w:fldLock="1"/>
      </w:r>
      <w:r w:rsidR="0052010B" w:rsidRPr="00AD49AF">
        <w:instrText>ADDIN CSL_CITATION {"citationItems":[{"id":"ITEM-1","itemData":{"abstract":"Perhaps the most striking finding from this report is the number of committed men and women in many areas of the country who are already successfully pioneering social prescribing. Through the new Social Prescribing Network, we have helped connect up far more people than we expected. These are courageous people who are showing us how social prescribing can produce positive outcomes for their patients and local communities despite the current lack of central direction or dedicated funding streams. It is time today for the whole health service from clinical commissioning groups (CCGs), NHS England, Public Health England, the Department of Health and Government to put its full force behind these efforts. These social prescribing services offer the health service a potential safety net and answers to key problems of our time, whether it be overburdened general practices, the need for better NHS outcomes, the burnout of our health professionals, the unsustainability of increasing health costs or how to improve the fabric of society itself.","author":[{"dropping-particle":"","family":"University of Westminster","given":"","non-dropping-particle":"","parse-names":false,"suffix":""}],"id":"ITEM-1","issued":{"date-parts":[["2016"]]},"publisher-place":"London, UK","title":"Report of the annual social prescribing network conference","type":"report"},"uris":["http://www.mendeley.com/documents/?uuid=7512cd63-10f0-46d5-87a2-5ddf954c47e5"]}],"mendeley":{"formattedCitation":"(University of Westminster, 2016)","plainTextFormattedCitation":"(University of Westminster, 2016)","previouslyFormattedCitation":"(University of Westminster, 2016)"},"properties":{"noteIndex":0},"schema":"https://github.com/citation-style-language/schema/raw/master/csl-citation.json"}</w:instrText>
      </w:r>
      <w:r w:rsidR="00121245" w:rsidRPr="00AD49AF">
        <w:fldChar w:fldCharType="separate"/>
      </w:r>
      <w:r w:rsidR="00121245" w:rsidRPr="00AD49AF">
        <w:rPr>
          <w:noProof/>
        </w:rPr>
        <w:t>(University of Westminster, 2016)</w:t>
      </w:r>
      <w:r w:rsidR="00121245" w:rsidRPr="00AD49AF">
        <w:fldChar w:fldCharType="end"/>
      </w:r>
      <w:r w:rsidR="00121245" w:rsidRPr="00AD49AF">
        <w:t>.</w:t>
      </w:r>
      <w:r w:rsidR="00D50E3A" w:rsidRPr="00AD49AF">
        <w:t xml:space="preserve"> </w:t>
      </w:r>
      <w:r w:rsidR="00564357" w:rsidRPr="00AD49AF">
        <w:t xml:space="preserve">As a relatively new model in patient care there is currently mixed evidence about the effectiveness and cost effectiveness of social prescribing schemes and more evaluation is needed </w:t>
      </w:r>
      <w:r w:rsidR="00564357" w:rsidRPr="00AD49AF">
        <w:fldChar w:fldCharType="begin" w:fldLock="1"/>
      </w:r>
      <w:r w:rsidR="00123F93" w:rsidRPr="00AD49AF">
        <w:instrText>ADDIN CSL_CITATION {"citationItems":[{"id":"ITEM-1","itemData":{"DOI":"10.1038/nn0204-95","ISBN":"9781118407417","ISSN":"20446055","PMID":"28389486","abstract":"1.The bio-psycho-social model of illness encourages healthcare practitioners to think beyond anatomy and physiology to consider how the interplay of mind, body and social circumstances affect health and wellbeing. Medicine has much to offer in treating the biological aetiology of illness and recent commitments to parity of esteem are expected to give equal priority to addressing social, psychological and physical aspects of health. To date, however, the capacity for healthcare practitioners to address the social problems that precipitate and perpetuate ill health have been limited. Social prescribing is a means by which healthcare professionals seek to address the non-medical causes of ill health with non-medical interventions. 2.It is estimated that around 20% of patients consult their general practitioner (GP) for what is primarily a social problem (Low Commission, 2015). It has been suggested that referral to a social prescribing service could reduce this pressure. This paper critically appraises the current evidence as to whether social prescribing reduces the demand for health services and is cost effective. Method","author":[{"dropping-particle":"","family":"Polley","given":"M","non-dropping-particle":"","parse-names":false,"suffix":""},{"dropping-particle":"","family":"Bertotti","given":"M","non-dropping-particle":"","parse-names":false,"suffix":""},{"dropping-particle":"","family":"Kimberlee","given":"R","non-dropping-particle":"","parse-names":false,"suffix":""},{"dropping-particle":"","family":"Pilkington","given":"K","non-dropping-particle":"","parse-names":false,"suffix":""},{"dropping-particle":"","family":"Refsum","given":"C","non-dropping-particle":"","parse-names":false,"suffix":""}],"container-title":"University of Westminster","id":"ITEM-1","issue":"June","issued":{"date-parts":[["2017"]]},"page":"8","title":"A review of the evidence assessing impact of social prescribing on healthcare demand and cost implications","type":"article-journal"},"uris":["http://www.mendeley.com/documents/?uuid=f91165ef-f6f5-4131-86c7-e6dbbb04b94b"]},{"id":"ITEM-2","itemData":{"DOI":"10.1017/S146342360800087X","ISBN":"1463423608","ISSN":"14771128","abstract":"Background: The voluntary sector has long been recognised as making an important contribution to individual and community health. In the UK, however, the links between primary health care services and the voluntary and community sector are often underdeveloped. Social prescribing is an innovative approach, which aims to promote the use of the voluntary sector within primary health care. Social prescribing involves the creation of referral pathways that allow primary health care patients with non-clinical needs to be directed to local voluntary services and community groups. Such schemes typically use community development workers with local knowledge who are linked to primary health care settings. Social prescribing therefore has the potential to assist individual patients presenting with social needs to access health resources and social support outside of the National Health Service. Aim: The aim of this paper is to explore the concept of social prescribing and discuss its value as a public health initiative embedded within general practice. Methods: The rationale for social prescribing and existing evidence are briefly reviewed. The paper draws on a case study of a pilot social prescribing scheme based in general practice. Data collected during the development, implementation and evaluation of the scheme are used to illustrate the opportunities and limitations for development in UK primary health care.  Findings: The potential for social prescribing to provide a mediating mechanism between different sectors and address social need is discussed. The paper argues that social prescribing can successfully extend the boundaries of traditional general practice through bridging the gap between primary health care and the voluntary sector. The potential for wider health gain is critically examined. The paper concludes that social prescribing not only provides a means to alternative support but also acts as a mechanism to strengthen community-professional partnerships. More research is needed on the benefits to patients and professionals.","author":[{"dropping-particle":"","family":"South","given":"Jane","non-dropping-particle":"","parse-names":false,"suffix":""},{"dropping-particle":"","family":"Higgins","given":"Tracy J.","non-dropping-particle":"","parse-names":false,"suffix":""},{"dropping-particle":"","family":"Woodall","given":"James","non-dropping-particle":"","parse-names":false,"suffix":""},{"dropping-particle":"","family":"White","given":"Simon M.","non-dropping-particle":"","parse-names":false,"suffix":""}],"container-title":"Primary Health Care Research and Development","id":"ITEM-2","issue":"4","issued":{"date-parts":[["2008"]]},"page":"310-318","title":"Can social prescribing provide the missing link?","type":"article-journal","volume":"9"},"uris":["http://www.mendeley.com/documents/?uuid=39d652ff-a28f-4d7f-89d0-6164779ea996"]},{"id":"ITEM-3","itemData":{"DOI":"10.1108/JPMH-06-2014-0027","ISSN":"20428731","abstract":"Purpose: Social prescribing are short-term intermediary services that facilitate patients with psychosocial needs to engage in non-clinical support. However, little is known about the components and potential impact of social prescribing. The paper aims to discuss this issue. Design/methodology/approach: A review was conducted to explore the evidence based on social prescribing including mapping its key components and potential impact. Database, internet and hand searching was utilised to identify relevant studies. Data extraction and narrative analysis was undertaken to explore the issues. Findings: In total, 24 studies met the inclusion criteria. The studies were diverse in their methodologies and the services evaluated. Stakeholders such as general practitioners and patients perceived that social prescribing increased patients’ mental well-being and decreased health service use. However, the quantitative evidence supporting this was limited. The only randomised-controlled trial showed a decrease in symptoms and increase in functional well-being at four months. The other non-controlled designs had large drop-out rates limiting their value in determining effectiveness. Research limitations/implications: Further research is needed on the effectiveness and cost-effectiveness of social prescribing using robust evaluative designs. Originality/value: This is the first review of generic social prescribing services focusing on the general evidence base. (PsycINFO Database Record (c) 2015 APA, all rights reserved). (journal abstract)","author":[{"dropping-particle":"","family":"Kilgarriff-Foster","given":"Alexis","non-dropping-particle":"","parse-names":false,"suffix":""},{"dropping-particle":"","family":"O'Cathain","given":"Alicia","non-dropping-particle":"","parse-names":false,"suffix":""}],"container-title":"Journal of Public Mental Health","id":"ITEM-3","issue":"3","issued":{"date-parts":[["2015"]]},"page":"127-134","title":"Exploring the components and impact of social prescribing","type":"article-journal","volume":"14"},"uris":["http://www.mendeley.com/documents/?uuid=dffe0822-5781-4b20-a236-45d09510b54a"]},{"id":"ITEM-4","itemData":{"DOI":"10.1136/bmjopen-2016-013384","ISBN":"1527-7755 (Electronic)\r0732-183X (Linking)","ISSN":"20446055","PMID":"28389486","abstract":"OBJECTIVES Social prescribing is a way of linking patients in primary care with sources of support within the community to help improve their health and well-being. Social prescribing programmes are being widely promoted and adopted in the UK National Health Service and so we conducted a systematic review to assess the evidence for their effectiveness. SETTING/DATA SOURCES Nine databases were searched from 2000 to January 2016 for studies conducted in the UK. Relevant reports and guidelines, websites and reference lists of retrieved articles were scanned to identify additional studies. All the searches were restricted to English language only. PARTICIPANTS Systematic reviews and any published evaluation of programmes where patient referral was made from a primary care setting to a link worker or facilitator of social prescribing were eligible for inclusion. Risk of bias for included studies was undertaken independently by two reviewers and a narrative synthesis was performed. PRIMARY AND SECONDARY OUTCOME MEASURES Primary outcomes of interest were any measures of health and well-being and/or usage of health services. RESULTS We included a total of 15 evaluations of social prescribing programmes. Most were small scale and limited by poor design and reporting. All were rated as a having a high risk of bias. Common design issues included a lack of comparative controls, short follow-up durations, a lack of standardised and validated measuring tools, missing data and a failure to consider potential confounding factors. Despite clear methodological shortcomings, most evaluations presented positive conclusions. CONCLUSIONS Social prescribing is being widely advocated and implemented but current evidence fails to provide sufficient detail to judge either success or value for money. If social prescribing is to realise its potential, future evaluations must be comparative by design and consider when, by whom, for whom, how well and at what cost. TRIAL REGISTRATION NUMBER PROSPERO Registration: CRD42015023501.","author":[{"dropping-particle":"","family":"Bickerdike","given":"Liz","non-dropping-particle":"","parse-names":false,"suffix":""},{"dropping-particle":"","family":"Booth","given":"Alison","non-dropping-particle":"","parse-names":false,"suffix":""},{"dropping-particle":"","family":"Wilson","given":"Paul M.","non-dropping-particle":"","parse-names":false,"suffix":""},{"dropping-particle":"","family":"Farley","given":"Kate","non-dropping-particle":"","parse-names":false,"suffix":""},{"dropping-particle":"","family":"Wright","given":"Kath","non-dropping-particle":"","parse-names":false,"suffix":""}],"container-title":"BMJ Open","id":"ITEM-4","issue":"4","issued":{"date-parts":[["2017"]]},"title":"Social prescribing: Less rhetoric and more reality. A systematic review of the evidence","type":"article-journal","volume":"7"},"uris":["http://www.mendeley.com/documents/?uuid=a0b3318c-13f0-445f-adee-e8854ffb0c65"]}],"mendeley":{"formattedCitation":"(Bickerdike, Booth, Wilson, Farley, &amp; Wright, 2017; Kilgarriff-Foster &amp; O’Cathain, 2015; Polley, Bertotti, Kimberlee, Pilkington, &amp; Refsum, 2017; South, Higgins, Woodall, &amp; White, 2008)","plainTextFormattedCitation":"(Bickerdike, Booth, Wilson, Farley, &amp; Wright, 2017; Kilgarriff-Foster &amp; O’Cathain, 2015; Polley, Bertotti, Kimberlee, Pilkington, &amp; Refsum, 2017; South, Higgins, Woodall, &amp; White, 2008)","previouslyFormattedCitation":"(Bickerdike, Booth, Wilson, Farley, &amp; Wright, 2017; Kilgarriff-Foster &amp; O’Cathain, 2015; Polley, Bertotti, Kimberlee, Pilkington, &amp; Refsum, 2017; South, Higgins, Woodall, &amp; White, 2008)"},"properties":{"noteIndex":0},"schema":"https://github.com/citation-style-language/schema/raw/master/csl-citation.json"}</w:instrText>
      </w:r>
      <w:r w:rsidR="00564357" w:rsidRPr="00AD49AF">
        <w:fldChar w:fldCharType="separate"/>
      </w:r>
      <w:r w:rsidR="00564357" w:rsidRPr="00AD49AF">
        <w:rPr>
          <w:noProof/>
        </w:rPr>
        <w:t>(Bickerdike, Booth, Wilson, Farley, &amp; Wright, 2017; Kilgarriff-Foster &amp; O’Cathain, 2015; Polley, Bertotti, Kimberlee, Pilkington, &amp; Refsum, 2017; South, Higgins, Woodall, &amp; White, 2008)</w:t>
      </w:r>
      <w:r w:rsidR="00564357" w:rsidRPr="00AD49AF">
        <w:fldChar w:fldCharType="end"/>
      </w:r>
      <w:r w:rsidR="00A83550" w:rsidRPr="00AD49AF">
        <w:t>. H</w:t>
      </w:r>
      <w:r w:rsidR="00564357" w:rsidRPr="00AD49AF">
        <w:t>owever, given the</w:t>
      </w:r>
      <w:r w:rsidR="0061563C" w:rsidRPr="00AD49AF">
        <w:t xml:space="preserve"> expressed</w:t>
      </w:r>
      <w:r w:rsidR="00564357" w:rsidRPr="00AD49AF">
        <w:t xml:space="preserve"> preference for </w:t>
      </w:r>
      <w:r w:rsidR="0061563C" w:rsidRPr="00AD49AF">
        <w:t>GP recommended</w:t>
      </w:r>
      <w:r w:rsidR="00564357" w:rsidRPr="00AD49AF">
        <w:t xml:space="preserve"> care, this could be a valuable approach to developing future chronic pain services for South Asian populations. </w:t>
      </w:r>
    </w:p>
    <w:p w14:paraId="68518E92" w14:textId="0E5B8B1C" w:rsidR="0084620D" w:rsidRPr="00AD49AF" w:rsidRDefault="00681F45" w:rsidP="00E861FB">
      <w:r w:rsidRPr="00AD49AF">
        <w:t>E</w:t>
      </w:r>
      <w:r w:rsidR="00C22B05" w:rsidRPr="00AD49AF">
        <w:t>ngaging in physical activity may be particularly challenging</w:t>
      </w:r>
      <w:r w:rsidR="008305CF" w:rsidRPr="00AD49AF">
        <w:t xml:space="preserve">, </w:t>
      </w:r>
      <w:r w:rsidR="00150781" w:rsidRPr="00AD49AF">
        <w:t xml:space="preserve">physical activity </w:t>
      </w:r>
      <w:r w:rsidR="0065354D" w:rsidRPr="00AD49AF">
        <w:t xml:space="preserve">was </w:t>
      </w:r>
      <w:r w:rsidR="005907AD" w:rsidRPr="00AD49AF">
        <w:t>n</w:t>
      </w:r>
      <w:r w:rsidR="00150781" w:rsidRPr="00AD49AF">
        <w:t xml:space="preserve">ot perceived to be </w:t>
      </w:r>
      <w:r w:rsidR="008305CF" w:rsidRPr="00AD49AF">
        <w:t xml:space="preserve">a social norm </w:t>
      </w:r>
      <w:r w:rsidR="0087158B" w:rsidRPr="00AD49AF">
        <w:t>and chronic pain</w:t>
      </w:r>
      <w:r w:rsidR="00F73410" w:rsidRPr="00AD49AF">
        <w:t xml:space="preserve"> </w:t>
      </w:r>
      <w:r w:rsidR="0065354D" w:rsidRPr="00AD49AF">
        <w:t>was discussed as resulting in</w:t>
      </w:r>
      <w:r w:rsidR="0087158B" w:rsidRPr="00AD49AF">
        <w:t xml:space="preserve"> reduced physical activity</w:t>
      </w:r>
      <w:r w:rsidR="008305CF" w:rsidRPr="00AD49AF">
        <w:t xml:space="preserve">. </w:t>
      </w:r>
      <w:r w:rsidR="003C6487" w:rsidRPr="00AD49AF">
        <w:t>Fear-avoidance</w:t>
      </w:r>
      <w:r w:rsidR="004749C8" w:rsidRPr="00AD49AF">
        <w:t>, leading to reduced activity participation,</w:t>
      </w:r>
      <w:r w:rsidR="003C6487" w:rsidRPr="00AD49AF">
        <w:t xml:space="preserve"> is a commonly </w:t>
      </w:r>
      <w:r w:rsidR="00D2219A" w:rsidRPr="00AD49AF">
        <w:t xml:space="preserve">associated with increased disability in chronic pain </w:t>
      </w:r>
      <w:r w:rsidR="004749C8" w:rsidRPr="00AD49AF">
        <w:t>populations</w:t>
      </w:r>
      <w:r w:rsidR="00D2219A" w:rsidRPr="00AD49AF">
        <w:t xml:space="preserve"> </w:t>
      </w:r>
      <w:r w:rsidR="00D2219A" w:rsidRPr="00AD49AF">
        <w:fldChar w:fldCharType="begin" w:fldLock="1"/>
      </w:r>
      <w:r w:rsidR="00D2219A" w:rsidRPr="00AD49AF">
        <w:instrText>ADDIN CSL_CITATION {"citationItems":[{"id":"ITEM-1","itemData":{"DOI":"10.2522/ptj.20100224","ISBN":"1538-6724 (Electronic)\\n0031-9023 (Linking)","ISSN":"0031-9023","PMID":"21451099","abstract":"Originally the term \" yellow flags \" was used to describe psychosocial prognostic factors for the development of disability following the onset of musculoskeletal pain. The identification of yellow flags through early screening was expected to prompt the application of intervention guidelines to achieve secondary prevention. In recent conceptualizations of yellow flags, it has been suggested that their range of applicability should be confined primarily to psychological risk factors to differentiate them from other risk factors, such as social and environmental variables. This article addresses 2 specific questions that arise from this development: (1) Can yellow flags influence outcomes in people with acute or subacute low back pain? and (2) Can yellow flags be targeted in interventions to produce better outcomes? Consistent evidence has been found to support the role of various psychological factors in prognosis, although questions remain about which factors are the most important, both individually and in combination, and how they affect outcomes. Published early interventions have reported mixed results, but, overall, the evidence suggests that targeting yellow flags, particularly when they are at high levels, does seem to lead to more consistently positive results than either ignoring them or providing omnibus interventions to people regardless of psychological risk factors. Psychological risk factors for poor prognosis can be identified clinically and addressed within interventions, but questions remain in relation to issues such as timing, necessary skills, content of treatments, and context. In addition, there is still a need to elucidate mechanisms of change and better integrate this understanding into the broader context of secondary prevention of chronic pain and disability.","author":[{"dropping-particle":"","family":"Nicholas","given":"Michael K.","non-dropping-particle":"","parse-names":false,"suffix":""},{"dropping-particle":"","family":"Linton","given":"Steven J.","non-dropping-particle":"","parse-names":false,"suffix":""},{"dropping-particle":"","family":"Watson","given":"Paul J.","non-dropping-particle":"","parse-names":false,"suffix":""},{"dropping-particle":"","family":"Main","given":"Chris J.","non-dropping-particle":"","parse-names":false,"suffix":""}],"container-title":"Physical Therapy","id":"ITEM-1","issue":"5","issued":{"date-parts":[["2011"]]},"page":"737-753","title":"Early Identification and Management of Psychological Risk Factors (“Yellow Flags”) in Patients With Low Back Pain: A Reappraisal","type":"article-journal","volume":"91"},"uris":["http://www.mendeley.com/documents/?uuid=1d31a803-db7b-40a3-b5d4-95a94aefdbf9"]}],"mendeley":{"formattedCitation":"(Nicholas, Linton, Watson, &amp; Main, 2011)","plainTextFormattedCitation":"(Nicholas, Linton, Watson, &amp; Main, 2011)","previouslyFormattedCitation":"(Nicholas, Linton, Watson, &amp; Main, 2011)"},"properties":{"noteIndex":0},"schema":"https://github.com/citation-style-language/schema/raw/master/csl-citation.json"}</w:instrText>
      </w:r>
      <w:r w:rsidR="00D2219A" w:rsidRPr="00AD49AF">
        <w:fldChar w:fldCharType="separate"/>
      </w:r>
      <w:r w:rsidR="00D2219A" w:rsidRPr="00AD49AF">
        <w:rPr>
          <w:noProof/>
        </w:rPr>
        <w:t>(Nicholas, Linton, Watson, &amp; Main, 2011)</w:t>
      </w:r>
      <w:r w:rsidR="00D2219A" w:rsidRPr="00AD49AF">
        <w:fldChar w:fldCharType="end"/>
      </w:r>
      <w:r w:rsidR="00D2219A" w:rsidRPr="00AD49AF">
        <w:t xml:space="preserve"> and represents an unhelpful belief typically challenged in PMPs </w:t>
      </w:r>
      <w:r w:rsidR="00D2219A" w:rsidRPr="00AD49AF">
        <w:fldChar w:fldCharType="begin" w:fldLock="1"/>
      </w:r>
      <w:r w:rsidR="0052010B" w:rsidRPr="00AD49AF">
        <w:instrText>ADDIN CSL_CITATION {"citationItems":[{"id":"ITEM-1","itemData":{"ISBN":"9780956138644","author":[{"dropping-particle":"","family":"The British Pain Society","given":"","non-dropping-particle":"","parse-names":false,"suffix":""}],"id":"ITEM-1","issued":{"date-parts":[["2013"]]},"publisher-place":"London, UK","title":"The British Pain Society Guidelines for Pain Management Programmes for adults","type":"report"},"uris":["http://www.mendeley.com/documents/?uuid=eeffad0f-2c64-4b73-a1ac-54effe9fe038"]}],"mendeley":{"formattedCitation":"(The British Pain Society, 2013)","plainTextFormattedCitation":"(The British Pain Society, 2013)","previouslyFormattedCitation":"(The British Pain Society, 2013)"},"properties":{"noteIndex":0},"schema":"https://github.com/citation-style-language/schema/raw/master/csl-citation.json"}</w:instrText>
      </w:r>
      <w:r w:rsidR="00D2219A" w:rsidRPr="00AD49AF">
        <w:fldChar w:fldCharType="separate"/>
      </w:r>
      <w:r w:rsidR="00D2219A" w:rsidRPr="00AD49AF">
        <w:rPr>
          <w:noProof/>
        </w:rPr>
        <w:t>(The British Pain Society, 2013)</w:t>
      </w:r>
      <w:r w:rsidR="00D2219A" w:rsidRPr="00AD49AF">
        <w:fldChar w:fldCharType="end"/>
      </w:r>
      <w:r w:rsidR="00D2219A" w:rsidRPr="00AD49AF">
        <w:t xml:space="preserve">. An additional barrier </w:t>
      </w:r>
      <w:r w:rsidR="004749C8" w:rsidRPr="00AD49AF">
        <w:t>for South Asian individuals</w:t>
      </w:r>
      <w:r w:rsidR="00D2219A" w:rsidRPr="00AD49AF">
        <w:t xml:space="preserve"> appears to be </w:t>
      </w:r>
      <w:r w:rsidR="004749C8" w:rsidRPr="00AD49AF">
        <w:t>a</w:t>
      </w:r>
      <w:r w:rsidR="00196077" w:rsidRPr="00AD49AF">
        <w:t xml:space="preserve"> lack of cultural acceptance of physical activity</w:t>
      </w:r>
      <w:r w:rsidR="00FA21CD" w:rsidRPr="00AD49AF">
        <w:t xml:space="preserve"> </w:t>
      </w:r>
      <w:r w:rsidR="00581603" w:rsidRPr="00AD49AF">
        <w:fldChar w:fldCharType="begin" w:fldLock="1"/>
      </w:r>
      <w:r w:rsidR="00587C64" w:rsidRPr="00AD49AF">
        <w:instrText>ADDIN CSL_CITATION {"citationItems":[{"id":"ITEM-1","itemData":{"DOI":"10.1155/2013/827674","ISBN":"2090-0716 (Electronic)\\r2090-0708 (Linking)","ISSN":"2090-0708","PMID":"23476751","abstract":"&lt;p&gt; &lt;italic&gt;Objective&lt;/italic&gt; . To review available qualitative evidence in the literature for health beliefs and perceptions specific to UK South Asian adults. Exploring available insight into the social and cultural constructs underlying perceptions related to health behaviours and lifestyle-related disease. &lt;italic&gt;Methods&lt;/italic&gt; . A search of central databases and ethnic minority research groups was augmented by hand-searching of reference lists. For included studies, quality was assessed using a predetermined checklist followed by metaethnography to synthesise the findings, using both reciprocal translation and line-of-argument synthesis to look at factors impacting uptake of health behaviours. &lt;italic&gt;Results&lt;/italic&gt; . A total of 10 papers varying in design and of good quality were included in the review. Cultural and social norms strongly influenced physical activity incidence and motivation as well as the ability to engage in healthy eating practices. &lt;italic&gt;Conclusions&lt;/italic&gt; . These qualitative studies provide insight into approaches to health among UK South Asians in view of their social and cultural norms. Acknowledgement of their approach to lifestyle behaviours may assist acceptability of interventions and delivery of lifestyle advice by health professionals. &lt;/p&gt;","author":[{"dropping-particle":"","family":"Lucas","given":"Anna","non-dropping-particle":"","parse-names":false,"suffix":""},{"dropping-particle":"","family":"Murray","given":"Esther","non-dropping-particle":"","parse-names":false,"suffix":""},{"dropping-particle":"","family":"Kinra","given":"Sanjay","non-dropping-particle":"","parse-names":false,"suffix":""}],"container-title":"Journal of Obesity","id":"ITEM-1","issued":{"date-parts":[["2013"]]},"page":"1-13","title":"Heath Beliefs of UK South Asians Related to Lifestyle Diseases: A Review of Qualitative Literature","type":"article-journal","volume":"2013"},"uris":["http://www.mendeley.com/documents/?uuid=969bc1fb-a4d1-440d-81b0-7981e53d22ac"]},{"id":"ITEM-2","itemData":{"DOI":"10.1016/j.ypmed.2012.07.016","ISBN":"0091-7435","ISSN":"00917435","PMID":"22846506","abstract":"Objective: The objective of this study is to synthesise views and experiences of South Asian (SA) older adults in relation to exercise and physical activity (PA). It was anticipated that this work would identify barriers and facilitators that could inform interventions aimed at promoting PA among this population. Method: A systematic review of qualitative research was conducted. Six electronic databases were searched for relevant papers published from January 2000 to October 2011. Studies were appraised and data extracted by two reviewers. A synthesis was undertaken using framework analysis. Of 26 papers read in full, 11 were included in the review. Results: An overriding concept derived from the synthesis was the influence of empowering and disempowering contexts on PA levels of SA participants. It was supported by the following themes: communication (e.g. relying on relatives for translation of information, lack of understanding); relationships (e.g. social support from family, friends, community), beliefs (e.g. not culturally appropriate to exercise, fatalism) and environment (e.g. lack of accessible recreational areas/facilities). Conclusions: Drawing on community resources to generate group norms appears to be important when trying to increase exercise and PA among SA older adults. Implications of the results for PA promotion and provision are discussed. © 2012 Elsevier Inc.","author":[{"dropping-particle":"","family":"Horne","given":"M","non-dropping-particle":"","parse-names":false,"suffix":""},{"dropping-particle":"","family":"Tierney","given":"Stephanie","non-dropping-particle":"","parse-names":false,"suffix":""}],"container-title":"Preventive Medicine","id":"ITEM-2","issue":"4","issued":{"date-parts":[["2012"]]},"page":"276-284","publisher":"Elsevier Inc.","title":"What are the barriers and facilitators to exercise and physical activity uptake and adherence among South Asian older adults: A systematic review of qualitative studies","type":"article-journal","volume":"55"},"uris":["http://www.mendeley.com/documents/?uuid=a9973922-edc2-4836-b597-dfd2710483d8"]}],"mendeley":{"formattedCitation":"(Horne &amp; Tierney, 2012; Lucas, Murray, &amp; Kinra, 2013)","plainTextFormattedCitation":"(Horne &amp; Tierney, 2012; Lucas, Murray, &amp; Kinra, 2013)","previouslyFormattedCitation":"(Horne &amp; Tierney, 2012; Lucas, Murray, &amp; Kinra, 2013)"},"properties":{"noteIndex":0},"schema":"https://github.com/citation-style-language/schema/raw/master/csl-citation.json"}</w:instrText>
      </w:r>
      <w:r w:rsidR="00581603" w:rsidRPr="00AD49AF">
        <w:fldChar w:fldCharType="separate"/>
      </w:r>
      <w:r w:rsidR="00176723" w:rsidRPr="00AD49AF">
        <w:rPr>
          <w:noProof/>
        </w:rPr>
        <w:t>(Horne &amp; Tierney, 2012; Lucas, Murray, &amp; Kinra, 2013)</w:t>
      </w:r>
      <w:r w:rsidR="00581603" w:rsidRPr="00AD49AF">
        <w:fldChar w:fldCharType="end"/>
      </w:r>
      <w:r w:rsidR="00581603" w:rsidRPr="00AD49AF">
        <w:t xml:space="preserve"> </w:t>
      </w:r>
      <w:r w:rsidR="00FD03F8" w:rsidRPr="00AD49AF">
        <w:t>and may explain a lack of engagement with secondary care programmes of this</w:t>
      </w:r>
      <w:r w:rsidR="00581603" w:rsidRPr="00AD49AF">
        <w:t xml:space="preserve"> type.</w:t>
      </w:r>
      <w:r w:rsidR="00FD03F8" w:rsidRPr="00AD49AF">
        <w:t xml:space="preserve"> </w:t>
      </w:r>
      <w:r w:rsidR="00AC1868" w:rsidRPr="00AD49AF">
        <w:t xml:space="preserve">Some pain management </w:t>
      </w:r>
      <w:r w:rsidR="004A6151" w:rsidRPr="00AD49AF">
        <w:t>activities</w:t>
      </w:r>
      <w:r w:rsidR="00AC1868" w:rsidRPr="00AD49AF">
        <w:t>, including relaxation and meditation</w:t>
      </w:r>
      <w:r w:rsidR="004A6151" w:rsidRPr="00AD49AF">
        <w:t xml:space="preserve">, </w:t>
      </w:r>
      <w:r w:rsidR="00AC1868" w:rsidRPr="00AD49AF">
        <w:t xml:space="preserve">were portrayed as acceptable practices </w:t>
      </w:r>
      <w:r w:rsidR="004A6151" w:rsidRPr="00AD49AF">
        <w:t>due to their links with cultural and religious practices</w:t>
      </w:r>
      <w:r w:rsidR="00AC1868" w:rsidRPr="00AD49AF">
        <w:t xml:space="preserve">. This is encouraging as these are essential components of PMPs within the UK </w:t>
      </w:r>
      <w:r w:rsidR="00AC1868" w:rsidRPr="00AD49AF">
        <w:fldChar w:fldCharType="begin" w:fldLock="1"/>
      </w:r>
      <w:r w:rsidR="0052010B" w:rsidRPr="00AD49AF">
        <w:instrText>ADDIN CSL_CITATION {"citationItems":[{"id":"ITEM-1","itemData":{"ISBN":"9780956138644","author":[{"dropping-particle":"","family":"The British Pain Society","given":"","non-dropping-particle":"","parse-names":false,"suffix":""}],"id":"ITEM-1","issued":{"date-parts":[["2013"]]},"publisher-place":"London, UK","title":"The British Pain Society Guidelines for Pain Management Programmes for adults","type":"report"},"uris":["http://www.mendeley.com/documents/?uuid=eeffad0f-2c64-4b73-a1ac-54effe9fe038"]}],"mendeley":{"formattedCitation":"(The British Pain Society, 2013)","plainTextFormattedCitation":"(The British Pain Society, 2013)","previouslyFormattedCitation":"(The British Pain Society, 2013)"},"properties":{"noteIndex":0},"schema":"https://github.com/citation-style-language/schema/raw/master/csl-citation.json"}</w:instrText>
      </w:r>
      <w:r w:rsidR="00AC1868" w:rsidRPr="00AD49AF">
        <w:fldChar w:fldCharType="separate"/>
      </w:r>
      <w:r w:rsidR="00AC1868" w:rsidRPr="00AD49AF">
        <w:rPr>
          <w:noProof/>
        </w:rPr>
        <w:t>(The British Pain Society, 2013)</w:t>
      </w:r>
      <w:r w:rsidR="00AC1868" w:rsidRPr="00AD49AF">
        <w:fldChar w:fldCharType="end"/>
      </w:r>
      <w:r w:rsidR="004A6151" w:rsidRPr="00AD49AF">
        <w:t xml:space="preserve">. </w:t>
      </w:r>
      <w:r w:rsidR="006A726D" w:rsidRPr="00AD49AF">
        <w:t>There is</w:t>
      </w:r>
      <w:r w:rsidR="00505A27" w:rsidRPr="00AD49AF">
        <w:t xml:space="preserve"> therefore a need </w:t>
      </w:r>
      <w:r w:rsidR="006A726D" w:rsidRPr="00AD49AF">
        <w:t xml:space="preserve">for culturally tailored physical activity programmes within pain management services whereby recommended exercise is integrated within the context of other meaningful activities </w:t>
      </w:r>
      <w:r w:rsidR="00196720" w:rsidRPr="00AD49AF">
        <w:t>which might include</w:t>
      </w:r>
      <w:r w:rsidR="006A726D" w:rsidRPr="00AD49AF">
        <w:t xml:space="preserve"> walking to the local mosque or spiritual stretching during prayer time.</w:t>
      </w:r>
      <w:r w:rsidR="00501A7D" w:rsidRPr="00AD49AF">
        <w:t xml:space="preserve"> T</w:t>
      </w:r>
      <w:r w:rsidR="00322D99" w:rsidRPr="00AD49AF">
        <w:t>wo key forms of exercise</w:t>
      </w:r>
      <w:r w:rsidR="00581603" w:rsidRPr="00AD49AF">
        <w:t xml:space="preserve">, </w:t>
      </w:r>
      <w:r w:rsidR="00196720" w:rsidRPr="00AD49AF">
        <w:t>y</w:t>
      </w:r>
      <w:r w:rsidR="00581603" w:rsidRPr="00AD49AF">
        <w:t>oga and social walking,</w:t>
      </w:r>
      <w:r w:rsidR="008305CF" w:rsidRPr="00AD49AF">
        <w:t xml:space="preserve"> were discussed as acceptable and practiced by South Asian populations</w:t>
      </w:r>
      <w:r w:rsidR="00581603" w:rsidRPr="00AD49AF">
        <w:t xml:space="preserve"> and should be considered as opportunities for development and education in PMPs</w:t>
      </w:r>
      <w:r w:rsidR="00EF5836" w:rsidRPr="00AD49AF">
        <w:t xml:space="preserve"> and avenues for social prescribing</w:t>
      </w:r>
      <w:r w:rsidR="00581603" w:rsidRPr="00AD49AF">
        <w:t>.</w:t>
      </w:r>
      <w:r w:rsidR="00150781" w:rsidRPr="00AD49AF">
        <w:t xml:space="preserve"> </w:t>
      </w:r>
    </w:p>
    <w:p w14:paraId="1BB31D86" w14:textId="4F18D3CB" w:rsidR="00C22B05" w:rsidRPr="00AD49AF" w:rsidRDefault="00322D99" w:rsidP="00E861FB">
      <w:r w:rsidRPr="00AD49AF">
        <w:t xml:space="preserve">Yoga </w:t>
      </w:r>
      <w:r w:rsidR="00AB0FE7" w:rsidRPr="00AD49AF">
        <w:t xml:space="preserve">has been shown to be an effective strategy for the management of chronic pain </w:t>
      </w:r>
      <w:r w:rsidR="00485FAA" w:rsidRPr="00AD49AF">
        <w:fldChar w:fldCharType="begin" w:fldLock="1"/>
      </w:r>
      <w:r w:rsidR="0055584F" w:rsidRPr="00AD49AF">
        <w:instrText>ADDIN CSL_CITATION {"citationItems":[{"id":"ITEM-1","itemData":{"ISBN":"1078-6791; 1078-6791","ISSN":"1078-6791 (Print)","PMID":"15055099","author":[{"dropping-particle":"","family":"Jacobs","given":"B. P","non-dropping-particle":"","parse-names":false,"suffix":""},{"dropping-particle":"","family":"Mehling","given":"W.","non-dropping-particle":"","parse-names":false,"suffix":""},{"dropping-particle":"","family":"Avins","given":"A. L.","non-dropping-particle":"","parse-names":false,"suffix":""},{"dropping-particle":"","family":"Goldberg","given":"H. A.","non-dropping-particle":"","parse-names":false,"suffix":""},{"dropping-particle":"","family":"Acree","given":"M.","non-dropping-particle":"","parse-names":false,"suffix":""},{"dropping-particle":"","family":"Lasater","given":"J. H.","non-dropping-particle":"","parse-names":false,"suffix":""},{"dropping-particle":"","family":"Cole","given":"R. J.","non-dropping-particle":"","parse-names":false,"suffix":""},{"dropping-particle":"","family":"Riley","given":"D. S.","non-dropping-particle":"","parse-names":false,"suffix":""},{"dropping-particle":"","family":"Maurer","given":"S.","non-dropping-particle":"","parse-names":false,"suffix":""}],"container-title":"Alternative Therapies in Health and Medicine","id":"ITEM-1","issue":"2","issued":{"date-parts":[["2004"]]},"page":"80-83","title":"Feasibility of conducting a clinical trial on Hatha yoga for chronic low back pain: methodological lessons","type":"article-journal","volume":"10"},"uris":["http://www.mendeley.com/documents/?uuid=75722eff-4348-47e1-b184-aa6f3920ad76"]},{"id":"ITEM-2","itemData":{"DOI":"10.1097/BRS.0b013e3181b315cc.Evaluation","ISSN":"0362-2436","PMID":"19701112","author":[{"dropping-particle":"","family":"Williams","given":"Kimberly","non-dropping-particle":"","parse-names":false,"suffix":""},{"dropping-particle":"","family":"Ph","given":"D","non-dropping-particle":"","parse-names":false,"suffix":""},{"dropping-particle":"","family":"Abildso","given":"Christiaan","non-dropping-particle":"","parse-names":false,"suffix":""},{"dropping-particle":"","family":"Ph","given":"D","non-dropping-particle":"","parse-names":false,"suffix":""},{"dropping-particle":"","family":"Steinberg","given":"Lois","non-dropping-particle":"","parse-names":false,"suffix":""},{"dropping-particle":"","family":"Ph","given":"D","non-dropping-particle":"","parse-names":false,"suffix":""},{"dropping-particle":"","family":"Doyle","given":"Edward","non-dropping-particle":"","parse-names":false,"suffix":""},{"dropping-particle":"","family":"Epstein","given":"Beverly","non-dropping-particle":"","parse-names":false,"suffix":""},{"dropping-particle":"","family":"Pt","given":"M D","non-dropping-particle":"","parse-names":false,"suffix":""},{"dropping-particle":"","family":"Smith","given":"David","non-dropping-particle":"","parse-names":false,"suffix":""},{"dropping-particle":"","family":"Ph","given":"D","non-dropping-particle":"","parse-names":false,"suffix":""},{"dropping-particle":"","family":"Hobbs","given":"Gerry","non-dropping-particle":"","parse-names":false,"suffix":""},{"dropping-particle":"","family":"Ph","given":"D","non-dropping-particle":"","parse-names":false,"suffix":""},{"dropping-particle":"","family":"Gross","given":"Richard","non-dropping-particle":"","parse-names":false,"suffix":""},{"dropping-particle":"","family":"Ph","given":"D","non-dropping-particle":"","parse-names":false,"suffix":""},{"dropping-particle":"","family":"Kelley","given":"George","non-dropping-particle":"","parse-names":false,"suffix":""},{"dropping-particle":"","family":"Ph","given":"D","non-dropping-particle":"","parse-names":false,"suffix":""},{"dropping-particle":"","family":"Cooper","given":"Linda","non-dropping-particle":"","parse-names":false,"suffix":""}],"container-title":"Spine","id":"ITEM-2","issue":"1","issued":{"date-parts":[["2009"]]},"page":"2066-2076","title":"Evaluation of the effectiveness and efficacy of Iyengar Yoga Therapy on Chronic Low Back Pain","type":"article-journal","volume":"34"},"uris":["http://www.mendeley.com/documents/?uuid=a5abb8e8-5d72-41da-969b-5ca7f8c24dc7"]},{"id":"ITEM-3","itemData":{"DOI":"10.1111/ner.12078","ISBN":"1094-7159","ISSN":"15251403","PMID":"25395114","abstract":"Objectives: The goal of this article is to provide a thorough literature\\nreview of available noninvasive and alternative treatment options for\\nchronic low back pain. In particular, the efficacy of each therapy is\\nevaluated and pertinent outcomes are described.\\nMaterials and Methods: A comprehensive search for available literature\\nwas done through PubMed and Cochrane data base for topics discussed in\\nthis paper.\\nResults: Relevant current and past references were reviewed and\\npresented to reflect the efficacy of each therapy and related outcomes.\\nConclusions: There are a wide variety of noninvasive and alternative\\ntherapies for the treatment of chronic low back pain. Those with the\\nstrongest evidence in the literature for good efficacy and outcomes\\ninclude exercise therapy with supervised physical therapy,\\nmultidisciplinary biopsychosocial rehabilitation, and acupuncture.\\nTherapies with fair evidence or moderately supported by literature\\ninclude yoga, back schools, thermal modalities, acupressure, and\\ncognitive-behavioral therapy. Those therapies with poor evidence or\\nlittle to no literature support include manipulation, transcutaneous\\nelectrical nerve stimulation, low-level laser therapy, reflexology,\\nbiofeedback, progressive relaxation, hypnosis, and aromatherapy.\\nProviders delivering care for patients with chronic low back pain must\\ncarefully evaluate these available treatment options related to their\\nefficacy or lack thereof as well as relevant outcomes.","author":[{"dropping-particle":"","family":"Wellington","given":"Joshua","non-dropping-particle":"","parse-names":false,"suffix":""}],"container-title":"Neuromodulation","id":"ITEM-3","issue":"S2","issued":{"date-parts":[["2014"]]},"page":"24-30","title":"Noninvasive and alternative management of chronic low back pain (efficacy and outcomes)","type":"article-journal","volume":"17"},"uris":["http://www.mendeley.com/documents/?uuid=c39733ac-99b8-4ee7-9e5e-bd0e6f1125a4"]}],"mendeley":{"formattedCitation":"(Jacobs et al., 2004; Wellington, 2014; Williams et al., 2009)","plainTextFormattedCitation":"(Jacobs et al., 2004; Wellington, 2014; Williams et al., 2009)","previouslyFormattedCitation":"(Jacobs et al., 2004; Wellington, 2014; Williams et al., 2009)"},"properties":{"noteIndex":0},"schema":"https://github.com/citation-style-language/schema/raw/master/csl-citation.json"}</w:instrText>
      </w:r>
      <w:r w:rsidR="00485FAA" w:rsidRPr="00AD49AF">
        <w:fldChar w:fldCharType="separate"/>
      </w:r>
      <w:r w:rsidR="005F3BBD" w:rsidRPr="00AD49AF">
        <w:rPr>
          <w:noProof/>
        </w:rPr>
        <w:t>(Jacobs et al., 2004; Wellington, 2014; Williams et al., 2009)</w:t>
      </w:r>
      <w:r w:rsidR="00485FAA" w:rsidRPr="00AD49AF">
        <w:fldChar w:fldCharType="end"/>
      </w:r>
      <w:r w:rsidR="005F3BBD" w:rsidRPr="00AD49AF">
        <w:t xml:space="preserve">, and may be a particularly effective </w:t>
      </w:r>
      <w:r w:rsidR="00735293" w:rsidRPr="00AD49AF">
        <w:t>form of physical activity for this population. In addition, by combining the practice of Yoga within PMPs with information about the availability of resources and role models for this activity</w:t>
      </w:r>
      <w:r w:rsidR="00CF089D" w:rsidRPr="00AD49AF">
        <w:t>,</w:t>
      </w:r>
      <w:r w:rsidR="00735293" w:rsidRPr="00AD49AF">
        <w:t xml:space="preserve"> such as through signposting programmes available on Asian TV channels</w:t>
      </w:r>
      <w:r w:rsidR="00CF089D" w:rsidRPr="00AD49AF">
        <w:t>,</w:t>
      </w:r>
      <w:r w:rsidR="00735293" w:rsidRPr="00AD49AF">
        <w:t xml:space="preserve"> it may be possible to maintain </w:t>
      </w:r>
      <w:r w:rsidR="00A43BF8" w:rsidRPr="00AD49AF">
        <w:t xml:space="preserve">these behaviours beyond PMP delivery. </w:t>
      </w:r>
      <w:r w:rsidR="00696B69" w:rsidRPr="00AD49AF">
        <w:t>This</w:t>
      </w:r>
      <w:r w:rsidR="0020049B" w:rsidRPr="00AD49AF">
        <w:t xml:space="preserve"> modelling opportunity</w:t>
      </w:r>
      <w:r w:rsidR="00696B69" w:rsidRPr="00AD49AF">
        <w:t xml:space="preserve"> is in line with Social Cognitive Theory </w:t>
      </w:r>
      <w:r w:rsidR="00B3512D" w:rsidRPr="00AD49AF">
        <w:t>which argues that vicarious experiences</w:t>
      </w:r>
      <w:r w:rsidR="00501110" w:rsidRPr="00AD49AF">
        <w:t>,</w:t>
      </w:r>
      <w:r w:rsidR="00B3512D" w:rsidRPr="00AD49AF">
        <w:t xml:space="preserve"> in which we see others similar to ourselves succeeding in an activity</w:t>
      </w:r>
      <w:r w:rsidR="00501110" w:rsidRPr="00AD49AF">
        <w:t>,</w:t>
      </w:r>
      <w:r w:rsidR="00B3512D" w:rsidRPr="00AD49AF">
        <w:t xml:space="preserve"> enhance</w:t>
      </w:r>
      <w:r w:rsidR="00BB4FD7" w:rsidRPr="00AD49AF">
        <w:t xml:space="preserve"> our self-efficacy beliefs </w:t>
      </w:r>
      <w:r w:rsidR="0052566A" w:rsidRPr="00AD49AF">
        <w:t xml:space="preserve">to enact </w:t>
      </w:r>
      <w:r w:rsidR="00D31878" w:rsidRPr="00AD49AF">
        <w:t xml:space="preserve">new behaviours </w:t>
      </w:r>
      <w:r w:rsidR="006C36D2" w:rsidRPr="00AD49AF">
        <w:fldChar w:fldCharType="begin" w:fldLock="1"/>
      </w:r>
      <w:r w:rsidR="000F75AB" w:rsidRPr="00AD49AF">
        <w:instrText>ADDIN CSL_CITATION {"citationItems":[{"id":"ITEM-1","itemData":{"author":[{"dropping-particle":"","family":"Bandura","given":"A","non-dropping-particle":"","parse-names":false,"suffix":""}],"container-title":"Psychology and Health","id":"ITEM-1","issue":"4","issued":{"date-parts":[["1998"]]},"page":"623-649","title":"Health promotion from the perspective of social cognitive theory","type":"article-journal","volume":"13"},"uris":["http://www.mendeley.com/documents/?uuid=28cf71f2-e7f8-4ea9-8318-3db4e0b06e18"]}],"mendeley":{"formattedCitation":"(Bandura, 1998)","plainTextFormattedCitation":"(Bandura, 1998)","previouslyFormattedCitation":"(Bandura, 1998)"},"properties":{"noteIndex":0},"schema":"https://github.com/citation-style-language/schema/raw/master/csl-citation.json"}</w:instrText>
      </w:r>
      <w:r w:rsidR="006C36D2" w:rsidRPr="00AD49AF">
        <w:fldChar w:fldCharType="separate"/>
      </w:r>
      <w:r w:rsidR="002F4E38" w:rsidRPr="00AD49AF">
        <w:rPr>
          <w:noProof/>
        </w:rPr>
        <w:t>(Bandura, 1998)</w:t>
      </w:r>
      <w:r w:rsidR="006C36D2" w:rsidRPr="00AD49AF">
        <w:fldChar w:fldCharType="end"/>
      </w:r>
      <w:r w:rsidR="00BA24FF" w:rsidRPr="00AD49AF">
        <w:t>.</w:t>
      </w:r>
      <w:r w:rsidR="00476DCE" w:rsidRPr="00AD49AF">
        <w:t xml:space="preserve"> </w:t>
      </w:r>
    </w:p>
    <w:p w14:paraId="7CF9F1D0" w14:textId="0682041E" w:rsidR="00CD696E" w:rsidRPr="00AD49AF" w:rsidRDefault="000F75AB" w:rsidP="00E861FB">
      <w:r w:rsidRPr="00AD49AF">
        <w:lastRenderedPageBreak/>
        <w:t xml:space="preserve">Vicarious experiences </w:t>
      </w:r>
      <w:r w:rsidRPr="00AD49AF">
        <w:fldChar w:fldCharType="begin" w:fldLock="1"/>
      </w:r>
      <w:r w:rsidR="00E83096" w:rsidRPr="00AD49AF">
        <w:instrText>ADDIN CSL_CITATION {"citationItems":[{"id":"ITEM-1","itemData":{"author":[{"dropping-particle":"","family":"Bandura","given":"A","non-dropping-particle":"","parse-names":false,"suffix":""}],"container-title":"Psychology and Health","id":"ITEM-1","issue":"4","issued":{"date-parts":[["1998"]]},"page":"623-649","title":"Health promotion from the perspective of social cognitive theory","type":"article-journal","volume":"13"},"uris":["http://www.mendeley.com/documents/?uuid=28cf71f2-e7f8-4ea9-8318-3db4e0b06e18"]}],"mendeley":{"formattedCitation":"(Bandura, 1998)","plainTextFormattedCitation":"(Bandura, 1998)","previouslyFormattedCitation":"(Bandura, 1998)"},"properties":{"noteIndex":0},"schema":"https://github.com/citation-style-language/schema/raw/master/csl-citation.json"}</w:instrText>
      </w:r>
      <w:r w:rsidRPr="00AD49AF">
        <w:fldChar w:fldCharType="separate"/>
      </w:r>
      <w:r w:rsidRPr="00AD49AF">
        <w:rPr>
          <w:noProof/>
        </w:rPr>
        <w:t>(Bandura, 1998)</w:t>
      </w:r>
      <w:r w:rsidRPr="00AD49AF">
        <w:fldChar w:fldCharType="end"/>
      </w:r>
      <w:r w:rsidRPr="00AD49AF">
        <w:t xml:space="preserve"> can also be achieved through exercise with others. </w:t>
      </w:r>
      <w:r w:rsidR="00BA24FF" w:rsidRPr="00AD49AF">
        <w:t>Group</w:t>
      </w:r>
      <w:r w:rsidRPr="00AD49AF">
        <w:t xml:space="preserve">-based walking activities in local parks were presented as an appealing physical activity approach. </w:t>
      </w:r>
      <w:r w:rsidR="00842705" w:rsidRPr="00AD49AF">
        <w:t xml:space="preserve">Walking has been found to be an effective </w:t>
      </w:r>
      <w:r w:rsidR="001B10C3" w:rsidRPr="00AD49AF">
        <w:t>intervention for improving pain ratings in those with chronic</w:t>
      </w:r>
      <w:r w:rsidR="009363CC" w:rsidRPr="00AD49AF">
        <w:t xml:space="preserve"> musculoskeletal</w:t>
      </w:r>
      <w:r w:rsidR="001B10C3" w:rsidRPr="00AD49AF">
        <w:t xml:space="preserve"> pain </w:t>
      </w:r>
      <w:r w:rsidR="009363CC" w:rsidRPr="00AD49AF">
        <w:fldChar w:fldCharType="begin" w:fldLock="1"/>
      </w:r>
      <w:r w:rsidR="0047077D" w:rsidRPr="00AD49AF">
        <w:instrText>ADDIN CSL_CITATION {"citationItems":[{"id":"ITEM-1","itemData":{"DOI":"10.1016/j.apmr.2014.12.003","ISBN":"1532-821X (Electronic)\\r0003-9993 (Linking)","ISSN":"1532821X","PMID":"25529265","abstract":"Objective To systematically review the evidence examining effects of walking interventions on pain and self-reported function in individuals with chronic musculoskeletal pain. Data Sources Six electronic databases (MEDLINE, CINAHL, PsychINFO, PEDro, Sport Discus, and the Cochrane Central Register of Controlled Trials) were searched from January 1980 to March 2014. Study Selection Randomized and quasi-randomized controlled trials in adults with chronic low back pain, osteoarthritis, or fibromyalgia comparing walking interventions to a nonexercise or nonwalking exercise control group. Data Extraction Data were independently extracted using a standardized form. Methodological quality was assessed using the U.S. Preventive Services Task Force system. Data Synthesis Twenty-six studies (2384 participants) were included, and suitable data from 17 studies were pooled for meta-analysis, with a random effects model used to calculate between-group mean differences and 95% confidence intervals (CIs). Data were analyzed according to the duration of follow-up (short-term, ≤8wk postrandomization; medium-term, &gt;2mo to 12mo; long-term, &gt;12mo). Interventions were associated with small to moderate improvements in pain at short-term (mean difference, -5.31; 95% CI, -8.06 to -2.56) and medium-term (mean difference, -7.92; 95% CI, -12.37 to -3.48) follow-up. Improvements in function were observed at short-term (mean difference, -6.47; 95% CI, -12.00 to -0.95), medium-term (mean difference, -9.31; 95% CI, -14.00 to -4.61), and long-term (mean difference, -5.22; 95% CI, -7.21 to -3.23) follow-up. Conclusions Evidence of fair methodological quality suggests that walking is associated with significant improvements in outcome compared with control interventions but longer-term effectiveness is uncertain. With the use of the U.S. Preventive Services Task Force system, walking can be recommended as an effective form of exercise or activity for individuals with chronic musculoskeletal pain but should be supplemented with strategies aimed at maintaining participation. Further work is required for examining effects on important health-related outcomes in this population in robustly designed studies.","author":[{"dropping-particle":"","family":"O'Connor","given":"Seán R.","non-dropping-particle":"","parse-names":false,"suffix":""},{"dropping-particle":"","family":"Tully","given":"Mark A.","non-dropping-particle":"","parse-names":false,"suffix":""},{"dropping-particle":"","family":"Ryan","given":"Brigid","non-dropping-particle":"","parse-names":false,"suffix":""},{"dropping-particle":"","family":"Bleakley","given":"Chris M.","non-dropping-particle":"","parse-names":false,"suffix":""},{"dropping-particle":"","family":"Baxter","given":"George D.","non-dropping-particle":"","parse-names":false,"suffix":""},{"dropping-particle":"","family":"Bradley","given":"Judy M.","non-dropping-particle":"","parse-names":false,"suffix":""},{"dropping-particle":"","family":"McDonough","given":"Suzanne M.","non-dropping-particle":"","parse-names":false,"suffix":""}],"container-title":"Archives of Physical Medicine and Rehabilitation","id":"ITEM-1","issue":"4","issued":{"date-parts":[["2015"]]},"page":"724-734.E3","publisher":"Elsevier Ltd","title":"Walking exercise for chronic musculoskeletal pain: Systematic review and meta-analysis","type":"article-journal","volume":"96"},"uris":["http://www.mendeley.com/documents/?uuid=a8faa3c7-5d4c-4ee1-b8c6-4d15068176f7"]}],"mendeley":{"formattedCitation":"(O’Connor et al., 2015)","plainTextFormattedCitation":"(O’Connor et al., 2015)","previouslyFormattedCitation":"(O’Connor et al., 2015)"},"properties":{"noteIndex":0},"schema":"https://github.com/citation-style-language/schema/raw/master/csl-citation.json"}</w:instrText>
      </w:r>
      <w:r w:rsidR="009363CC" w:rsidRPr="00AD49AF">
        <w:fldChar w:fldCharType="separate"/>
      </w:r>
      <w:r w:rsidR="009363CC" w:rsidRPr="00AD49AF">
        <w:rPr>
          <w:noProof/>
        </w:rPr>
        <w:t>(O’Connor et al., 2015)</w:t>
      </w:r>
      <w:r w:rsidR="009363CC" w:rsidRPr="00AD49AF">
        <w:fldChar w:fldCharType="end"/>
      </w:r>
      <w:r w:rsidR="00036885" w:rsidRPr="00AD49AF">
        <w:t xml:space="preserve"> and </w:t>
      </w:r>
      <w:r w:rsidR="00416EF9" w:rsidRPr="00AD49AF">
        <w:t xml:space="preserve">these </w:t>
      </w:r>
      <w:r w:rsidR="00036885" w:rsidRPr="00AD49AF">
        <w:t xml:space="preserve">findings support previous research in which walking has been identified as a potentially valuable physical activity for South Asian individuals </w:t>
      </w:r>
      <w:r w:rsidR="00036885" w:rsidRPr="00AD49AF">
        <w:fldChar w:fldCharType="begin" w:fldLock="1"/>
      </w:r>
      <w:r w:rsidR="00036885" w:rsidRPr="00AD49AF">
        <w:instrText>ADDIN CSL_CITATION {"citationItems":[{"id":"ITEM-1","itemData":{"DOI":"10.1136/bmjopen-2014-007317","ISBN":"2044-6055","ISSN":"20446055","PMID":"25724983","abstract":"OBJECTIVES: To explore perspectives on enhancing physical activity and diet among South Asians in urban deprived communities at high risk of chronic disease and to inform development of culturally appropriate health promotion intervention.\\n\\nDESIGN: Qualitative study using semistructured one-to-one and family group interviews with thematic analysis of data.\\n\\nSETTING: Urban disadvantaged communities in the East Midlands of the UK.\\n\\nPARTICIPANTS: 45 respondents, including 34 people of South Asian origin (16 at-risk individuals, six family groups involving 18 relatives), of mainly Pakistani and Indian origin, including 16 non-English speakers; and 11 health professionals working locally with communities of concern.\\n\\nRESULTS: South Asian participants underlined the challenges of requiring family members across generations to engage in modifying dietary behaviours, and the central role of communal eating of traditional 'Asian' food in their cultural lives. Barriers to increasing physical activity included cost, personal safety and lack of time outside of long working hours and carer commitments. However, increasing walking activity was regarded as feasible by both community and health professional participants. Respondents emphasised using a social approach for potential interventions, undertaking activity with family or friends and with bilingual community peers to facilitate engagement, motivation and support. Spoken content and delivery of interventions was favoured, including personal stories and multilingual audio-visual information; within local informal rather than provider settings, including the home; and aided by pedometers for self-monitoring.\\n\\nCONCLUSIONS: Focusing on physical activity by increasing walking may hold promise as health promotion in this deprived South Asian community context. Further intervention development, with exploration of feasibility and acceptability of the social approach and elements suggested, is merited.","author":[{"dropping-particle":"","family":"Cross-Bardell","given":"Laura","non-dropping-particle":"","parse-names":false,"suffix":""},{"dropping-particle":"","family":"George","given":"Tracey","non-dropping-particle":"","parse-names":false,"suffix":""},{"dropping-particle":"","family":"Bhoday","given":"Mandeep","non-dropping-particle":"","parse-names":false,"suffix":""},{"dropping-particle":"","family":"Tuomainen","given":"Helena","non-dropping-particle":"","parse-names":false,"suffix":""},{"dropping-particle":"","family":"Qureshi","given":"Nadeem","non-dropping-particle":"","parse-names":false,"suffix":""},{"dropping-particle":"","family":"Kai","given":"Joe","non-dropping-particle":"","parse-names":false,"suffix":""}],"container-title":"BMJ open","id":"ITEM-1","issue":"2","issued":{"date-parts":[["2015"]]},"page":"e007317","title":"Perspectives on enhancing physical activity and diet for health promotion among at-risk urban UK South Asian communities: a qualitative study","type":"article-journal","volume":"5"},"uris":["http://www.mendeley.com/documents/?uuid=1791ed0e-6b94-4bee-bb99-7d15f9edfb5a"]}],"mendeley":{"formattedCitation":"(Cross-Bardell et al., 2015)","plainTextFormattedCitation":"(Cross-Bardell et al., 2015)","previouslyFormattedCitation":"(Cross-Bardell et al., 2015)"},"properties":{"noteIndex":0},"schema":"https://github.com/citation-style-language/schema/raw/master/csl-citation.json"}</w:instrText>
      </w:r>
      <w:r w:rsidR="00036885" w:rsidRPr="00AD49AF">
        <w:fldChar w:fldCharType="separate"/>
      </w:r>
      <w:r w:rsidR="00036885" w:rsidRPr="00AD49AF">
        <w:rPr>
          <w:noProof/>
        </w:rPr>
        <w:t>(Cross-Bardell et al., 2015)</w:t>
      </w:r>
      <w:r w:rsidR="00036885" w:rsidRPr="00AD49AF">
        <w:fldChar w:fldCharType="end"/>
      </w:r>
      <w:r w:rsidR="00036885" w:rsidRPr="00AD49AF">
        <w:t xml:space="preserve">. </w:t>
      </w:r>
      <w:r w:rsidR="00C83E4F" w:rsidRPr="00AD49AF">
        <w:t>Both professionally delivered and g</w:t>
      </w:r>
      <w:r w:rsidR="00EB7512" w:rsidRPr="00AD49AF">
        <w:t>roup-based walking interventions have been shown effective for increasing physical act</w:t>
      </w:r>
      <w:r w:rsidR="00C83E4F" w:rsidRPr="00AD49AF">
        <w:t xml:space="preserve">ivity levels </w:t>
      </w:r>
      <w:r w:rsidR="0047077D" w:rsidRPr="00AD49AF">
        <w:fldChar w:fldCharType="begin" w:fldLock="1"/>
      </w:r>
      <w:r w:rsidR="00D2219A" w:rsidRPr="00AD49AF">
        <w:instrText>ADDIN CSL_CITATION {"citationItems":[{"id":"ITEM-1","itemData":{"DOI":"10.1016/j.tetasy.2004.04.019","abstract":"Objective: Walking groups are increasingly being set up but little is known about their efficacy in promoting physical activity. The present study aims to assess the efficacy of interventions to promote walking in groups to promoting physical activity within adults, and to explore potential moderators of this efficacy.Method: Systematic literature review searches were conducted using multiple databases. A random effect model was used for the meta-analysis, with sensitivity analysis.Results: The effect of the interventions (19 studies, 4 572 participants) on physical activity was of medium size (d = 0.52), statistically significant (95%CI 0.32 to 0.71, p &lt; 0.0001), and with large fail-safe of N = 753. Moderator analyses showed that lower quality studies had larger effect sizes than higher quality studies, studies reporting outcomes over six months had larger effect sizes than studies reporting outcomes up to six months, studies that targeted both genders had higher effect sizes than studies that targeted only women, studies that targeted older adults had larger effect sizes than studies that targeted younger adults. No significant differences were found between studies delivered by professionals and those delivered by lay people.Conclusion: Interventions to promote walking in groups are efficacious at increasing physical activity. Despite low homogeneity of results, and limitations (e.g. small number of studies using objective measures of physical activity, publication bias), which might have influence the findings, the large fail-safe N suggests these findings are robust. Possible explanations for heterogeneity between studies are discussed, and the need for more investigation of this is highlighted. © 2013 Kassavou et al; licensee BioMed Central Ltd.","author":[{"dropping-particle":"","family":"Kassavou","given":"A.","non-dropping-particle":"","parse-names":false,"suffix":""},{"dropping-particle":"","family":"Turner","given":"A.","non-dropping-particle":"","parse-names":false,"suffix":""},{"dropping-particle":"","family":"French","given":"D. P","non-dropping-particle":"","parse-names":false,"suffix":""}],"container-title":"International Journal of Behavioral Nutrition and Physical Activity","id":"ITEM-1","issued":{"date-parts":[["2013"]]},"title":"Do interventions to promote walking in groups increase physical activity? A meta-analysis","type":"article-journal","volume":"10"},"uris":["http://www.mendeley.com/documents/?uuid=63dbc3ec-f1fd-4042-ba3d-ad302508ca9c"]}],"mendeley":{"formattedCitation":"(Kassavou, Turner, &amp; French, 2013)","plainTextFormattedCitation":"(Kassavou, Turner, &amp; French, 2013)","previouslyFormattedCitation":"(Kassavou, Turner, &amp; French, 2013)"},"properties":{"noteIndex":0},"schema":"https://github.com/citation-style-language/schema/raw/master/csl-citation.json"}</w:instrText>
      </w:r>
      <w:r w:rsidR="0047077D" w:rsidRPr="00AD49AF">
        <w:fldChar w:fldCharType="separate"/>
      </w:r>
      <w:r w:rsidR="00F62487" w:rsidRPr="00AD49AF">
        <w:rPr>
          <w:noProof/>
        </w:rPr>
        <w:t>(Kassavou, Turner, &amp; French, 2013)</w:t>
      </w:r>
      <w:r w:rsidR="0047077D" w:rsidRPr="00AD49AF">
        <w:fldChar w:fldCharType="end"/>
      </w:r>
      <w:r w:rsidR="00416EF9" w:rsidRPr="00AD49AF">
        <w:t xml:space="preserve"> and would be a potentially useful addition to existing PMPs.</w:t>
      </w:r>
    </w:p>
    <w:p w14:paraId="13A25A10" w14:textId="011B34A5" w:rsidR="000B5CFC" w:rsidRPr="00AD49AF" w:rsidRDefault="00A96A5D" w:rsidP="00E861FB">
      <w:r w:rsidRPr="00AD49AF">
        <w:t>A</w:t>
      </w:r>
      <w:r w:rsidR="00BF16C9" w:rsidRPr="00AD49AF">
        <w:t xml:space="preserve"> discourse arose </w:t>
      </w:r>
      <w:r w:rsidR="00B168E1" w:rsidRPr="00AD49AF">
        <w:t>highlighting</w:t>
      </w:r>
      <w:r w:rsidR="00BF16C9" w:rsidRPr="00AD49AF">
        <w:t xml:space="preserve"> the potential </w:t>
      </w:r>
      <w:r w:rsidR="008D4C9F" w:rsidRPr="00AD49AF">
        <w:t xml:space="preserve">financial, physical and psychological </w:t>
      </w:r>
      <w:r w:rsidR="00BF16C9" w:rsidRPr="00AD49AF">
        <w:t>dangers of engaging with</w:t>
      </w:r>
      <w:r w:rsidR="001B73A3" w:rsidRPr="00AD49AF">
        <w:t xml:space="preserve"> community</w:t>
      </w:r>
      <w:r w:rsidR="00BF16C9" w:rsidRPr="00AD49AF">
        <w:t xml:space="preserve"> </w:t>
      </w:r>
      <w:r w:rsidR="001B73A3" w:rsidRPr="00AD49AF">
        <w:t>pain ‘healers’</w:t>
      </w:r>
      <w:r w:rsidR="008D4C9F" w:rsidRPr="00AD49AF">
        <w:t>.</w:t>
      </w:r>
      <w:r w:rsidRPr="00AD49AF">
        <w:t xml:space="preserve"> </w:t>
      </w:r>
      <w:r w:rsidR="0069762F" w:rsidRPr="00AD49AF">
        <w:t xml:space="preserve">Within the UK there is an established network of community-based </w:t>
      </w:r>
      <w:r w:rsidR="00E17181" w:rsidRPr="00AD49AF">
        <w:t xml:space="preserve">South Asian approaches to health care including: </w:t>
      </w:r>
      <w:r w:rsidR="007C61C5" w:rsidRPr="00AD49AF">
        <w:t>religious healing, faith healers</w:t>
      </w:r>
      <w:r w:rsidR="008E2F2B" w:rsidRPr="00AD49AF">
        <w:t xml:space="preserve"> (</w:t>
      </w:r>
      <w:r w:rsidR="008E2F2B" w:rsidRPr="00AD49AF">
        <w:rPr>
          <w:i/>
        </w:rPr>
        <w:t xml:space="preserve">gurus </w:t>
      </w:r>
      <w:r w:rsidR="008E2F2B" w:rsidRPr="00AD49AF">
        <w:t xml:space="preserve">or </w:t>
      </w:r>
      <w:proofErr w:type="spellStart"/>
      <w:r w:rsidR="008E2F2B" w:rsidRPr="00AD49AF">
        <w:t>pirs</w:t>
      </w:r>
      <w:proofErr w:type="spellEnd"/>
      <w:r w:rsidR="008E2F2B" w:rsidRPr="00AD49AF">
        <w:t xml:space="preserve">) </w:t>
      </w:r>
      <w:r w:rsidR="004A3DD2" w:rsidRPr="00AD49AF">
        <w:t xml:space="preserve">and </w:t>
      </w:r>
      <w:r w:rsidR="004A3DD2" w:rsidRPr="00AD49AF">
        <w:rPr>
          <w:i/>
        </w:rPr>
        <w:t xml:space="preserve">hakim </w:t>
      </w:r>
      <w:r w:rsidR="004A3DD2" w:rsidRPr="00AD49AF">
        <w:t xml:space="preserve">medicine </w:t>
      </w:r>
      <w:r w:rsidR="009D4C80" w:rsidRPr="00AD49AF">
        <w:fldChar w:fldCharType="begin" w:fldLock="1"/>
      </w:r>
      <w:r w:rsidR="00407667" w:rsidRPr="00AD49AF">
        <w:instrText>ADDIN CSL_CITATION {"citationItems":[{"id":"ITEM-1","itemData":{"DOI":"10.1186/1472-6882-8-7","ISBN":"1472688287","ISSN":"14726882","PMID":"18366698","abstract":"BACKGROUND: Studies have shown that a significant proportion of people with epilepsy use complementary and alternative medicine (CAM). CAM use is known to vary between different ethnic groups and cultural contexts; however, little attention has been devoted to inter-ethnic differences within the UK population. We studied the use of biomedicine, complementary and alternative medicine, and ethnomedicine in a sample of people with epilepsy of South Asian origin living in the north of England. METHODS: Interviews were conducted with 30 people of South Asian origin and 16 carers drawn from a sampling frame of patients over 18 years old with epilepsy, compiled from epilepsy registers and hospital databases. All interviews were tape-recorded, translated if required and transcribed. A framework approach was adopted to analyse the data. RESULTS: All those interviewed were taking conventional anti-epileptic drugs. Most had also sought help from traditional South Asian practitioners, but only two people had tried conventional CAM. Decisions to consult a traditional healer were taken by families rather than by individuals with epilepsy. Those who made the decision to consult a traditional healer were usually older family members and their motivations and perceptions of safety and efficacy often differed from those of the recipients of the treatment. No-one had discussed the use of traditional therapies with their doctor. The patterns observed in the UK mirrored those reported among people with epilepsy in India and Pakistan. CONCLUSION: The health care-seeking behaviour of study participants, although mainly confined within the ethnomedicine sector, shared much in common with that of people who use global CAM. The appeal of traditional therapies lay in their religious and moral legitimacy within the South Asian community, especially to the older generation who were disproportionately influential in the determination of treatment choices. As a second generation made up of people of Pakistani origin born in the UK reach the age when they are the influential decision makers in their families, resort to traditional therapies may decline. People had long experience of navigating plural systems of health care and avoided potential conflict by maintaining strict separation between different sectors. Health care practitioners need to approach these issues with sensitivity and to regard traditional healers as potential allies, rather than competitors or quacks.","author":[{"dropping-particle":"","family":"Rhodes","given":"Penny J.","non-dropping-particle":"","parse-names":false,"suffix":""},{"dropping-particle":"","family":"Small","given":"Neil","non-dropping-particle":"","parse-names":false,"suffix":""},{"dropping-particle":"","family":"Ismail","given":"Hanif","non-dropping-particle":"","parse-names":false,"suffix":""},{"dropping-particle":"","family":"Wright","given":"John P.","non-dropping-particle":"","parse-names":false,"suffix":""}],"container-title":"BMC Complementary and Alternative Medicine","id":"ITEM-1","issue":"1","issued":{"date-parts":[["2008"]]},"page":"1-14","title":"The use of biomedicine, complementary and alternative medicine, and ethnomedicine for the treatment of epilepsy among people of South Asian origin in the UK","type":"article-journal","volume":"8"},"prefix":"see","suffix":"for a description of these traditional medicine approaches","uris":["http://www.mendeley.com/documents/?uuid=37dc95ed-83ec-4e80-bb31-b7b4a74d9698"]}],"mendeley":{"formattedCitation":"(see Rhodes, Small, Ismail, &amp; Wright, 2008 for a description of these traditional medicine approaches)","plainTextFormattedCitation":"(see Rhodes, Small, Ismail, &amp; Wright, 2008 for a description of these traditional medicine approaches)","previouslyFormattedCitation":"(see Rhodes, Small, Ismail, &amp; Wright, 2008 for a description of these traditional medicine approaches)"},"properties":{"noteIndex":0},"schema":"https://github.com/citation-style-language/schema/raw/master/csl-citation.json"}</w:instrText>
      </w:r>
      <w:r w:rsidR="009D4C80" w:rsidRPr="00AD49AF">
        <w:fldChar w:fldCharType="separate"/>
      </w:r>
      <w:r w:rsidR="009D4C80" w:rsidRPr="00AD49AF">
        <w:rPr>
          <w:noProof/>
        </w:rPr>
        <w:t>(see Rhodes, Small, Ismail, &amp; Wright, 2008 for a description of these traditional medicine approaches)</w:t>
      </w:r>
      <w:r w:rsidR="009D4C80" w:rsidRPr="00AD49AF">
        <w:fldChar w:fldCharType="end"/>
      </w:r>
      <w:r w:rsidR="00E4645B" w:rsidRPr="00AD49AF">
        <w:t xml:space="preserve">. </w:t>
      </w:r>
      <w:r w:rsidR="005911FF" w:rsidRPr="00AD49AF">
        <w:t xml:space="preserve">While there is some evidence to suggest a preference for traditional over western medicine in some South Asian groups </w:t>
      </w:r>
      <w:r w:rsidR="005911FF" w:rsidRPr="00AD49AF">
        <w:fldChar w:fldCharType="begin" w:fldLock="1"/>
      </w:r>
      <w:r w:rsidR="005911FF" w:rsidRPr="00AD49AF">
        <w:instrText>ADDIN CSL_CITATION {"citationItems":[{"id":"ITEM-1","itemData":{"DOI":"10.1016/j.ctim.2007.03.005","ISBN":"0965-2299","ISSN":"09652299","PMID":"18514909","abstract":"Background: Despite the increasing relevance of trans-cultural healthcare issues in public health policies, knowledge is still very restricted about migrant communities' perceptions and use of traditional medicines (TMs) within multicultural societies in Western countries. In this field study, an in-depth study was carried out of the herbal drugs still in use among Pakistani migrants from Mirpur living in Bradford, in the north of England. Objectives: To record TMs known and still used among Pakistani migrants from Mirpur presently living in Bradford; to assess the degree of overlapping between food and medicine in the provision of healthcare within domestic arenas among this community; to analyse how knowledge of TMs is changing among different generations and among the different waves of migrants who have moved from Pakistan to Bradford in the last few decades. Methods: Semi-structured and focus-groups interviews with 37 members of the community, as well as other standard techniques of the ethnobiological investigations: free-listing, participant observation, and the collection and identification of the relevant plant material. Results: TMs are still very popular amongst Pakistani migrants in Bradford, and are regularly delivered in domestic arenas. Two-thirds of the interviewees declared that they prefer TM treatments to conventional Western medicine. Fifty-six different remedies, mainly plant-based, are still used nowadays, and more than half of the recorded remedies represent food-medicines. However, knowledge of Mirpuri TMs is decreasing amongst the younger generations, and the level of knowledge of TMs seems to be dependent on the length of time since the migration from Pakistan took place. Conclusion: Public health policies and strategies aimed at improving migrants' health should take into account the perception and acceptance of plant-based TMs within domestic arenas among Pakistani migrants, and especially their use against diabetes. Concerns about eventual toxicity and side effects of traditional herbal drugs, as well as their interaction with pharmaceuticals, should be carefully considered, since a few of the herbal drugs quoted in this survey are little known in Western herbalism and in modern evidence-based phytotherapy. © 2007 Elsevier Ltd. All rights reserved.","author":[{"dropping-particle":"","family":"Pieroni","given":"Andrea","non-dropping-particle":"","parse-names":false,"suffix":""},{"dropping-particle":"","family":"Sheikh","given":"Qaiser Zain","non-dropping-particle":"","parse-names":false,"suffix":""},{"dropping-particle":"","family":"Ali","given":"Wajid","non-dropping-particle":"","parse-names":false,"suffix":""},{"dropping-particle":"","family":"Torry","given":"Bren","non-dropping-particle":"","parse-names":false,"suffix":""}],"container-title":"Complementary Therapies in Medicine","id":"ITEM-1","issue":"2","issued":{"date-parts":[["2008"]]},"page":"81-86","title":"Traditional medicines used by Pakistani migrants from Mirpur living in Bradford, Northern England","type":"article-journal","volume":"16"},"uris":["http://www.mendeley.com/documents/?uuid=bbe9e6d8-ed78-43ba-9bdb-290c8d37b541"]}],"mendeley":{"formattedCitation":"(Pieroni, Sheikh, Ali, &amp; Torry, 2008)","plainTextFormattedCitation":"(Pieroni, Sheikh, Ali, &amp; Torry, 2008)","previouslyFormattedCitation":"(Pieroni, Sheikh, Ali, &amp; Torry, 2008)"},"properties":{"noteIndex":0},"schema":"https://github.com/citation-style-language/schema/raw/master/csl-citation.json"}</w:instrText>
      </w:r>
      <w:r w:rsidR="005911FF" w:rsidRPr="00AD49AF">
        <w:fldChar w:fldCharType="separate"/>
      </w:r>
      <w:r w:rsidR="005911FF" w:rsidRPr="00AD49AF">
        <w:rPr>
          <w:noProof/>
        </w:rPr>
        <w:t>(Pieroni, Sheikh, Ali, &amp; Torry, 2008)</w:t>
      </w:r>
      <w:r w:rsidR="005911FF" w:rsidRPr="00AD49AF">
        <w:fldChar w:fldCharType="end"/>
      </w:r>
      <w:r w:rsidR="005911FF" w:rsidRPr="00AD49AF">
        <w:t xml:space="preserve"> and reporting of use of faith healers in response to substance abuse</w:t>
      </w:r>
      <w:r w:rsidR="0085084C" w:rsidRPr="00AD49AF">
        <w:t>,</w:t>
      </w:r>
      <w:r w:rsidR="005911FF" w:rsidRPr="00AD49AF">
        <w:t xml:space="preserve"> psychiatric illness </w:t>
      </w:r>
      <w:r w:rsidR="005911FF" w:rsidRPr="00AD49AF">
        <w:fldChar w:fldCharType="begin" w:fldLock="1"/>
      </w:r>
      <w:r w:rsidR="009D4C80" w:rsidRPr="00AD49AF">
        <w:instrText>ADDIN CSL_CITATION {"citationItems":[{"id":"ITEM-1","itemData":{"author":[{"dropping-particle":"","family":"Rashid","given":"S.","non-dropping-particle":"","parse-names":false,"suffix":""},{"dropping-particle":"","family":"Copello","given":"A.","non-dropping-particle":"","parse-names":false,"suffix":""},{"dropping-particle":"","family":"Birchwood","given":"M","non-dropping-particle":"","parse-names":false,"suffix":""}],"container-title":"Mental Health, Religion &amp; Culture","id":"ITEM-1","issue":"6","issued":{"date-parts":[["2012"]]},"page":"653-673","title":"Muslim faith healers' views on substance misuse and psychosis","type":"article-journal","volume":"15"},"uris":["http://www.mendeley.com/documents/?uuid=690c494c-236f-46b6-aaef-ad02cf554e5a"]}],"mendeley":{"formattedCitation":"(Rashid, Copello, &amp; Birchwood, 2012)","plainTextFormattedCitation":"(Rashid, Copello, &amp; Birchwood, 2012)","previouslyFormattedCitation":"(Rashid, Copello, &amp; Birchwood, 2012)"},"properties":{"noteIndex":0},"schema":"https://github.com/citation-style-language/schema/raw/master/csl-citation.json"}</w:instrText>
      </w:r>
      <w:r w:rsidR="005911FF" w:rsidRPr="00AD49AF">
        <w:fldChar w:fldCharType="separate"/>
      </w:r>
      <w:r w:rsidR="005911FF" w:rsidRPr="00AD49AF">
        <w:rPr>
          <w:noProof/>
        </w:rPr>
        <w:t>(Rashid, Copello, &amp; Birchwood, 2012)</w:t>
      </w:r>
      <w:r w:rsidR="005911FF" w:rsidRPr="00AD49AF">
        <w:fldChar w:fldCharType="end"/>
      </w:r>
      <w:r w:rsidR="00407667" w:rsidRPr="00AD49AF">
        <w:t xml:space="preserve"> and epilepsy </w:t>
      </w:r>
      <w:r w:rsidR="00407667" w:rsidRPr="00AD49AF">
        <w:fldChar w:fldCharType="begin" w:fldLock="1"/>
      </w:r>
      <w:r w:rsidR="002770E0" w:rsidRPr="00AD49AF">
        <w:instrText>ADDIN CSL_CITATION {"citationItems":[{"id":"ITEM-1","itemData":{"DOI":"10.1186/1472-6882-8-7","ISBN":"1472688287","ISSN":"14726882","PMID":"18366698","abstract":"BACKGROUND: Studies have shown that a significant proportion of people with epilepsy use complementary and alternative medicine (CAM). CAM use is known to vary between different ethnic groups and cultural contexts; however, little attention has been devoted to inter-ethnic differences within the UK population. We studied the use of biomedicine, complementary and alternative medicine, and ethnomedicine in a sample of people with epilepsy of South Asian origin living in the north of England. METHODS: Interviews were conducted with 30 people of South Asian origin and 16 carers drawn from a sampling frame of patients over 18 years old with epilepsy, compiled from epilepsy registers and hospital databases. All interviews were tape-recorded, translated if required and transcribed. A framework approach was adopted to analyse the data. RESULTS: All those interviewed were taking conventional anti-epileptic drugs. Most had also sought help from traditional South Asian practitioners, but only two people had tried conventional CAM. Decisions to consult a traditional healer were taken by families rather than by individuals with epilepsy. Those who made the decision to consult a traditional healer were usually older family members and their motivations and perceptions of safety and efficacy often differed from those of the recipients of the treatment. No-one had discussed the use of traditional therapies with their doctor. The patterns observed in the UK mirrored those reported among people with epilepsy in India and Pakistan. CONCLUSION: The health care-seeking behaviour of study participants, although mainly confined within the ethnomedicine sector, shared much in common with that of people who use global CAM. The appeal of traditional therapies lay in their religious and moral legitimacy within the South Asian community, especially to the older generation who were disproportionately influential in the determination of treatment choices. As a second generation made up of people of Pakistani origin born in the UK reach the age when they are the influential decision makers in their families, resort to traditional therapies may decline. People had long experience of navigating plural systems of health care and avoided potential conflict by maintaining strict separation between different sectors. Health care practitioners need to approach these issues with sensitivity and to regard traditional healers as potential allies, rather than competitors or quacks.","author":[{"dropping-particle":"","family":"Rhodes","given":"Penny J.","non-dropping-particle":"","parse-names":false,"suffix":""},{"dropping-particle":"","family":"Small","given":"Neil","non-dropping-particle":"","parse-names":false,"suffix":""},{"dropping-particle":"","family":"Ismail","given":"Hanif","non-dropping-particle":"","parse-names":false,"suffix":""},{"dropping-particle":"","family":"Wright","given":"John P.","non-dropping-particle":"","parse-names":false,"suffix":""}],"container-title":"BMC Complementary and Alternative Medicine","id":"ITEM-1","issue":"1","issued":{"date-parts":[["2008"]]},"page":"1-14","title":"The use of biomedicine, complementary and alternative medicine, and ethnomedicine for the treatment of epilepsy among people of South Asian origin in the UK","type":"article-journal","volume":"8"},"uris":["http://www.mendeley.com/documents/?uuid=37dc95ed-83ec-4e80-bb31-b7b4a74d9698"]}],"mendeley":{"formattedCitation":"(Rhodes et al., 2008)","plainTextFormattedCitation":"(Rhodes et al., 2008)","previouslyFormattedCitation":"(Rhodes et al., 2008)"},"properties":{"noteIndex":0},"schema":"https://github.com/citation-style-language/schema/raw/master/csl-citation.json"}</w:instrText>
      </w:r>
      <w:r w:rsidR="00407667" w:rsidRPr="00AD49AF">
        <w:fldChar w:fldCharType="separate"/>
      </w:r>
      <w:r w:rsidR="00407667" w:rsidRPr="00AD49AF">
        <w:rPr>
          <w:noProof/>
        </w:rPr>
        <w:t>(Rhodes et al., 2008)</w:t>
      </w:r>
      <w:r w:rsidR="00407667" w:rsidRPr="00AD49AF">
        <w:fldChar w:fldCharType="end"/>
      </w:r>
      <w:r w:rsidR="005911FF" w:rsidRPr="00AD49AF">
        <w:t xml:space="preserve">, to date there has </w:t>
      </w:r>
      <w:r w:rsidR="0085084C" w:rsidRPr="00AD49AF">
        <w:t xml:space="preserve">no </w:t>
      </w:r>
      <w:r w:rsidR="001B77A6" w:rsidRPr="00AD49AF">
        <w:t xml:space="preserve">reported </w:t>
      </w:r>
      <w:r w:rsidR="005911FF" w:rsidRPr="00AD49AF">
        <w:t>exploration of the use of traditional medicine and healing practices in relation to pain management within the UK.</w:t>
      </w:r>
      <w:r w:rsidR="00407667" w:rsidRPr="00AD49AF">
        <w:t xml:space="preserve"> Given the perception of danger and concern regarding these practices</w:t>
      </w:r>
      <w:r w:rsidR="001B77A6" w:rsidRPr="00AD49AF">
        <w:t>,</w:t>
      </w:r>
      <w:r w:rsidR="00407667" w:rsidRPr="00AD49AF">
        <w:t xml:space="preserve"> this is an important area </w:t>
      </w:r>
      <w:r w:rsidR="00587C64" w:rsidRPr="00AD49AF">
        <w:t>for future research</w:t>
      </w:r>
      <w:r w:rsidR="00407667" w:rsidRPr="00AD49AF">
        <w:t xml:space="preserve"> to inform development of PMPs for South Asian populations.</w:t>
      </w:r>
    </w:p>
    <w:p w14:paraId="58C9CF25" w14:textId="4BFB166E" w:rsidR="007D7AB3" w:rsidRPr="00AD49AF" w:rsidRDefault="0002307C" w:rsidP="002A4F00">
      <w:r w:rsidRPr="00AD49AF">
        <w:t xml:space="preserve">There are limitations to the research presented in this article. </w:t>
      </w:r>
      <w:r w:rsidR="00C07EBB" w:rsidRPr="00AD49AF">
        <w:t xml:space="preserve">The recruitment of South Asian participants to health research studies can be challenging </w:t>
      </w:r>
      <w:r w:rsidR="00C07EBB" w:rsidRPr="00AD49AF">
        <w:fldChar w:fldCharType="begin" w:fldLock="1"/>
      </w:r>
      <w:r w:rsidR="00F37137" w:rsidRPr="00AD49AF">
        <w:instrText>ADDIN CSL_CITATION {"citationItems":[{"id":"ITEM-1","itemData":{"DOI":"10.1136/bmjopen-2016-014889","author":[{"dropping-particle":"","family":"Quay","given":"Teo A W","non-dropping-particle":"","parse-names":false,"suffix":""},{"dropping-particle":"","family":"Frimer","given":"Leora","non-dropping-particle":"","parse-names":false,"suffix":""},{"dropping-particle":"","family":"Janssen","given":"Patricia A","non-dropping-particle":"","parse-names":false,"suffix":""},{"dropping-particle":"","family":"Lamers","given":"Yvonne","non-dropping-particle":"","parse-names":false,"suffix":""}],"id":"ITEM-1","issued":{"date-parts":[["2017"]]},"page":"1-14","title":"Barriers and facilitators to recruitment of South Asians to health research : a scoping review","type":"article-journal"},"uris":["http://www.mendeley.com/documents/?uuid=5b4fda3f-1a15-4dfe-9cef-85b75ed2034b"]}],"mendeley":{"formattedCitation":"(Quay, Frimer, Janssen, &amp; Lamers, 2017)","plainTextFormattedCitation":"(Quay, Frimer, Janssen, &amp; Lamers, 2017)","previouslyFormattedCitation":"(Quay, Frimer, Janssen, &amp; Lamers, 2017)"},"properties":{"noteIndex":0},"schema":"https://github.com/citation-style-language/schema/raw/master/csl-citation.json"}</w:instrText>
      </w:r>
      <w:r w:rsidR="00C07EBB" w:rsidRPr="00AD49AF">
        <w:fldChar w:fldCharType="separate"/>
      </w:r>
      <w:r w:rsidR="00C07EBB" w:rsidRPr="00AD49AF">
        <w:rPr>
          <w:noProof/>
        </w:rPr>
        <w:t>(Quay, Frimer, Janssen, &amp; Lamers, 2017)</w:t>
      </w:r>
      <w:r w:rsidR="00C07EBB" w:rsidRPr="00AD49AF">
        <w:fldChar w:fldCharType="end"/>
      </w:r>
      <w:r w:rsidR="00C07EBB" w:rsidRPr="00AD49AF">
        <w:t xml:space="preserve">. </w:t>
      </w:r>
      <w:r w:rsidR="00A627CB" w:rsidRPr="00AD49AF">
        <w:t xml:space="preserve">Recruitment for this research was </w:t>
      </w:r>
      <w:r w:rsidRPr="00AD49AF">
        <w:t>difficult</w:t>
      </w:r>
      <w:r w:rsidR="00A627CB" w:rsidRPr="00AD49AF">
        <w:t>, however while t</w:t>
      </w:r>
      <w:r w:rsidR="00CC6E2F" w:rsidRPr="00AD49AF">
        <w:t xml:space="preserve">he sample size may be viewed as small, </w:t>
      </w:r>
      <w:r w:rsidR="00A627CB" w:rsidRPr="00AD49AF">
        <w:t>it</w:t>
      </w:r>
      <w:r w:rsidR="00CC6E2F" w:rsidRPr="00AD49AF">
        <w:t xml:space="preserve"> is not unusual for qualitative research and saturation of themes was reached </w:t>
      </w:r>
      <w:r w:rsidR="00CC6E2F" w:rsidRPr="00AD49AF">
        <w:fldChar w:fldCharType="begin" w:fldLock="1"/>
      </w:r>
      <w:r w:rsidR="00C07EBB" w:rsidRPr="00AD49AF">
        <w:instrText>ADDIN CSL_CITATION {"citationItems":[{"id":"ITEM-1","itemData":{"author":[{"dropping-particle":"","family":"Dallos","given":"R.","non-dropping-particle":"","parse-names":false,"suffix":""},{"dropping-particle":"","family":"Vetere","given":"A.","non-dropping-particle":"","parse-names":false,"suffix":""}],"id":"ITEM-1","issued":{"date-parts":[["2005"]]},"publisher":"Open University Press","publisher-place":"Berkshire","title":"Researching Psychotherapy and Counselling","type":"book"},"uris":["http://www.mendeley.com/documents/?uuid=b56b5a04-7b7f-4176-bc89-be447e6d57cb"]}],"mendeley":{"formattedCitation":"(Dallos &amp; Vetere, 2005)","plainTextFormattedCitation":"(Dallos &amp; Vetere, 2005)","previouslyFormattedCitation":"(Dallos &amp; Vetere, 2005)"},"properties":{"noteIndex":0},"schema":"https://github.com/citation-style-language/schema/raw/master/csl-citation.json"}</w:instrText>
      </w:r>
      <w:r w:rsidR="00CC6E2F" w:rsidRPr="00AD49AF">
        <w:fldChar w:fldCharType="separate"/>
      </w:r>
      <w:r w:rsidR="00CC6E2F" w:rsidRPr="00AD49AF">
        <w:rPr>
          <w:noProof/>
        </w:rPr>
        <w:t>(Dallos &amp; Vetere, 2005)</w:t>
      </w:r>
      <w:r w:rsidR="00CC6E2F" w:rsidRPr="00AD49AF">
        <w:fldChar w:fldCharType="end"/>
      </w:r>
      <w:r w:rsidR="00CC6E2F" w:rsidRPr="00AD49AF">
        <w:t xml:space="preserve">. </w:t>
      </w:r>
      <w:r w:rsidR="008A24C3" w:rsidRPr="00AD49AF">
        <w:t>Secondly</w:t>
      </w:r>
      <w:r w:rsidR="009F3547" w:rsidRPr="00AD49AF">
        <w:t xml:space="preserve">, </w:t>
      </w:r>
      <w:r w:rsidR="00A14A4A" w:rsidRPr="00AD49AF">
        <w:t>most</w:t>
      </w:r>
      <w:r w:rsidR="009F3547" w:rsidRPr="00AD49AF">
        <w:t xml:space="preserve"> participants were living in cities and discourses presented may represent</w:t>
      </w:r>
      <w:r w:rsidR="00A14A4A" w:rsidRPr="00AD49AF">
        <w:t xml:space="preserve"> elements of this social context and affect </w:t>
      </w:r>
      <w:r w:rsidR="00587C64" w:rsidRPr="00AD49AF">
        <w:t xml:space="preserve">the </w:t>
      </w:r>
      <w:r w:rsidR="00A14A4A" w:rsidRPr="00AD49AF">
        <w:t>transferability</w:t>
      </w:r>
      <w:r w:rsidR="00587C64" w:rsidRPr="00AD49AF">
        <w:t xml:space="preserve"> </w:t>
      </w:r>
      <w:r w:rsidR="00587C64" w:rsidRPr="00AD49AF">
        <w:fldChar w:fldCharType="begin" w:fldLock="1"/>
      </w:r>
      <w:r w:rsidR="00AE1BD6" w:rsidRPr="00AD49AF">
        <w:instrText>ADDIN CSL_CITATION {"citationItems":[{"id":"ITEM-1","itemData":{"DOI":"10.1080/08870440008400302","ISBN":"08870446","ISSN":"0887-0446","PMID":"3963469","abstract":"Abstract As the use of qualitative methods in health research proliferates, it becomes increasingly necessary to consider how the value of a piece of qualitative research should be assessed. This article discusses the problem posed by the novelty and diversity of qualitative approaches within health psychology and considers the question of what criteria are appropriate for assessing the validity of a qualitative analysis. In keeping with the ethos of much qualitative research, some open-ended, flexible principles are suggested as a guide to the quality of a qualitative study: sensitivity to context; commitment and rigour; transparency and coherence; impact and importance. Examples are given of the very different ways in which various forms of qualitative research can meet these criteria.\\nAbstract As the use of qualitative methods in health research proliferates, it becomes increasingly necessary to consider how the value of a piece of qualitative research should be assessed. This article discusses the problem posed by the novelty and diversity of qualitative approaches within health psychology and considers the question of what criteria are appropriate for assessing the validity of a qualitative analysis. In keeping with the ethos of much qualitative research, some open-ended, flexible principles are suggested as a guide to the quality of a qualitative study: sensitivity to context; commitment and rigour; transparency and coherence; impact and importance. Examples are given of the very different ways in which various forms of qualitative research can meet these criteria.","author":[{"dropping-particle":"","family":"Yarley","given":"Lucy","non-dropping-particle":"","parse-names":false,"suffix":""}],"container-title":"Psychology &amp; Health","id":"ITEM-1","issue":"2","issued":{"date-parts":[["2000","3","19"]]},"language":"en","page":"215-228","publisher":"Taylor &amp; Francis Group","title":"Dilemmas in qualitative health research","type":"article-journal","volume":"15"},"uris":["http://www.mendeley.com/documents/?uuid=f257db5b-8707-448a-8452-8c5ce07123ca"]}],"mendeley":{"formattedCitation":"(Yarley, 2000)","plainTextFormattedCitation":"(Yarley, 2000)","previouslyFormattedCitation":"(Yarley, 2000)"},"properties":{"noteIndex":0},"schema":"https://github.com/citation-style-language/schema/raw/master/csl-citation.json"}</w:instrText>
      </w:r>
      <w:r w:rsidR="00587C64" w:rsidRPr="00AD49AF">
        <w:fldChar w:fldCharType="separate"/>
      </w:r>
      <w:r w:rsidR="000478F6" w:rsidRPr="00AD49AF">
        <w:rPr>
          <w:noProof/>
        </w:rPr>
        <w:t>(Yarley, 2000)</w:t>
      </w:r>
      <w:r w:rsidR="00587C64" w:rsidRPr="00AD49AF">
        <w:fldChar w:fldCharType="end"/>
      </w:r>
      <w:r w:rsidR="00A14A4A" w:rsidRPr="00AD49AF">
        <w:t xml:space="preserve"> of these findings. Further exploration of the pain and pain management beliefs of individuals from South Asian backgrounds living in more rural locations would be </w:t>
      </w:r>
      <w:r w:rsidR="00E861FB" w:rsidRPr="00AD49AF">
        <w:t xml:space="preserve">of theoretical interest. </w:t>
      </w:r>
      <w:r w:rsidR="002A4F00" w:rsidRPr="00AD49AF">
        <w:t xml:space="preserve">It may be considered a limitation that only one participant had experienced chronic pain, however at the point of </w:t>
      </w:r>
      <w:r w:rsidR="007D7AB3" w:rsidRPr="00AD49AF">
        <w:t xml:space="preserve">onset of chronic pain this will be a new experience and individuals will draw on their </w:t>
      </w:r>
      <w:r w:rsidR="00F57CA6" w:rsidRPr="00AD49AF">
        <w:t>pre-existing</w:t>
      </w:r>
      <w:r w:rsidR="007D7AB3" w:rsidRPr="00AD49AF">
        <w:t xml:space="preserve"> knowledge and ideas about pain in order to make sense of their experience and decisions about pain</w:t>
      </w:r>
      <w:r w:rsidR="00F57CA6" w:rsidRPr="00AD49AF">
        <w:t>-</w:t>
      </w:r>
      <w:r w:rsidR="007D7AB3" w:rsidRPr="00AD49AF">
        <w:t>management. On this basis the sample is a suitable group with which to explore the acceptability of pain management concepts</w:t>
      </w:r>
      <w:r w:rsidR="00F57CA6" w:rsidRPr="00AD49AF">
        <w:t>, however further research with South Asian community members currently experiencing chronic pain would be valuable to the development of PMPs.</w:t>
      </w:r>
    </w:p>
    <w:p w14:paraId="057446B9" w14:textId="77777777" w:rsidR="007D7AB3" w:rsidRPr="00AD49AF" w:rsidRDefault="007D7AB3" w:rsidP="00E861FB">
      <w:pPr>
        <w:rPr>
          <w:b/>
        </w:rPr>
      </w:pPr>
    </w:p>
    <w:p w14:paraId="19C68633" w14:textId="368A87A9" w:rsidR="007E3D66" w:rsidRPr="00AD49AF" w:rsidRDefault="007E3D66" w:rsidP="00E861FB">
      <w:pPr>
        <w:pStyle w:val="Heading1"/>
      </w:pPr>
      <w:r w:rsidRPr="00AD49AF">
        <w:lastRenderedPageBreak/>
        <w:t>Conclusion</w:t>
      </w:r>
    </w:p>
    <w:p w14:paraId="078813CF" w14:textId="37301A0C" w:rsidR="007E3D66" w:rsidRPr="00AD49AF" w:rsidRDefault="008108F9" w:rsidP="00E861FB">
      <w:r w:rsidRPr="00AD49AF">
        <w:t>This study adds to</w:t>
      </w:r>
      <w:r w:rsidR="00D03AB7" w:rsidRPr="00AD49AF">
        <w:t xml:space="preserve"> the current understanding of pain and pain management beliefs within South Asian populations living in the UK. </w:t>
      </w:r>
      <w:r w:rsidR="00506463" w:rsidRPr="00AD49AF">
        <w:t>This</w:t>
      </w:r>
      <w:r w:rsidR="00D03AB7" w:rsidRPr="00AD49AF">
        <w:t xml:space="preserve"> work has highlighted how </w:t>
      </w:r>
      <w:r w:rsidR="005529BB" w:rsidRPr="00AD49AF">
        <w:t xml:space="preserve">discourses around the </w:t>
      </w:r>
      <w:r w:rsidR="00D812FB" w:rsidRPr="00AD49AF">
        <w:t>impacts of chronic pain, beliefs about and preferences for approaches to care, and the acceptability of pain management concepts</w:t>
      </w:r>
      <w:r w:rsidR="005529BB" w:rsidRPr="00AD49AF">
        <w:t xml:space="preserve"> fit with PMP content. Several avenues for further development of </w:t>
      </w:r>
      <w:r w:rsidR="00123F93" w:rsidRPr="00AD49AF">
        <w:t>chronic pain management</w:t>
      </w:r>
      <w:r w:rsidR="005529BB" w:rsidRPr="00AD49AF">
        <w:t xml:space="preserve"> for this population have been highlighted including</w:t>
      </w:r>
      <w:r w:rsidR="00123F93" w:rsidRPr="00AD49AF">
        <w:t>, exploring opportunities for social prescribing,</w:t>
      </w:r>
      <w:r w:rsidR="005529BB" w:rsidRPr="00AD49AF">
        <w:t xml:space="preserve"> consideration of the incorporation of acceptable forms of physical activity including yoga and walking</w:t>
      </w:r>
      <w:r w:rsidR="00123F93" w:rsidRPr="00AD49AF">
        <w:t>,</w:t>
      </w:r>
      <w:r w:rsidR="005529BB" w:rsidRPr="00AD49AF">
        <w:t xml:space="preserve"> and the potential benefit of </w:t>
      </w:r>
      <w:r w:rsidR="00F06C63" w:rsidRPr="00AD49AF">
        <w:t>highlighting role models and creating social opportunities for these activities. It is also evident that some potential beliefs and practices in this area are under researched and further work that explores gender and generational differences in pain perceptions</w:t>
      </w:r>
      <w:r w:rsidR="00506463" w:rsidRPr="00AD49AF">
        <w:t>, and the potential dangers of the use of pain healers</w:t>
      </w:r>
      <w:r w:rsidR="00F06C63" w:rsidRPr="00AD49AF">
        <w:t xml:space="preserve"> </w:t>
      </w:r>
      <w:r w:rsidR="00506463" w:rsidRPr="00AD49AF">
        <w:t>is needed.</w:t>
      </w:r>
      <w:r w:rsidR="00F93388" w:rsidRPr="00AD49AF">
        <w:tab/>
      </w:r>
      <w:r w:rsidR="00F93388" w:rsidRPr="00AD49AF">
        <w:tab/>
      </w:r>
      <w:r w:rsidR="00F93388" w:rsidRPr="00AD49AF">
        <w:tab/>
      </w:r>
      <w:r w:rsidR="00F93388" w:rsidRPr="00AD49AF">
        <w:tab/>
      </w:r>
      <w:r w:rsidR="00F93388" w:rsidRPr="00AD49AF">
        <w:tab/>
      </w:r>
      <w:r w:rsidR="00F93388" w:rsidRPr="00AD49AF">
        <w:tab/>
      </w:r>
      <w:r w:rsidR="00F93388" w:rsidRPr="00AD49AF">
        <w:tab/>
      </w:r>
      <w:r w:rsidR="00F93388" w:rsidRPr="00AD49AF">
        <w:tab/>
      </w:r>
      <w:r w:rsidR="00F93388" w:rsidRPr="00AD49AF">
        <w:tab/>
      </w:r>
    </w:p>
    <w:p w14:paraId="0A6CB123" w14:textId="77777777" w:rsidR="007E3D66" w:rsidRPr="00AD49AF" w:rsidRDefault="007E3D66" w:rsidP="00123F93">
      <w:pPr>
        <w:pStyle w:val="Heading2"/>
      </w:pPr>
      <w:r w:rsidRPr="00AD49AF">
        <w:t>References</w:t>
      </w:r>
    </w:p>
    <w:p w14:paraId="60BD11ED" w14:textId="5C72C4A0" w:rsidR="005A1289" w:rsidRPr="00AD49AF" w:rsidRDefault="004D69EC" w:rsidP="005A1289">
      <w:pPr>
        <w:widowControl w:val="0"/>
        <w:autoSpaceDE w:val="0"/>
        <w:autoSpaceDN w:val="0"/>
        <w:adjustRightInd w:val="0"/>
        <w:spacing w:line="240" w:lineRule="auto"/>
        <w:ind w:left="480" w:hanging="480"/>
        <w:rPr>
          <w:rFonts w:ascii="Calibri" w:hAnsi="Calibri" w:cs="Calibri"/>
          <w:noProof/>
        </w:rPr>
      </w:pPr>
      <w:r w:rsidRPr="00AD49AF">
        <w:rPr>
          <w:rFonts w:cstheme="minorHAnsi"/>
          <w:szCs w:val="20"/>
        </w:rPr>
        <w:fldChar w:fldCharType="begin" w:fldLock="1"/>
      </w:r>
      <w:r w:rsidRPr="00AD49AF">
        <w:rPr>
          <w:rFonts w:cstheme="minorHAnsi"/>
          <w:szCs w:val="20"/>
        </w:rPr>
        <w:instrText xml:space="preserve">ADDIN Mendeley Bibliography CSL_BIBLIOGRAPHY </w:instrText>
      </w:r>
      <w:r w:rsidRPr="00AD49AF">
        <w:rPr>
          <w:rFonts w:cstheme="minorHAnsi"/>
          <w:szCs w:val="20"/>
        </w:rPr>
        <w:fldChar w:fldCharType="separate"/>
      </w:r>
      <w:r w:rsidR="005A1289" w:rsidRPr="00AD49AF">
        <w:rPr>
          <w:rFonts w:ascii="Calibri" w:hAnsi="Calibri" w:cs="Calibri"/>
          <w:noProof/>
        </w:rPr>
        <w:t xml:space="preserve">Atkinson, R., &amp; Flint, J. (2004). Snowball Sampling. In M. Lewis-Beck, A. Bryman, &amp; T. Liao (Eds.), </w:t>
      </w:r>
      <w:r w:rsidR="005A1289" w:rsidRPr="00AD49AF">
        <w:rPr>
          <w:rFonts w:ascii="Calibri" w:hAnsi="Calibri" w:cs="Calibri"/>
          <w:i/>
          <w:iCs/>
          <w:noProof/>
        </w:rPr>
        <w:t>Encyclopedia of Social Science Research Methods</w:t>
      </w:r>
      <w:r w:rsidR="005A1289" w:rsidRPr="00AD49AF">
        <w:rPr>
          <w:rFonts w:ascii="Calibri" w:hAnsi="Calibri" w:cs="Calibri"/>
          <w:noProof/>
        </w:rPr>
        <w:t xml:space="preserve"> (pp. 1044–1045). Thousand Oaks, CA: Sage Publications.</w:t>
      </w:r>
    </w:p>
    <w:p w14:paraId="50659D71"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Baker, T. A., &amp; Green, C. R. (2005). Intrarace differences among black and white Americans presenting for chronic pain management: The influence of age, physical health, and psychosocial factors. </w:t>
      </w:r>
      <w:r w:rsidRPr="00AD49AF">
        <w:rPr>
          <w:rFonts w:ascii="Calibri" w:hAnsi="Calibri" w:cs="Calibri"/>
          <w:i/>
          <w:iCs/>
          <w:noProof/>
        </w:rPr>
        <w:t>Pain Medicine</w:t>
      </w:r>
      <w:r w:rsidRPr="00AD49AF">
        <w:rPr>
          <w:rFonts w:ascii="Calibri" w:hAnsi="Calibri" w:cs="Calibri"/>
          <w:noProof/>
        </w:rPr>
        <w:t xml:space="preserve">, </w:t>
      </w:r>
      <w:r w:rsidRPr="00AD49AF">
        <w:rPr>
          <w:rFonts w:ascii="Calibri" w:hAnsi="Calibri" w:cs="Calibri"/>
          <w:i/>
          <w:iCs/>
          <w:noProof/>
        </w:rPr>
        <w:t>6</w:t>
      </w:r>
      <w:r w:rsidRPr="00AD49AF">
        <w:rPr>
          <w:rFonts w:ascii="Calibri" w:hAnsi="Calibri" w:cs="Calibri"/>
          <w:noProof/>
        </w:rPr>
        <w:t>, 29–38.</w:t>
      </w:r>
    </w:p>
    <w:p w14:paraId="6555EAEA"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Bandura, A. (1998). Health promotion from the perspective of social cognitive theory. </w:t>
      </w:r>
      <w:r w:rsidRPr="00AD49AF">
        <w:rPr>
          <w:rFonts w:ascii="Calibri" w:hAnsi="Calibri" w:cs="Calibri"/>
          <w:i/>
          <w:iCs/>
          <w:noProof/>
        </w:rPr>
        <w:t>Psychology and Health</w:t>
      </w:r>
      <w:r w:rsidRPr="00AD49AF">
        <w:rPr>
          <w:rFonts w:ascii="Calibri" w:hAnsi="Calibri" w:cs="Calibri"/>
          <w:noProof/>
        </w:rPr>
        <w:t xml:space="preserve">, </w:t>
      </w:r>
      <w:r w:rsidRPr="00AD49AF">
        <w:rPr>
          <w:rFonts w:ascii="Calibri" w:hAnsi="Calibri" w:cs="Calibri"/>
          <w:i/>
          <w:iCs/>
          <w:noProof/>
        </w:rPr>
        <w:t>13</w:t>
      </w:r>
      <w:r w:rsidRPr="00AD49AF">
        <w:rPr>
          <w:rFonts w:ascii="Calibri" w:hAnsi="Calibri" w:cs="Calibri"/>
          <w:noProof/>
        </w:rPr>
        <w:t>(4), 623–649.</w:t>
      </w:r>
    </w:p>
    <w:p w14:paraId="2C21FE4F"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Bates, M. S., &amp; Edwards, W. T. (1993). Ethnocultural influences on the chronic pain experi- ence. </w:t>
      </w:r>
      <w:r w:rsidRPr="00AD49AF">
        <w:rPr>
          <w:rFonts w:ascii="Calibri" w:hAnsi="Calibri" w:cs="Calibri"/>
          <w:i/>
          <w:iCs/>
          <w:noProof/>
        </w:rPr>
        <w:t>Pain</w:t>
      </w:r>
      <w:r w:rsidRPr="00AD49AF">
        <w:rPr>
          <w:rFonts w:ascii="Calibri" w:hAnsi="Calibri" w:cs="Calibri"/>
          <w:noProof/>
        </w:rPr>
        <w:t xml:space="preserve">, </w:t>
      </w:r>
      <w:r w:rsidRPr="00AD49AF">
        <w:rPr>
          <w:rFonts w:ascii="Calibri" w:hAnsi="Calibri" w:cs="Calibri"/>
          <w:i/>
          <w:iCs/>
          <w:noProof/>
        </w:rPr>
        <w:t>52</w:t>
      </w:r>
      <w:r w:rsidRPr="00AD49AF">
        <w:rPr>
          <w:rFonts w:ascii="Calibri" w:hAnsi="Calibri" w:cs="Calibri"/>
          <w:noProof/>
        </w:rPr>
        <w:t>, 101–112.</w:t>
      </w:r>
    </w:p>
    <w:p w14:paraId="2F25D45F"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Bickerdike, L., Booth, A., Wilson, P. M., Farley, K., &amp; Wright, K. (2017). Social prescribing: Less rhetoric and more reality. A systematic review of the evidence. </w:t>
      </w:r>
      <w:r w:rsidRPr="00AD49AF">
        <w:rPr>
          <w:rFonts w:ascii="Calibri" w:hAnsi="Calibri" w:cs="Calibri"/>
          <w:i/>
          <w:iCs/>
          <w:noProof/>
        </w:rPr>
        <w:t>BMJ Open</w:t>
      </w:r>
      <w:r w:rsidRPr="00AD49AF">
        <w:rPr>
          <w:rFonts w:ascii="Calibri" w:hAnsi="Calibri" w:cs="Calibri"/>
          <w:noProof/>
        </w:rPr>
        <w:t xml:space="preserve">, </w:t>
      </w:r>
      <w:r w:rsidRPr="00AD49AF">
        <w:rPr>
          <w:rFonts w:ascii="Calibri" w:hAnsi="Calibri" w:cs="Calibri"/>
          <w:i/>
          <w:iCs/>
          <w:noProof/>
        </w:rPr>
        <w:t>7</w:t>
      </w:r>
      <w:r w:rsidRPr="00AD49AF">
        <w:rPr>
          <w:rFonts w:ascii="Calibri" w:hAnsi="Calibri" w:cs="Calibri"/>
          <w:noProof/>
        </w:rPr>
        <w:t>(4). https://doi.org/10.1136/bmjopen-2016-013384</w:t>
      </w:r>
    </w:p>
    <w:p w14:paraId="595118C7"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Braun, V., &amp; Clarke, V. (2006). Using thematic analysis in psychology. </w:t>
      </w:r>
      <w:r w:rsidRPr="00AD49AF">
        <w:rPr>
          <w:rFonts w:ascii="Calibri" w:hAnsi="Calibri" w:cs="Calibri"/>
          <w:i/>
          <w:iCs/>
          <w:noProof/>
        </w:rPr>
        <w:t>Qualitative Research in Psychology</w:t>
      </w:r>
      <w:r w:rsidRPr="00AD49AF">
        <w:rPr>
          <w:rFonts w:ascii="Calibri" w:hAnsi="Calibri" w:cs="Calibri"/>
          <w:noProof/>
        </w:rPr>
        <w:t>, 37–41. https://doi.org/http://dx.doi.org/10.1191/1478088706qp063oa</w:t>
      </w:r>
    </w:p>
    <w:p w14:paraId="17306316"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Braun, V., &amp; Clarke, V. (2013). </w:t>
      </w:r>
      <w:r w:rsidRPr="00AD49AF">
        <w:rPr>
          <w:rFonts w:ascii="Calibri" w:hAnsi="Calibri" w:cs="Calibri"/>
          <w:i/>
          <w:iCs/>
          <w:noProof/>
        </w:rPr>
        <w:t>Successful qualitative research: A practical guide for beginners.</w:t>
      </w:r>
      <w:r w:rsidRPr="00AD49AF">
        <w:rPr>
          <w:rFonts w:ascii="Calibri" w:hAnsi="Calibri" w:cs="Calibri"/>
          <w:noProof/>
        </w:rPr>
        <w:t xml:space="preserve"> London: Sage.</w:t>
      </w:r>
    </w:p>
    <w:p w14:paraId="3655FFD6"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Breivik, H., Collett, B., Ventafridda, V., Cohen, R., &amp; Gallacher, D. (2006). Survey of chronic pain in Europe: prevalence, impact on daily life and treatment. </w:t>
      </w:r>
      <w:r w:rsidRPr="00AD49AF">
        <w:rPr>
          <w:rFonts w:ascii="Calibri" w:hAnsi="Calibri" w:cs="Calibri"/>
          <w:i/>
          <w:iCs/>
          <w:noProof/>
        </w:rPr>
        <w:t>European Journal of Pain</w:t>
      </w:r>
      <w:r w:rsidRPr="00AD49AF">
        <w:rPr>
          <w:rFonts w:ascii="Calibri" w:hAnsi="Calibri" w:cs="Calibri"/>
          <w:noProof/>
        </w:rPr>
        <w:t xml:space="preserve">, </w:t>
      </w:r>
      <w:r w:rsidRPr="00AD49AF">
        <w:rPr>
          <w:rFonts w:ascii="Calibri" w:hAnsi="Calibri" w:cs="Calibri"/>
          <w:i/>
          <w:iCs/>
          <w:noProof/>
        </w:rPr>
        <w:t>10</w:t>
      </w:r>
      <w:r w:rsidRPr="00AD49AF">
        <w:rPr>
          <w:rFonts w:ascii="Calibri" w:hAnsi="Calibri" w:cs="Calibri"/>
          <w:noProof/>
        </w:rPr>
        <w:t>, 287–333.</w:t>
      </w:r>
    </w:p>
    <w:p w14:paraId="1C447B1A"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Burton, A. E. E., &amp; Shaw, R. L. L. (2015). Pain Management Programmes for Non-English-Speaking Black and Minority Ethnic Groups With Long-Term or Chronic Pain. </w:t>
      </w:r>
      <w:r w:rsidRPr="00AD49AF">
        <w:rPr>
          <w:rFonts w:ascii="Calibri" w:hAnsi="Calibri" w:cs="Calibri"/>
          <w:i/>
          <w:iCs/>
          <w:noProof/>
        </w:rPr>
        <w:t>Musculoskeletal Care</w:t>
      </w:r>
      <w:r w:rsidRPr="00AD49AF">
        <w:rPr>
          <w:rFonts w:ascii="Calibri" w:hAnsi="Calibri" w:cs="Calibri"/>
          <w:noProof/>
        </w:rPr>
        <w:t xml:space="preserve">, </w:t>
      </w:r>
      <w:r w:rsidRPr="00AD49AF">
        <w:rPr>
          <w:rFonts w:ascii="Calibri" w:hAnsi="Calibri" w:cs="Calibri"/>
          <w:i/>
          <w:iCs/>
          <w:noProof/>
        </w:rPr>
        <w:t>13</w:t>
      </w:r>
      <w:r w:rsidRPr="00AD49AF">
        <w:rPr>
          <w:rFonts w:ascii="Calibri" w:hAnsi="Calibri" w:cs="Calibri"/>
          <w:noProof/>
        </w:rPr>
        <w:t>(4). https://doi.org/10.1002/msc.1099</w:t>
      </w:r>
    </w:p>
    <w:p w14:paraId="0A335D6E"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lastRenderedPageBreak/>
        <w:t xml:space="preserve">Cross-Bardell, L., George, T., Bhoday, M., Tuomainen, H., Qureshi, N., &amp; Kai, J. (2015). Perspectives on enhancing physical activity and diet for health promotion among at-risk urban UK South Asian communities: a qualitative study. </w:t>
      </w:r>
      <w:r w:rsidRPr="00AD49AF">
        <w:rPr>
          <w:rFonts w:ascii="Calibri" w:hAnsi="Calibri" w:cs="Calibri"/>
          <w:i/>
          <w:iCs/>
          <w:noProof/>
        </w:rPr>
        <w:t>BMJ Open</w:t>
      </w:r>
      <w:r w:rsidRPr="00AD49AF">
        <w:rPr>
          <w:rFonts w:ascii="Calibri" w:hAnsi="Calibri" w:cs="Calibri"/>
          <w:noProof/>
        </w:rPr>
        <w:t xml:space="preserve">, </w:t>
      </w:r>
      <w:r w:rsidRPr="00AD49AF">
        <w:rPr>
          <w:rFonts w:ascii="Calibri" w:hAnsi="Calibri" w:cs="Calibri"/>
          <w:i/>
          <w:iCs/>
          <w:noProof/>
        </w:rPr>
        <w:t>5</w:t>
      </w:r>
      <w:r w:rsidRPr="00AD49AF">
        <w:rPr>
          <w:rFonts w:ascii="Calibri" w:hAnsi="Calibri" w:cs="Calibri"/>
          <w:noProof/>
        </w:rPr>
        <w:t>(2), e007317. https://doi.org/10.1136/bmjopen-2014-007317</w:t>
      </w:r>
    </w:p>
    <w:p w14:paraId="6F93F54A"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Curry, W. B., Duda, J. L., &amp; Thompson, J. L. (2015). Perceived and objectively measured physical activity and sedentary time among South Asian Women in the UK. </w:t>
      </w:r>
      <w:r w:rsidRPr="00AD49AF">
        <w:rPr>
          <w:rFonts w:ascii="Calibri" w:hAnsi="Calibri" w:cs="Calibri"/>
          <w:i/>
          <w:iCs/>
          <w:noProof/>
        </w:rPr>
        <w:t>International Journal of Environmental Research and Public Health</w:t>
      </w:r>
      <w:r w:rsidRPr="00AD49AF">
        <w:rPr>
          <w:rFonts w:ascii="Calibri" w:hAnsi="Calibri" w:cs="Calibri"/>
          <w:noProof/>
        </w:rPr>
        <w:t xml:space="preserve">, </w:t>
      </w:r>
      <w:r w:rsidRPr="00AD49AF">
        <w:rPr>
          <w:rFonts w:ascii="Calibri" w:hAnsi="Calibri" w:cs="Calibri"/>
          <w:i/>
          <w:iCs/>
          <w:noProof/>
        </w:rPr>
        <w:t>12</w:t>
      </w:r>
      <w:r w:rsidRPr="00AD49AF">
        <w:rPr>
          <w:rFonts w:ascii="Calibri" w:hAnsi="Calibri" w:cs="Calibri"/>
          <w:noProof/>
        </w:rPr>
        <w:t>(3), 3152–3173. https://doi.org/10.3390/ijerph120303152</w:t>
      </w:r>
    </w:p>
    <w:p w14:paraId="1A35F7CB"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Dallos, R., &amp; Vetere, A. (2005). </w:t>
      </w:r>
      <w:r w:rsidRPr="00AD49AF">
        <w:rPr>
          <w:rFonts w:ascii="Calibri" w:hAnsi="Calibri" w:cs="Calibri"/>
          <w:i/>
          <w:iCs/>
          <w:noProof/>
        </w:rPr>
        <w:t>Researching Psychotherapy and Counselling</w:t>
      </w:r>
      <w:r w:rsidRPr="00AD49AF">
        <w:rPr>
          <w:rFonts w:ascii="Calibri" w:hAnsi="Calibri" w:cs="Calibri"/>
          <w:noProof/>
        </w:rPr>
        <w:t>. Berkshire: Open University Press.</w:t>
      </w:r>
    </w:p>
    <w:p w14:paraId="236FED68"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Dysvik, E., Kvaløy, J. T., Stokkeland, R., &amp; Natvig, G. K. (2010). The effectiveness of a multidisciplinary pain management programme managing chronic pain on pain perceptions, health-related quality of life and stages of change-A non-randomized controlled study. </w:t>
      </w:r>
      <w:r w:rsidRPr="00AD49AF">
        <w:rPr>
          <w:rFonts w:ascii="Calibri" w:hAnsi="Calibri" w:cs="Calibri"/>
          <w:i/>
          <w:iCs/>
          <w:noProof/>
        </w:rPr>
        <w:t>International Journal of Nursing Studies</w:t>
      </w:r>
      <w:r w:rsidRPr="00AD49AF">
        <w:rPr>
          <w:rFonts w:ascii="Calibri" w:hAnsi="Calibri" w:cs="Calibri"/>
          <w:noProof/>
        </w:rPr>
        <w:t xml:space="preserve">, </w:t>
      </w:r>
      <w:r w:rsidRPr="00AD49AF">
        <w:rPr>
          <w:rFonts w:ascii="Calibri" w:hAnsi="Calibri" w:cs="Calibri"/>
          <w:i/>
          <w:iCs/>
          <w:noProof/>
        </w:rPr>
        <w:t>47</w:t>
      </w:r>
      <w:r w:rsidRPr="00AD49AF">
        <w:rPr>
          <w:rFonts w:ascii="Calibri" w:hAnsi="Calibri" w:cs="Calibri"/>
          <w:noProof/>
        </w:rPr>
        <w:t>(7), 826–835. https://doi.org/10.1016/j.ijnurstu.2009.12.001</w:t>
      </w:r>
    </w:p>
    <w:p w14:paraId="17F36D46"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Dysvik, E., Vinses, A. G., &amp; Eikeland, O. J. (2004). The effectiveness of a multidisciplinary pain management programme managing chronic pain. </w:t>
      </w:r>
      <w:r w:rsidRPr="00AD49AF">
        <w:rPr>
          <w:rFonts w:ascii="Calibri" w:hAnsi="Calibri" w:cs="Calibri"/>
          <w:i/>
          <w:iCs/>
          <w:noProof/>
        </w:rPr>
        <w:t>International Journal of Nursing Practice</w:t>
      </w:r>
      <w:r w:rsidRPr="00AD49AF">
        <w:rPr>
          <w:rFonts w:ascii="Calibri" w:hAnsi="Calibri" w:cs="Calibri"/>
          <w:noProof/>
        </w:rPr>
        <w:t xml:space="preserve">, </w:t>
      </w:r>
      <w:r w:rsidRPr="00AD49AF">
        <w:rPr>
          <w:rFonts w:ascii="Calibri" w:hAnsi="Calibri" w:cs="Calibri"/>
          <w:i/>
          <w:iCs/>
          <w:noProof/>
        </w:rPr>
        <w:t>10</w:t>
      </w:r>
      <w:r w:rsidRPr="00AD49AF">
        <w:rPr>
          <w:rFonts w:ascii="Calibri" w:hAnsi="Calibri" w:cs="Calibri"/>
          <w:noProof/>
        </w:rPr>
        <w:t>(5), 224–234.</w:t>
      </w:r>
    </w:p>
    <w:p w14:paraId="70B3DCA3"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Edwards, C. L., Fillingin, R. B., &amp; Keefe, R. (2001). Race, ethnicity and pain. </w:t>
      </w:r>
      <w:r w:rsidRPr="00AD49AF">
        <w:rPr>
          <w:rFonts w:ascii="Calibri" w:hAnsi="Calibri" w:cs="Calibri"/>
          <w:i/>
          <w:iCs/>
          <w:noProof/>
        </w:rPr>
        <w:t>Pain</w:t>
      </w:r>
      <w:r w:rsidRPr="00AD49AF">
        <w:rPr>
          <w:rFonts w:ascii="Calibri" w:hAnsi="Calibri" w:cs="Calibri"/>
          <w:noProof/>
        </w:rPr>
        <w:t xml:space="preserve">, </w:t>
      </w:r>
      <w:r w:rsidRPr="00AD49AF">
        <w:rPr>
          <w:rFonts w:ascii="Calibri" w:hAnsi="Calibri" w:cs="Calibri"/>
          <w:i/>
          <w:iCs/>
          <w:noProof/>
        </w:rPr>
        <w:t>94</w:t>
      </w:r>
      <w:r w:rsidRPr="00AD49AF">
        <w:rPr>
          <w:rFonts w:ascii="Calibri" w:hAnsi="Calibri" w:cs="Calibri"/>
          <w:noProof/>
        </w:rPr>
        <w:t>, 133–137.</w:t>
      </w:r>
    </w:p>
    <w:p w14:paraId="3F243A9F"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Estacio, E. V., McKinley, R. K., Saidy-Khan, S., Karic, T., Clark, L., &amp; Kurth, J. (2015). Health literacy: why it matters to South Asian men with diabetes. </w:t>
      </w:r>
      <w:r w:rsidRPr="00AD49AF">
        <w:rPr>
          <w:rFonts w:ascii="Calibri" w:hAnsi="Calibri" w:cs="Calibri"/>
          <w:i/>
          <w:iCs/>
          <w:noProof/>
        </w:rPr>
        <w:t>Primary Health Care Research &amp; Development</w:t>
      </w:r>
      <w:r w:rsidRPr="00AD49AF">
        <w:rPr>
          <w:rFonts w:ascii="Calibri" w:hAnsi="Calibri" w:cs="Calibri"/>
          <w:noProof/>
        </w:rPr>
        <w:t xml:space="preserve">, </w:t>
      </w:r>
      <w:r w:rsidRPr="00AD49AF">
        <w:rPr>
          <w:rFonts w:ascii="Calibri" w:hAnsi="Calibri" w:cs="Calibri"/>
          <w:i/>
          <w:iCs/>
          <w:noProof/>
        </w:rPr>
        <w:t>16</w:t>
      </w:r>
      <w:r w:rsidRPr="00AD49AF">
        <w:rPr>
          <w:rFonts w:ascii="Calibri" w:hAnsi="Calibri" w:cs="Calibri"/>
          <w:noProof/>
        </w:rPr>
        <w:t>(2), 214–218. https://doi.org/10.1017/S1463423614000152</w:t>
      </w:r>
    </w:p>
    <w:p w14:paraId="6BE9C4B2"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Evandrou, M., Falkingham, J., Feng, Z., &amp; Vlachantoni, A. (2016). Ethnic inequalities in limiting health and self-reported health in later life revisited. </w:t>
      </w:r>
      <w:r w:rsidRPr="00AD49AF">
        <w:rPr>
          <w:rFonts w:ascii="Calibri" w:hAnsi="Calibri" w:cs="Calibri"/>
          <w:i/>
          <w:iCs/>
          <w:noProof/>
        </w:rPr>
        <w:t>Journal of Epidemiology and Community Health</w:t>
      </w:r>
      <w:r w:rsidRPr="00AD49AF">
        <w:rPr>
          <w:rFonts w:ascii="Calibri" w:hAnsi="Calibri" w:cs="Calibri"/>
          <w:noProof/>
        </w:rPr>
        <w:t xml:space="preserve">, </w:t>
      </w:r>
      <w:r w:rsidRPr="00AD49AF">
        <w:rPr>
          <w:rFonts w:ascii="Calibri" w:hAnsi="Calibri" w:cs="Calibri"/>
          <w:i/>
          <w:iCs/>
          <w:noProof/>
        </w:rPr>
        <w:t>70</w:t>
      </w:r>
      <w:r w:rsidRPr="00AD49AF">
        <w:rPr>
          <w:rFonts w:ascii="Calibri" w:hAnsi="Calibri" w:cs="Calibri"/>
          <w:noProof/>
        </w:rPr>
        <w:t>(7), 653–662. https://doi.org/10.1136/jech-2015-206074</w:t>
      </w:r>
    </w:p>
    <w:p w14:paraId="022BBFD4"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Gillam, J., Jarman, B., White, P., &amp; Law, R. (1989). Ethnic differences in consultation rates in urban general practice. </w:t>
      </w:r>
      <w:r w:rsidRPr="00AD49AF">
        <w:rPr>
          <w:rFonts w:ascii="Calibri" w:hAnsi="Calibri" w:cs="Calibri"/>
          <w:i/>
          <w:iCs/>
          <w:noProof/>
        </w:rPr>
        <w:t>British Medical Journal</w:t>
      </w:r>
      <w:r w:rsidRPr="00AD49AF">
        <w:rPr>
          <w:rFonts w:ascii="Calibri" w:hAnsi="Calibri" w:cs="Calibri"/>
          <w:noProof/>
        </w:rPr>
        <w:t>, (299).</w:t>
      </w:r>
    </w:p>
    <w:p w14:paraId="636ACF80"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Hipwell, A., Turner, A., &amp; Barlow, J. (2008). “We’re not fully aware of their cultural needs”: tutors’ experiences of delivering the Expert Patients Programme to South Asian attendees. </w:t>
      </w:r>
      <w:r w:rsidRPr="00AD49AF">
        <w:rPr>
          <w:rFonts w:ascii="Calibri" w:hAnsi="Calibri" w:cs="Calibri"/>
          <w:i/>
          <w:iCs/>
          <w:noProof/>
        </w:rPr>
        <w:t>Diversity in Health &amp; Social …</w:t>
      </w:r>
      <w:r w:rsidRPr="00AD49AF">
        <w:rPr>
          <w:rFonts w:ascii="Calibri" w:hAnsi="Calibri" w:cs="Calibri"/>
          <w:noProof/>
        </w:rPr>
        <w:t xml:space="preserve">, </w:t>
      </w:r>
      <w:r w:rsidRPr="00AD49AF">
        <w:rPr>
          <w:rFonts w:ascii="Calibri" w:hAnsi="Calibri" w:cs="Calibri"/>
          <w:i/>
          <w:iCs/>
          <w:noProof/>
        </w:rPr>
        <w:t>5</w:t>
      </w:r>
      <w:r w:rsidRPr="00AD49AF">
        <w:rPr>
          <w:rFonts w:ascii="Calibri" w:hAnsi="Calibri" w:cs="Calibri"/>
          <w:noProof/>
        </w:rPr>
        <w:t>, 281–290.</w:t>
      </w:r>
    </w:p>
    <w:p w14:paraId="13A75725"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Hoffman, B. M., Papas, R. K., Chatkoff, D. K., &amp; Kerns, R. D. (2007). Meta-analysis of psychological interventions for chronic low back pain. </w:t>
      </w:r>
      <w:r w:rsidRPr="00AD49AF">
        <w:rPr>
          <w:rFonts w:ascii="Calibri" w:hAnsi="Calibri" w:cs="Calibri"/>
          <w:i/>
          <w:iCs/>
          <w:noProof/>
        </w:rPr>
        <w:t>Health Psychology</w:t>
      </w:r>
      <w:r w:rsidRPr="00AD49AF">
        <w:rPr>
          <w:rFonts w:ascii="Calibri" w:hAnsi="Calibri" w:cs="Calibri"/>
          <w:noProof/>
        </w:rPr>
        <w:t xml:space="preserve">, </w:t>
      </w:r>
      <w:r w:rsidRPr="00AD49AF">
        <w:rPr>
          <w:rFonts w:ascii="Calibri" w:hAnsi="Calibri" w:cs="Calibri"/>
          <w:i/>
          <w:iCs/>
          <w:noProof/>
        </w:rPr>
        <w:t>26</w:t>
      </w:r>
      <w:r w:rsidRPr="00AD49AF">
        <w:rPr>
          <w:rFonts w:ascii="Calibri" w:hAnsi="Calibri" w:cs="Calibri"/>
          <w:noProof/>
        </w:rPr>
        <w:t>, 1–9.</w:t>
      </w:r>
    </w:p>
    <w:p w14:paraId="15C6D14E"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Horne, M., Emsley, R., Woodham, A., Wearden, A., &amp; Skelton, D. A. (2018). Associations of intention to undertake physical activity among community dwelling British South Asian adults aged 60 years and over: a cross-sectional study. </w:t>
      </w:r>
      <w:r w:rsidRPr="00AD49AF">
        <w:rPr>
          <w:rFonts w:ascii="Calibri" w:hAnsi="Calibri" w:cs="Calibri"/>
          <w:i/>
          <w:iCs/>
          <w:noProof/>
        </w:rPr>
        <w:t>Public Health</w:t>
      </w:r>
      <w:r w:rsidRPr="00AD49AF">
        <w:rPr>
          <w:rFonts w:ascii="Calibri" w:hAnsi="Calibri" w:cs="Calibri"/>
          <w:noProof/>
        </w:rPr>
        <w:t xml:space="preserve">, </w:t>
      </w:r>
      <w:r w:rsidRPr="00AD49AF">
        <w:rPr>
          <w:rFonts w:ascii="Calibri" w:hAnsi="Calibri" w:cs="Calibri"/>
          <w:i/>
          <w:iCs/>
          <w:noProof/>
        </w:rPr>
        <w:t>162</w:t>
      </w:r>
      <w:r w:rsidRPr="00AD49AF">
        <w:rPr>
          <w:rFonts w:ascii="Calibri" w:hAnsi="Calibri" w:cs="Calibri"/>
          <w:noProof/>
        </w:rPr>
        <w:t>(0), 1–8. https://doi.org/10.1016/j.puhe.2018.05.005</w:t>
      </w:r>
    </w:p>
    <w:p w14:paraId="07584CEB"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Horne, M., &amp; Tierney, S. (2012). What are the barriers and facilitators to exercise and physical activity uptake and adherence among South Asian older adults: A systematic </w:t>
      </w:r>
      <w:r w:rsidRPr="00AD49AF">
        <w:rPr>
          <w:rFonts w:ascii="Calibri" w:hAnsi="Calibri" w:cs="Calibri"/>
          <w:noProof/>
        </w:rPr>
        <w:lastRenderedPageBreak/>
        <w:t xml:space="preserve">review of qualitative studies. </w:t>
      </w:r>
      <w:r w:rsidRPr="00AD49AF">
        <w:rPr>
          <w:rFonts w:ascii="Calibri" w:hAnsi="Calibri" w:cs="Calibri"/>
          <w:i/>
          <w:iCs/>
          <w:noProof/>
        </w:rPr>
        <w:t>Preventive Medicine</w:t>
      </w:r>
      <w:r w:rsidRPr="00AD49AF">
        <w:rPr>
          <w:rFonts w:ascii="Calibri" w:hAnsi="Calibri" w:cs="Calibri"/>
          <w:noProof/>
        </w:rPr>
        <w:t xml:space="preserve">, </w:t>
      </w:r>
      <w:r w:rsidRPr="00AD49AF">
        <w:rPr>
          <w:rFonts w:ascii="Calibri" w:hAnsi="Calibri" w:cs="Calibri"/>
          <w:i/>
          <w:iCs/>
          <w:noProof/>
        </w:rPr>
        <w:t>55</w:t>
      </w:r>
      <w:r w:rsidRPr="00AD49AF">
        <w:rPr>
          <w:rFonts w:ascii="Calibri" w:hAnsi="Calibri" w:cs="Calibri"/>
          <w:noProof/>
        </w:rPr>
        <w:t>(4), 276–284. https://doi.org/10.1016/j.ypmed.2012.07.016</w:t>
      </w:r>
    </w:p>
    <w:p w14:paraId="618B93F5"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Jacobs, B. P., Mehling, W., Avins, A. L., Goldberg, H. A., Acree, M., Lasater, J. H., … Maurer, S. (2004). Feasibility of conducting a clinical trial on Hatha yoga for chronic low back pain: methodological lessons. </w:t>
      </w:r>
      <w:r w:rsidRPr="00AD49AF">
        <w:rPr>
          <w:rFonts w:ascii="Calibri" w:hAnsi="Calibri" w:cs="Calibri"/>
          <w:i/>
          <w:iCs/>
          <w:noProof/>
        </w:rPr>
        <w:t>Alternative Therapies in Health and Medicine</w:t>
      </w:r>
      <w:r w:rsidRPr="00AD49AF">
        <w:rPr>
          <w:rFonts w:ascii="Calibri" w:hAnsi="Calibri" w:cs="Calibri"/>
          <w:noProof/>
        </w:rPr>
        <w:t xml:space="preserve">, </w:t>
      </w:r>
      <w:r w:rsidRPr="00AD49AF">
        <w:rPr>
          <w:rFonts w:ascii="Calibri" w:hAnsi="Calibri" w:cs="Calibri"/>
          <w:i/>
          <w:iCs/>
          <w:noProof/>
        </w:rPr>
        <w:t>10</w:t>
      </w:r>
      <w:r w:rsidRPr="00AD49AF">
        <w:rPr>
          <w:rFonts w:ascii="Calibri" w:hAnsi="Calibri" w:cs="Calibri"/>
          <w:noProof/>
        </w:rPr>
        <w:t>(2), 80–83.</w:t>
      </w:r>
    </w:p>
    <w:p w14:paraId="42B80DDF"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Kassavou, A., Turner, A., &amp; French, D. P. (2013). Do interventions to promote walking in groups increase physical activity? A meta-analysis. </w:t>
      </w:r>
      <w:r w:rsidRPr="00AD49AF">
        <w:rPr>
          <w:rFonts w:ascii="Calibri" w:hAnsi="Calibri" w:cs="Calibri"/>
          <w:i/>
          <w:iCs/>
          <w:noProof/>
        </w:rPr>
        <w:t>International Journal of Behavioral Nutrition and Physical Activity</w:t>
      </w:r>
      <w:r w:rsidRPr="00AD49AF">
        <w:rPr>
          <w:rFonts w:ascii="Calibri" w:hAnsi="Calibri" w:cs="Calibri"/>
          <w:noProof/>
        </w:rPr>
        <w:t xml:space="preserve">, </w:t>
      </w:r>
      <w:r w:rsidRPr="00AD49AF">
        <w:rPr>
          <w:rFonts w:ascii="Calibri" w:hAnsi="Calibri" w:cs="Calibri"/>
          <w:i/>
          <w:iCs/>
          <w:noProof/>
        </w:rPr>
        <w:t>10</w:t>
      </w:r>
      <w:r w:rsidRPr="00AD49AF">
        <w:rPr>
          <w:rFonts w:ascii="Calibri" w:hAnsi="Calibri" w:cs="Calibri"/>
          <w:noProof/>
        </w:rPr>
        <w:t>. https://doi.org/10.1016/j.tetasy.2004.04.019</w:t>
      </w:r>
    </w:p>
    <w:p w14:paraId="29F9051F"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Kilgarriff-Foster, A., &amp; O’Cathain, A. (2015). Exploring the components and impact of social prescribing. </w:t>
      </w:r>
      <w:r w:rsidRPr="00AD49AF">
        <w:rPr>
          <w:rFonts w:ascii="Calibri" w:hAnsi="Calibri" w:cs="Calibri"/>
          <w:i/>
          <w:iCs/>
          <w:noProof/>
        </w:rPr>
        <w:t>Journal of Public Mental Health</w:t>
      </w:r>
      <w:r w:rsidRPr="00AD49AF">
        <w:rPr>
          <w:rFonts w:ascii="Calibri" w:hAnsi="Calibri" w:cs="Calibri"/>
          <w:noProof/>
        </w:rPr>
        <w:t xml:space="preserve">, </w:t>
      </w:r>
      <w:r w:rsidRPr="00AD49AF">
        <w:rPr>
          <w:rFonts w:ascii="Calibri" w:hAnsi="Calibri" w:cs="Calibri"/>
          <w:i/>
          <w:iCs/>
          <w:noProof/>
        </w:rPr>
        <w:t>14</w:t>
      </w:r>
      <w:r w:rsidRPr="00AD49AF">
        <w:rPr>
          <w:rFonts w:ascii="Calibri" w:hAnsi="Calibri" w:cs="Calibri"/>
          <w:noProof/>
        </w:rPr>
        <w:t>(3), 127–134. https://doi.org/10.1108/JPMH-06-2014-0027</w:t>
      </w:r>
    </w:p>
    <w:p w14:paraId="51463952"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Lawton, J., Hallowell, N., Ahmad, N., Hanna, L., &amp; Douglas, M. (2005). ‘I can’t do any serious exercise’: barriers to physical activity amongst people of Pakistani and Indian origin with Type 2 diabetes. </w:t>
      </w:r>
      <w:r w:rsidRPr="00AD49AF">
        <w:rPr>
          <w:rFonts w:ascii="Calibri" w:hAnsi="Calibri" w:cs="Calibri"/>
          <w:i/>
          <w:iCs/>
          <w:noProof/>
        </w:rPr>
        <w:t>Health Education Research</w:t>
      </w:r>
      <w:r w:rsidRPr="00AD49AF">
        <w:rPr>
          <w:rFonts w:ascii="Calibri" w:hAnsi="Calibri" w:cs="Calibri"/>
          <w:noProof/>
        </w:rPr>
        <w:t xml:space="preserve">, </w:t>
      </w:r>
      <w:r w:rsidRPr="00AD49AF">
        <w:rPr>
          <w:rFonts w:ascii="Calibri" w:hAnsi="Calibri" w:cs="Calibri"/>
          <w:i/>
          <w:iCs/>
          <w:noProof/>
        </w:rPr>
        <w:t>21</w:t>
      </w:r>
      <w:r w:rsidRPr="00AD49AF">
        <w:rPr>
          <w:rFonts w:ascii="Calibri" w:hAnsi="Calibri" w:cs="Calibri"/>
          <w:noProof/>
        </w:rPr>
        <w:t>(1), 43–54. https://doi.org/10.1093/her/cyh042</w:t>
      </w:r>
    </w:p>
    <w:p w14:paraId="0E11EE70"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Lucas, A., Murray, E., &amp; Kinra, S. (2013). Heath Beliefs of UK South Asians Related to Lifestyle Diseases: A Review of Qualitative Literature. </w:t>
      </w:r>
      <w:r w:rsidRPr="00AD49AF">
        <w:rPr>
          <w:rFonts w:ascii="Calibri" w:hAnsi="Calibri" w:cs="Calibri"/>
          <w:i/>
          <w:iCs/>
          <w:noProof/>
        </w:rPr>
        <w:t>Journal of Obesity</w:t>
      </w:r>
      <w:r w:rsidRPr="00AD49AF">
        <w:rPr>
          <w:rFonts w:ascii="Calibri" w:hAnsi="Calibri" w:cs="Calibri"/>
          <w:noProof/>
        </w:rPr>
        <w:t xml:space="preserve">, </w:t>
      </w:r>
      <w:r w:rsidRPr="00AD49AF">
        <w:rPr>
          <w:rFonts w:ascii="Calibri" w:hAnsi="Calibri" w:cs="Calibri"/>
          <w:i/>
          <w:iCs/>
          <w:noProof/>
        </w:rPr>
        <w:t>2013</w:t>
      </w:r>
      <w:r w:rsidRPr="00AD49AF">
        <w:rPr>
          <w:rFonts w:ascii="Calibri" w:hAnsi="Calibri" w:cs="Calibri"/>
          <w:noProof/>
        </w:rPr>
        <w:t>, 1–13. https://doi.org/10.1155/2013/827674</w:t>
      </w:r>
    </w:p>
    <w:p w14:paraId="60F4E486"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Morris, S., Sutton, M., &amp; Gravelle, H. (2005). Inequity and inequality in the use of health care in England: An empirical investigation. </w:t>
      </w:r>
      <w:r w:rsidRPr="00AD49AF">
        <w:rPr>
          <w:rFonts w:ascii="Calibri" w:hAnsi="Calibri" w:cs="Calibri"/>
          <w:i/>
          <w:iCs/>
          <w:noProof/>
        </w:rPr>
        <w:t>Social Science and Medicine</w:t>
      </w:r>
      <w:r w:rsidRPr="00AD49AF">
        <w:rPr>
          <w:rFonts w:ascii="Calibri" w:hAnsi="Calibri" w:cs="Calibri"/>
          <w:noProof/>
        </w:rPr>
        <w:t xml:space="preserve">, </w:t>
      </w:r>
      <w:r w:rsidRPr="00AD49AF">
        <w:rPr>
          <w:rFonts w:ascii="Calibri" w:hAnsi="Calibri" w:cs="Calibri"/>
          <w:i/>
          <w:iCs/>
          <w:noProof/>
        </w:rPr>
        <w:t>60</w:t>
      </w:r>
      <w:r w:rsidRPr="00AD49AF">
        <w:rPr>
          <w:rFonts w:ascii="Calibri" w:hAnsi="Calibri" w:cs="Calibri"/>
          <w:noProof/>
        </w:rPr>
        <w:t>(6), 1251–1266. https://doi.org/10.1016/j.socscimed.2004.07.016</w:t>
      </w:r>
    </w:p>
    <w:p w14:paraId="2DEFDE78"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Nicholas, M. K., Linton, S. J., Watson, P. J., &amp; Main, C. J. (2011). Early Identification and Management of Psychological Risk Factors (“Yellow Flags”) in Patients With Low Back Pain: A Reappraisal. </w:t>
      </w:r>
      <w:r w:rsidRPr="00AD49AF">
        <w:rPr>
          <w:rFonts w:ascii="Calibri" w:hAnsi="Calibri" w:cs="Calibri"/>
          <w:i/>
          <w:iCs/>
          <w:noProof/>
        </w:rPr>
        <w:t>Physical Therapy</w:t>
      </w:r>
      <w:r w:rsidRPr="00AD49AF">
        <w:rPr>
          <w:rFonts w:ascii="Calibri" w:hAnsi="Calibri" w:cs="Calibri"/>
          <w:noProof/>
        </w:rPr>
        <w:t xml:space="preserve">, </w:t>
      </w:r>
      <w:r w:rsidRPr="00AD49AF">
        <w:rPr>
          <w:rFonts w:ascii="Calibri" w:hAnsi="Calibri" w:cs="Calibri"/>
          <w:i/>
          <w:iCs/>
          <w:noProof/>
        </w:rPr>
        <w:t>91</w:t>
      </w:r>
      <w:r w:rsidRPr="00AD49AF">
        <w:rPr>
          <w:rFonts w:ascii="Calibri" w:hAnsi="Calibri" w:cs="Calibri"/>
          <w:noProof/>
        </w:rPr>
        <w:t>(5), 737–753. https://doi.org/10.2522/ptj.20100224</w:t>
      </w:r>
    </w:p>
    <w:p w14:paraId="663669BF"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Njobvu, P., Hunt, I., Pope, D., &amp; Macfarlane, G. (1999). Pain amongst ethnic minority groups of South Asian origin in the United Kingdom:A review. </w:t>
      </w:r>
      <w:r w:rsidRPr="00AD49AF">
        <w:rPr>
          <w:rFonts w:ascii="Calibri" w:hAnsi="Calibri" w:cs="Calibri"/>
          <w:i/>
          <w:iCs/>
          <w:noProof/>
        </w:rPr>
        <w:t>Rheumatology</w:t>
      </w:r>
      <w:r w:rsidRPr="00AD49AF">
        <w:rPr>
          <w:rFonts w:ascii="Calibri" w:hAnsi="Calibri" w:cs="Calibri"/>
          <w:noProof/>
        </w:rPr>
        <w:t>, (38), 1184–1187. Retrieved from https://elibrary.ru/item.asp?id=9468822</w:t>
      </w:r>
    </w:p>
    <w:p w14:paraId="5083C184"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O’Connor, S. R., Tully, M. A., Ryan, B., Bleakley, C. M., Baxter, G. D., Bradley, J. M., &amp; McDonough, S. M. (2015). Walking exercise for chronic musculoskeletal pain: Systematic review and meta-analysis. </w:t>
      </w:r>
      <w:r w:rsidRPr="00AD49AF">
        <w:rPr>
          <w:rFonts w:ascii="Calibri" w:hAnsi="Calibri" w:cs="Calibri"/>
          <w:i/>
          <w:iCs/>
          <w:noProof/>
        </w:rPr>
        <w:t>Archives of Physical Medicine and Rehabilitation</w:t>
      </w:r>
      <w:r w:rsidRPr="00AD49AF">
        <w:rPr>
          <w:rFonts w:ascii="Calibri" w:hAnsi="Calibri" w:cs="Calibri"/>
          <w:noProof/>
        </w:rPr>
        <w:t xml:space="preserve">, </w:t>
      </w:r>
      <w:r w:rsidRPr="00AD49AF">
        <w:rPr>
          <w:rFonts w:ascii="Calibri" w:hAnsi="Calibri" w:cs="Calibri"/>
          <w:i/>
          <w:iCs/>
          <w:noProof/>
        </w:rPr>
        <w:t>96</w:t>
      </w:r>
      <w:r w:rsidRPr="00AD49AF">
        <w:rPr>
          <w:rFonts w:ascii="Calibri" w:hAnsi="Calibri" w:cs="Calibri"/>
          <w:noProof/>
        </w:rPr>
        <w:t>(4), 724–734.E3. https://doi.org/10.1016/j.apmr.2014.12.003</w:t>
      </w:r>
    </w:p>
    <w:p w14:paraId="69A3CBD4"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Patel, N. R., Chew-Graham, C., Bundy, C., Kennedy, A., Blickem, C., &amp; Reeves, D. (2015). Illness beliefs and the sociocultural context of diabetes self-management in British South Asians: A mixed methods study. </w:t>
      </w:r>
      <w:r w:rsidRPr="00AD49AF">
        <w:rPr>
          <w:rFonts w:ascii="Calibri" w:hAnsi="Calibri" w:cs="Calibri"/>
          <w:i/>
          <w:iCs/>
          <w:noProof/>
        </w:rPr>
        <w:t>BMC Family Practice</w:t>
      </w:r>
      <w:r w:rsidRPr="00AD49AF">
        <w:rPr>
          <w:rFonts w:ascii="Calibri" w:hAnsi="Calibri" w:cs="Calibri"/>
          <w:noProof/>
        </w:rPr>
        <w:t xml:space="preserve">, </w:t>
      </w:r>
      <w:r w:rsidRPr="00AD49AF">
        <w:rPr>
          <w:rFonts w:ascii="Calibri" w:hAnsi="Calibri" w:cs="Calibri"/>
          <w:i/>
          <w:iCs/>
          <w:noProof/>
        </w:rPr>
        <w:t>16</w:t>
      </w:r>
      <w:r w:rsidRPr="00AD49AF">
        <w:rPr>
          <w:rFonts w:ascii="Calibri" w:hAnsi="Calibri" w:cs="Calibri"/>
          <w:noProof/>
        </w:rPr>
        <w:t>(1), 1–12. https://doi.org/10.1186/s12875-015-0269-y</w:t>
      </w:r>
    </w:p>
    <w:p w14:paraId="4BCF6CEA"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Patel, S., Peacock, S. M., McKinley, R. K., Clark-Carter, D., &amp; Watson, P. J. (2009). GPs’ perceptions of the service needs of South Asian people with chronic pain: A qualitative enquiry. </w:t>
      </w:r>
      <w:r w:rsidRPr="00AD49AF">
        <w:rPr>
          <w:rFonts w:ascii="Calibri" w:hAnsi="Calibri" w:cs="Calibri"/>
          <w:i/>
          <w:iCs/>
          <w:noProof/>
        </w:rPr>
        <w:t>Journal of Health Psychology</w:t>
      </w:r>
      <w:r w:rsidRPr="00AD49AF">
        <w:rPr>
          <w:rFonts w:ascii="Calibri" w:hAnsi="Calibri" w:cs="Calibri"/>
          <w:noProof/>
        </w:rPr>
        <w:t xml:space="preserve">, </w:t>
      </w:r>
      <w:r w:rsidRPr="00AD49AF">
        <w:rPr>
          <w:rFonts w:ascii="Calibri" w:hAnsi="Calibri" w:cs="Calibri"/>
          <w:i/>
          <w:iCs/>
          <w:noProof/>
        </w:rPr>
        <w:t>14</w:t>
      </w:r>
      <w:r w:rsidRPr="00AD49AF">
        <w:rPr>
          <w:rFonts w:ascii="Calibri" w:hAnsi="Calibri" w:cs="Calibri"/>
          <w:noProof/>
        </w:rPr>
        <w:t>(7), 909–918. https://doi.org/10.1177/1359105309341003</w:t>
      </w:r>
    </w:p>
    <w:p w14:paraId="6F92323C"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lastRenderedPageBreak/>
        <w:t xml:space="preserve">Pieh, C., Altmeppen, J., Neumeier, S., Loew, T., Angerer, M., &amp; Lahmann, C. (2012). Gender differences in outcomes of a multimodal pain management program. </w:t>
      </w:r>
      <w:r w:rsidRPr="00AD49AF">
        <w:rPr>
          <w:rFonts w:ascii="Calibri" w:hAnsi="Calibri" w:cs="Calibri"/>
          <w:i/>
          <w:iCs/>
          <w:noProof/>
        </w:rPr>
        <w:t>Pain</w:t>
      </w:r>
      <w:r w:rsidRPr="00AD49AF">
        <w:rPr>
          <w:rFonts w:ascii="Calibri" w:hAnsi="Calibri" w:cs="Calibri"/>
          <w:noProof/>
        </w:rPr>
        <w:t xml:space="preserve">, </w:t>
      </w:r>
      <w:r w:rsidRPr="00AD49AF">
        <w:rPr>
          <w:rFonts w:ascii="Calibri" w:hAnsi="Calibri" w:cs="Calibri"/>
          <w:i/>
          <w:iCs/>
          <w:noProof/>
        </w:rPr>
        <w:t>153</w:t>
      </w:r>
      <w:r w:rsidRPr="00AD49AF">
        <w:rPr>
          <w:rFonts w:ascii="Calibri" w:hAnsi="Calibri" w:cs="Calibri"/>
          <w:noProof/>
        </w:rPr>
        <w:t>(1), 197–202.</w:t>
      </w:r>
    </w:p>
    <w:p w14:paraId="569E10D8"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Pieroni, A., Sheikh, Q. Z., Ali, W., &amp; Torry, B. (2008). Traditional medicines used by Pakistani migrants from Mirpur living in Bradford, Northern England. </w:t>
      </w:r>
      <w:r w:rsidRPr="00AD49AF">
        <w:rPr>
          <w:rFonts w:ascii="Calibri" w:hAnsi="Calibri" w:cs="Calibri"/>
          <w:i/>
          <w:iCs/>
          <w:noProof/>
        </w:rPr>
        <w:t>Complementary Therapies in Medicine</w:t>
      </w:r>
      <w:r w:rsidRPr="00AD49AF">
        <w:rPr>
          <w:rFonts w:ascii="Calibri" w:hAnsi="Calibri" w:cs="Calibri"/>
          <w:noProof/>
        </w:rPr>
        <w:t xml:space="preserve">, </w:t>
      </w:r>
      <w:r w:rsidRPr="00AD49AF">
        <w:rPr>
          <w:rFonts w:ascii="Calibri" w:hAnsi="Calibri" w:cs="Calibri"/>
          <w:i/>
          <w:iCs/>
          <w:noProof/>
        </w:rPr>
        <w:t>16</w:t>
      </w:r>
      <w:r w:rsidRPr="00AD49AF">
        <w:rPr>
          <w:rFonts w:ascii="Calibri" w:hAnsi="Calibri" w:cs="Calibri"/>
          <w:noProof/>
        </w:rPr>
        <w:t>(2), 81–86. https://doi.org/10.1016/j.ctim.2007.03.005</w:t>
      </w:r>
    </w:p>
    <w:p w14:paraId="08F921C9"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Polley, M., Bertotti, M., Kimberlee, R., Pilkington, K., &amp; Refsum, C. (2017). A review of the evidence assessing impact of social prescribing on healthcare demand and cost implications. </w:t>
      </w:r>
      <w:r w:rsidRPr="00AD49AF">
        <w:rPr>
          <w:rFonts w:ascii="Calibri" w:hAnsi="Calibri" w:cs="Calibri"/>
          <w:i/>
          <w:iCs/>
          <w:noProof/>
        </w:rPr>
        <w:t>University of Westminster</w:t>
      </w:r>
      <w:r w:rsidRPr="00AD49AF">
        <w:rPr>
          <w:rFonts w:ascii="Calibri" w:hAnsi="Calibri" w:cs="Calibri"/>
          <w:noProof/>
        </w:rPr>
        <w:t>, (June), 8. https://doi.org/10.1038/nn0204-95</w:t>
      </w:r>
    </w:p>
    <w:p w14:paraId="5891E466"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Public Health England. (2017). </w:t>
      </w:r>
      <w:r w:rsidRPr="00AD49AF">
        <w:rPr>
          <w:rFonts w:ascii="Calibri" w:hAnsi="Calibri" w:cs="Calibri"/>
          <w:i/>
          <w:iCs/>
          <w:noProof/>
        </w:rPr>
        <w:t>Health Profile for England: 2017: Inequality in Health</w:t>
      </w:r>
      <w:r w:rsidRPr="00AD49AF">
        <w:rPr>
          <w:rFonts w:ascii="Calibri" w:hAnsi="Calibri" w:cs="Calibri"/>
          <w:noProof/>
        </w:rPr>
        <w:t>. London, UK. Retrieved from https://www.gov.uk/government/publications/health-profile-for-england</w:t>
      </w:r>
    </w:p>
    <w:p w14:paraId="6FF408B9"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Quay, T. A. W., Frimer, L., Janssen, P. A., &amp; Lamers, Y. (2017). Barriers and facilitators to recruitment of South Asians to health research : a scoping review, 1–14. https://doi.org/10.1136/bmjopen-2016-014889</w:t>
      </w:r>
    </w:p>
    <w:p w14:paraId="7FFFA215"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Rashid, S., Copello, A., &amp; Birchwood, M. (2012). Muslim faith healers’ views on substance misuse and psychosis. </w:t>
      </w:r>
      <w:r w:rsidRPr="00AD49AF">
        <w:rPr>
          <w:rFonts w:ascii="Calibri" w:hAnsi="Calibri" w:cs="Calibri"/>
          <w:i/>
          <w:iCs/>
          <w:noProof/>
        </w:rPr>
        <w:t>Mental Health, Religion &amp; Culture</w:t>
      </w:r>
      <w:r w:rsidRPr="00AD49AF">
        <w:rPr>
          <w:rFonts w:ascii="Calibri" w:hAnsi="Calibri" w:cs="Calibri"/>
          <w:noProof/>
        </w:rPr>
        <w:t xml:space="preserve">, </w:t>
      </w:r>
      <w:r w:rsidRPr="00AD49AF">
        <w:rPr>
          <w:rFonts w:ascii="Calibri" w:hAnsi="Calibri" w:cs="Calibri"/>
          <w:i/>
          <w:iCs/>
          <w:noProof/>
        </w:rPr>
        <w:t>15</w:t>
      </w:r>
      <w:r w:rsidRPr="00AD49AF">
        <w:rPr>
          <w:rFonts w:ascii="Calibri" w:hAnsi="Calibri" w:cs="Calibri"/>
          <w:noProof/>
        </w:rPr>
        <w:t>(6), 653–673. Retrieved from doi: 10.1080/13674676.2011.613072</w:t>
      </w:r>
    </w:p>
    <w:p w14:paraId="0CF9E9A8"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Rhodes, P. J., Small, N., Ismail, H., &amp; Wright, J. P. (2008). The use of biomedicine, complementary and alternative medicine, and ethnomedicine for the treatment of epilepsy among people of South Asian origin in the UK. </w:t>
      </w:r>
      <w:r w:rsidRPr="00AD49AF">
        <w:rPr>
          <w:rFonts w:ascii="Calibri" w:hAnsi="Calibri" w:cs="Calibri"/>
          <w:i/>
          <w:iCs/>
          <w:noProof/>
        </w:rPr>
        <w:t>BMC Complementary and Alternative Medicine</w:t>
      </w:r>
      <w:r w:rsidRPr="00AD49AF">
        <w:rPr>
          <w:rFonts w:ascii="Calibri" w:hAnsi="Calibri" w:cs="Calibri"/>
          <w:noProof/>
        </w:rPr>
        <w:t xml:space="preserve">, </w:t>
      </w:r>
      <w:r w:rsidRPr="00AD49AF">
        <w:rPr>
          <w:rFonts w:ascii="Calibri" w:hAnsi="Calibri" w:cs="Calibri"/>
          <w:i/>
          <w:iCs/>
          <w:noProof/>
        </w:rPr>
        <w:t>8</w:t>
      </w:r>
      <w:r w:rsidRPr="00AD49AF">
        <w:rPr>
          <w:rFonts w:ascii="Calibri" w:hAnsi="Calibri" w:cs="Calibri"/>
          <w:noProof/>
        </w:rPr>
        <w:t>(1), 1–14. https://doi.org/10.1186/1472-6882-8-7</w:t>
      </w:r>
    </w:p>
    <w:p w14:paraId="6A858667"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Sadler, R. G., Lee, H.-C., Lim, R. S.-H., &amp; Fullerton, J. (2010). Recruiting hard-to-reach United States population sub-groups via adaptations of snowball sampling strategy. </w:t>
      </w:r>
      <w:r w:rsidRPr="00AD49AF">
        <w:rPr>
          <w:rFonts w:ascii="Calibri" w:hAnsi="Calibri" w:cs="Calibri"/>
          <w:i/>
          <w:iCs/>
          <w:noProof/>
        </w:rPr>
        <w:t>Nursing and Health Sciences</w:t>
      </w:r>
      <w:r w:rsidRPr="00AD49AF">
        <w:rPr>
          <w:rFonts w:ascii="Calibri" w:hAnsi="Calibri" w:cs="Calibri"/>
          <w:noProof/>
        </w:rPr>
        <w:t xml:space="preserve">, </w:t>
      </w:r>
      <w:r w:rsidRPr="00AD49AF">
        <w:rPr>
          <w:rFonts w:ascii="Calibri" w:hAnsi="Calibri" w:cs="Calibri"/>
          <w:i/>
          <w:iCs/>
          <w:noProof/>
        </w:rPr>
        <w:t>12</w:t>
      </w:r>
      <w:r w:rsidRPr="00AD49AF">
        <w:rPr>
          <w:rFonts w:ascii="Calibri" w:hAnsi="Calibri" w:cs="Calibri"/>
          <w:noProof/>
        </w:rPr>
        <w:t>, 369–374.</w:t>
      </w:r>
    </w:p>
    <w:p w14:paraId="1F821C59"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Samulowitz, A., Gremyr, I., Eriksson, E., &amp; Hensing, G. (2018). “ Brave Men ” and “ Emotional Women ”: A Theory-Guided Literature Review on Gender Bias in Health Care and Gendered Norms towards Patients with Chronic Pain. https://doi.org/10.1155/2018/6358624</w:t>
      </w:r>
    </w:p>
    <w:p w14:paraId="5D8650A1"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Shoiab, M., Sherlock, R., Ali, R. B., Suleman, A., &amp; Arshad, M. (2016). A language specific and culturally adapted pain management programme. </w:t>
      </w:r>
      <w:r w:rsidRPr="00AD49AF">
        <w:rPr>
          <w:rFonts w:ascii="Calibri" w:hAnsi="Calibri" w:cs="Calibri"/>
          <w:i/>
          <w:iCs/>
          <w:noProof/>
        </w:rPr>
        <w:t>Physiotherapy</w:t>
      </w:r>
      <w:r w:rsidRPr="00AD49AF">
        <w:rPr>
          <w:rFonts w:ascii="Calibri" w:hAnsi="Calibri" w:cs="Calibri"/>
          <w:noProof/>
        </w:rPr>
        <w:t xml:space="preserve">, </w:t>
      </w:r>
      <w:r w:rsidRPr="00AD49AF">
        <w:rPr>
          <w:rFonts w:ascii="Calibri" w:hAnsi="Calibri" w:cs="Calibri"/>
          <w:i/>
          <w:iCs/>
          <w:noProof/>
        </w:rPr>
        <w:t>102</w:t>
      </w:r>
      <w:r w:rsidRPr="00AD49AF">
        <w:rPr>
          <w:rFonts w:ascii="Calibri" w:hAnsi="Calibri" w:cs="Calibri"/>
          <w:noProof/>
        </w:rPr>
        <w:t>, e197–e198. https://doi.org/10.1016/j.physio.2016.10.240</w:t>
      </w:r>
    </w:p>
    <w:p w14:paraId="04D02994"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Soars, J. J. F., Sundin, O., &amp; Grossi, G. (2004). The stress of musculoskeletal pain: A comparison between primary care patients in various ages, </w:t>
      </w:r>
      <w:r w:rsidRPr="00AD49AF">
        <w:rPr>
          <w:rFonts w:ascii="Calibri" w:hAnsi="Calibri" w:cs="Calibri"/>
          <w:i/>
          <w:iCs/>
          <w:noProof/>
        </w:rPr>
        <w:t>56</w:t>
      </w:r>
      <w:r w:rsidRPr="00AD49AF">
        <w:rPr>
          <w:rFonts w:ascii="Calibri" w:hAnsi="Calibri" w:cs="Calibri"/>
          <w:noProof/>
        </w:rPr>
        <w:t>, 297–305. https://doi.org/10.1016/S0022-3999(03)00078-3</w:t>
      </w:r>
    </w:p>
    <w:p w14:paraId="40D7B442"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South, J., Higgins, T. J., Woodall, J., &amp; White, S. M. (2008). Can social prescribing provide the missing link? </w:t>
      </w:r>
      <w:r w:rsidRPr="00AD49AF">
        <w:rPr>
          <w:rFonts w:ascii="Calibri" w:hAnsi="Calibri" w:cs="Calibri"/>
          <w:i/>
          <w:iCs/>
          <w:noProof/>
        </w:rPr>
        <w:t>Primary Health Care Research and Development</w:t>
      </w:r>
      <w:r w:rsidRPr="00AD49AF">
        <w:rPr>
          <w:rFonts w:ascii="Calibri" w:hAnsi="Calibri" w:cs="Calibri"/>
          <w:noProof/>
        </w:rPr>
        <w:t xml:space="preserve">, </w:t>
      </w:r>
      <w:r w:rsidRPr="00AD49AF">
        <w:rPr>
          <w:rFonts w:ascii="Calibri" w:hAnsi="Calibri" w:cs="Calibri"/>
          <w:i/>
          <w:iCs/>
          <w:noProof/>
        </w:rPr>
        <w:t>9</w:t>
      </w:r>
      <w:r w:rsidRPr="00AD49AF">
        <w:rPr>
          <w:rFonts w:ascii="Calibri" w:hAnsi="Calibri" w:cs="Calibri"/>
          <w:noProof/>
        </w:rPr>
        <w:t>(4), 310–318. https://doi.org/10.1017/S146342360800087X</w:t>
      </w:r>
    </w:p>
    <w:p w14:paraId="2E2B293C"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Stainton Rogers, W., &amp; Stainton Rogers, R. (1997). Does critical psychology mean the end of </w:t>
      </w:r>
      <w:r w:rsidRPr="00AD49AF">
        <w:rPr>
          <w:rFonts w:ascii="Calibri" w:hAnsi="Calibri" w:cs="Calibri"/>
          <w:noProof/>
        </w:rPr>
        <w:lastRenderedPageBreak/>
        <w:t xml:space="preserve">the world? In T. Ibanez &amp; L. Iniguez (Eds.), </w:t>
      </w:r>
      <w:r w:rsidRPr="00AD49AF">
        <w:rPr>
          <w:rFonts w:ascii="Calibri" w:hAnsi="Calibri" w:cs="Calibri"/>
          <w:i/>
          <w:iCs/>
          <w:noProof/>
        </w:rPr>
        <w:t>Critical Social Psychology</w:t>
      </w:r>
      <w:r w:rsidRPr="00AD49AF">
        <w:rPr>
          <w:rFonts w:ascii="Calibri" w:hAnsi="Calibri" w:cs="Calibri"/>
          <w:noProof/>
        </w:rPr>
        <w:t xml:space="preserve"> (pp. 67–82). London: Sage.</w:t>
      </w:r>
    </w:p>
    <w:p w14:paraId="48D9B3CB"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Surood, S., &amp; Lai, D. W. L. (2010). Impact of culture on use of Western health services by older South Asian Canadians. </w:t>
      </w:r>
      <w:r w:rsidRPr="00AD49AF">
        <w:rPr>
          <w:rFonts w:ascii="Calibri" w:hAnsi="Calibri" w:cs="Calibri"/>
          <w:i/>
          <w:iCs/>
          <w:noProof/>
        </w:rPr>
        <w:t>Canadian Journal of Public Health</w:t>
      </w:r>
      <w:r w:rsidRPr="00AD49AF">
        <w:rPr>
          <w:rFonts w:ascii="Calibri" w:hAnsi="Calibri" w:cs="Calibri"/>
          <w:noProof/>
        </w:rPr>
        <w:t xml:space="preserve">, </w:t>
      </w:r>
      <w:r w:rsidRPr="00AD49AF">
        <w:rPr>
          <w:rFonts w:ascii="Calibri" w:hAnsi="Calibri" w:cs="Calibri"/>
          <w:i/>
          <w:iCs/>
          <w:noProof/>
        </w:rPr>
        <w:t>101</w:t>
      </w:r>
      <w:r w:rsidRPr="00AD49AF">
        <w:rPr>
          <w:rFonts w:ascii="Calibri" w:hAnsi="Calibri" w:cs="Calibri"/>
          <w:noProof/>
        </w:rPr>
        <w:t>(2), 176–180.</w:t>
      </w:r>
    </w:p>
    <w:p w14:paraId="62D35A25"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The British Pain Society. (2013). </w:t>
      </w:r>
      <w:r w:rsidRPr="00AD49AF">
        <w:rPr>
          <w:rFonts w:ascii="Calibri" w:hAnsi="Calibri" w:cs="Calibri"/>
          <w:i/>
          <w:iCs/>
          <w:noProof/>
        </w:rPr>
        <w:t>The British Pain Society Guidelines for Pain Management Programmes for adults</w:t>
      </w:r>
      <w:r w:rsidRPr="00AD49AF">
        <w:rPr>
          <w:rFonts w:ascii="Calibri" w:hAnsi="Calibri" w:cs="Calibri"/>
          <w:noProof/>
        </w:rPr>
        <w:t>. London, UK.</w:t>
      </w:r>
    </w:p>
    <w:p w14:paraId="613630C1"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University of Westminster. (2016). </w:t>
      </w:r>
      <w:r w:rsidRPr="00AD49AF">
        <w:rPr>
          <w:rFonts w:ascii="Calibri" w:hAnsi="Calibri" w:cs="Calibri"/>
          <w:i/>
          <w:iCs/>
          <w:noProof/>
        </w:rPr>
        <w:t>Report of the annual social prescribing network conference</w:t>
      </w:r>
      <w:r w:rsidRPr="00AD49AF">
        <w:rPr>
          <w:rFonts w:ascii="Calibri" w:hAnsi="Calibri" w:cs="Calibri"/>
          <w:noProof/>
        </w:rPr>
        <w:t>. London, UK. Retrieved from https://www.westminster.ac.uk/file/57446/download</w:t>
      </w:r>
    </w:p>
    <w:p w14:paraId="76F94ADB"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Wellington, J. (2014). Noninvasive and alternative management of chronic low back pain (efficacy and outcomes). </w:t>
      </w:r>
      <w:r w:rsidRPr="00AD49AF">
        <w:rPr>
          <w:rFonts w:ascii="Calibri" w:hAnsi="Calibri" w:cs="Calibri"/>
          <w:i/>
          <w:iCs/>
          <w:noProof/>
        </w:rPr>
        <w:t>Neuromodulation</w:t>
      </w:r>
      <w:r w:rsidRPr="00AD49AF">
        <w:rPr>
          <w:rFonts w:ascii="Calibri" w:hAnsi="Calibri" w:cs="Calibri"/>
          <w:noProof/>
        </w:rPr>
        <w:t xml:space="preserve">, </w:t>
      </w:r>
      <w:r w:rsidRPr="00AD49AF">
        <w:rPr>
          <w:rFonts w:ascii="Calibri" w:hAnsi="Calibri" w:cs="Calibri"/>
          <w:i/>
          <w:iCs/>
          <w:noProof/>
        </w:rPr>
        <w:t>17</w:t>
      </w:r>
      <w:r w:rsidRPr="00AD49AF">
        <w:rPr>
          <w:rFonts w:ascii="Calibri" w:hAnsi="Calibri" w:cs="Calibri"/>
          <w:noProof/>
        </w:rPr>
        <w:t>(S2), 24–30. https://doi.org/10.1111/ner.12078</w:t>
      </w:r>
    </w:p>
    <w:p w14:paraId="54B99F3B"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Williams, K., Ph, D., Abildso, C., Ph, D., Steinberg, L., Ph, D., … Cooper, L. (2009). Evaluation of the effectiveness and efficacy of Iyengar Yoga Therapy on Chronic Low Back Pain. </w:t>
      </w:r>
      <w:r w:rsidRPr="00AD49AF">
        <w:rPr>
          <w:rFonts w:ascii="Calibri" w:hAnsi="Calibri" w:cs="Calibri"/>
          <w:i/>
          <w:iCs/>
          <w:noProof/>
        </w:rPr>
        <w:t>Spine</w:t>
      </w:r>
      <w:r w:rsidRPr="00AD49AF">
        <w:rPr>
          <w:rFonts w:ascii="Calibri" w:hAnsi="Calibri" w:cs="Calibri"/>
          <w:noProof/>
        </w:rPr>
        <w:t xml:space="preserve">, </w:t>
      </w:r>
      <w:r w:rsidRPr="00AD49AF">
        <w:rPr>
          <w:rFonts w:ascii="Calibri" w:hAnsi="Calibri" w:cs="Calibri"/>
          <w:i/>
          <w:iCs/>
          <w:noProof/>
        </w:rPr>
        <w:t>34</w:t>
      </w:r>
      <w:r w:rsidRPr="00AD49AF">
        <w:rPr>
          <w:rFonts w:ascii="Calibri" w:hAnsi="Calibri" w:cs="Calibri"/>
          <w:noProof/>
        </w:rPr>
        <w:t>(1), 2066–2076. https://doi.org/10.1097/BRS.0b013e3181b315cc.Evaluation</w:t>
      </w:r>
    </w:p>
    <w:p w14:paraId="701E7505" w14:textId="77777777" w:rsidR="005A1289" w:rsidRPr="00AD49AF" w:rsidRDefault="005A1289" w:rsidP="005A1289">
      <w:pPr>
        <w:widowControl w:val="0"/>
        <w:autoSpaceDE w:val="0"/>
        <w:autoSpaceDN w:val="0"/>
        <w:adjustRightInd w:val="0"/>
        <w:spacing w:line="240" w:lineRule="auto"/>
        <w:ind w:left="480" w:hanging="480"/>
        <w:rPr>
          <w:rFonts w:ascii="Calibri" w:hAnsi="Calibri" w:cs="Calibri"/>
          <w:noProof/>
        </w:rPr>
      </w:pPr>
      <w:r w:rsidRPr="00AD49AF">
        <w:rPr>
          <w:rFonts w:ascii="Calibri" w:hAnsi="Calibri" w:cs="Calibri"/>
          <w:noProof/>
        </w:rPr>
        <w:t xml:space="preserve">Yarley, L. (2000). Dilemmas in qualitative health research. </w:t>
      </w:r>
      <w:r w:rsidRPr="00AD49AF">
        <w:rPr>
          <w:rFonts w:ascii="Calibri" w:hAnsi="Calibri" w:cs="Calibri"/>
          <w:i/>
          <w:iCs/>
          <w:noProof/>
        </w:rPr>
        <w:t>Psychology &amp; Health</w:t>
      </w:r>
      <w:r w:rsidRPr="00AD49AF">
        <w:rPr>
          <w:rFonts w:ascii="Calibri" w:hAnsi="Calibri" w:cs="Calibri"/>
          <w:noProof/>
        </w:rPr>
        <w:t xml:space="preserve">, </w:t>
      </w:r>
      <w:r w:rsidRPr="00AD49AF">
        <w:rPr>
          <w:rFonts w:ascii="Calibri" w:hAnsi="Calibri" w:cs="Calibri"/>
          <w:i/>
          <w:iCs/>
          <w:noProof/>
        </w:rPr>
        <w:t>15</w:t>
      </w:r>
      <w:r w:rsidRPr="00AD49AF">
        <w:rPr>
          <w:rFonts w:ascii="Calibri" w:hAnsi="Calibri" w:cs="Calibri"/>
          <w:noProof/>
        </w:rPr>
        <w:t>(2), 215–228. https://doi.org/10.1080/08870440008400302</w:t>
      </w:r>
    </w:p>
    <w:p w14:paraId="39208B60" w14:textId="77777777" w:rsidR="000A5220" w:rsidRPr="00AD49AF" w:rsidRDefault="004D69EC" w:rsidP="00110FD0">
      <w:pPr>
        <w:sectPr w:rsidR="000A5220" w:rsidRPr="00AD49AF" w:rsidSect="000A5220">
          <w:footerReference w:type="default" r:id="rId8"/>
          <w:pgSz w:w="11900" w:h="16840"/>
          <w:pgMar w:top="1440" w:right="1440" w:bottom="1440" w:left="1440" w:header="708" w:footer="708" w:gutter="0"/>
          <w:cols w:space="720"/>
          <w:docGrid w:linePitch="326"/>
        </w:sectPr>
      </w:pPr>
      <w:r w:rsidRPr="00AD49AF">
        <w:fldChar w:fldCharType="end"/>
      </w:r>
    </w:p>
    <w:p w14:paraId="662FBB28" w14:textId="6EF3C03C" w:rsidR="00110FD0" w:rsidRPr="00AD49AF" w:rsidRDefault="00110FD0" w:rsidP="00110FD0">
      <w:pPr>
        <w:pStyle w:val="Caption"/>
        <w:keepNext/>
        <w:rPr>
          <w:color w:val="auto"/>
        </w:rPr>
      </w:pPr>
      <w:r w:rsidRPr="00AD49AF">
        <w:rPr>
          <w:color w:val="auto"/>
        </w:rPr>
        <w:lastRenderedPageBreak/>
        <w:t xml:space="preserve">Table </w:t>
      </w:r>
      <w:r w:rsidRPr="00AD49AF">
        <w:rPr>
          <w:color w:val="auto"/>
        </w:rPr>
        <w:fldChar w:fldCharType="begin"/>
      </w:r>
      <w:r w:rsidRPr="00AD49AF">
        <w:rPr>
          <w:color w:val="auto"/>
        </w:rPr>
        <w:instrText xml:space="preserve"> SEQ Table \* ARABIC </w:instrText>
      </w:r>
      <w:r w:rsidRPr="00AD49AF">
        <w:rPr>
          <w:color w:val="auto"/>
        </w:rPr>
        <w:fldChar w:fldCharType="separate"/>
      </w:r>
      <w:r w:rsidRPr="00AD49AF">
        <w:rPr>
          <w:noProof/>
          <w:color w:val="auto"/>
        </w:rPr>
        <w:t>1</w:t>
      </w:r>
      <w:r w:rsidRPr="00AD49AF">
        <w:rPr>
          <w:color w:val="auto"/>
        </w:rPr>
        <w:fldChar w:fldCharType="end"/>
      </w:r>
      <w:r w:rsidRPr="00AD49AF">
        <w:rPr>
          <w:color w:val="auto"/>
        </w:rPr>
        <w:t>: Interview schedule and rationale for questions asked</w:t>
      </w:r>
    </w:p>
    <w:tbl>
      <w:tblPr>
        <w:tblW w:w="0" w:type="auto"/>
        <w:tblLook w:val="00A0" w:firstRow="1" w:lastRow="0" w:firstColumn="1" w:lastColumn="0" w:noHBand="0" w:noVBand="0"/>
      </w:tblPr>
      <w:tblGrid>
        <w:gridCol w:w="4669"/>
        <w:gridCol w:w="4638"/>
        <w:gridCol w:w="4643"/>
      </w:tblGrid>
      <w:tr w:rsidR="00AD49AF" w:rsidRPr="00AD49AF" w14:paraId="256EF763" w14:textId="77777777" w:rsidTr="00110FD0">
        <w:tc>
          <w:tcPr>
            <w:tcW w:w="4669" w:type="dxa"/>
            <w:tcBorders>
              <w:top w:val="single" w:sz="4" w:space="0" w:color="000000"/>
              <w:bottom w:val="single" w:sz="4" w:space="0" w:color="000000"/>
            </w:tcBorders>
          </w:tcPr>
          <w:p w14:paraId="42EC598F" w14:textId="77777777" w:rsidR="00110FD0" w:rsidRPr="00AD49AF" w:rsidRDefault="00110FD0" w:rsidP="006761F7">
            <w:pPr>
              <w:spacing w:after="0" w:line="240" w:lineRule="auto"/>
              <w:rPr>
                <w:b/>
              </w:rPr>
            </w:pPr>
            <w:r w:rsidRPr="00AD49AF">
              <w:rPr>
                <w:b/>
              </w:rPr>
              <w:t xml:space="preserve">Question </w:t>
            </w:r>
          </w:p>
        </w:tc>
        <w:tc>
          <w:tcPr>
            <w:tcW w:w="4638" w:type="dxa"/>
            <w:tcBorders>
              <w:top w:val="single" w:sz="4" w:space="0" w:color="000000"/>
              <w:bottom w:val="single" w:sz="4" w:space="0" w:color="000000"/>
            </w:tcBorders>
          </w:tcPr>
          <w:p w14:paraId="0034AC14" w14:textId="77777777" w:rsidR="00110FD0" w:rsidRPr="00AD49AF" w:rsidRDefault="00110FD0" w:rsidP="006761F7">
            <w:pPr>
              <w:spacing w:after="0" w:line="240" w:lineRule="auto"/>
              <w:rPr>
                <w:b/>
              </w:rPr>
            </w:pPr>
            <w:r w:rsidRPr="00AD49AF">
              <w:rPr>
                <w:b/>
              </w:rPr>
              <w:t>Rationale for asking for the question</w:t>
            </w:r>
          </w:p>
        </w:tc>
        <w:tc>
          <w:tcPr>
            <w:tcW w:w="4643" w:type="dxa"/>
            <w:tcBorders>
              <w:top w:val="single" w:sz="4" w:space="0" w:color="000000"/>
              <w:bottom w:val="single" w:sz="4" w:space="0" w:color="000000"/>
            </w:tcBorders>
          </w:tcPr>
          <w:p w14:paraId="7FBA3422" w14:textId="77777777" w:rsidR="00110FD0" w:rsidRPr="00AD49AF" w:rsidRDefault="00110FD0" w:rsidP="006761F7">
            <w:pPr>
              <w:spacing w:after="0" w:line="240" w:lineRule="auto"/>
              <w:rPr>
                <w:b/>
              </w:rPr>
            </w:pPr>
            <w:r w:rsidRPr="00AD49AF">
              <w:rPr>
                <w:b/>
              </w:rPr>
              <w:t>Prompt</w:t>
            </w:r>
          </w:p>
        </w:tc>
      </w:tr>
      <w:tr w:rsidR="00AD49AF" w:rsidRPr="00AD49AF" w14:paraId="4014BF12" w14:textId="77777777" w:rsidTr="00110FD0">
        <w:tc>
          <w:tcPr>
            <w:tcW w:w="4669" w:type="dxa"/>
            <w:tcBorders>
              <w:top w:val="single" w:sz="4" w:space="0" w:color="000000"/>
              <w:bottom w:val="single" w:sz="4" w:space="0" w:color="000000"/>
            </w:tcBorders>
          </w:tcPr>
          <w:p w14:paraId="45513904" w14:textId="77777777" w:rsidR="00110FD0" w:rsidRPr="00AD49AF" w:rsidRDefault="00110FD0" w:rsidP="006761F7">
            <w:pPr>
              <w:spacing w:after="0" w:line="240" w:lineRule="auto"/>
              <w:rPr>
                <w:b/>
              </w:rPr>
            </w:pPr>
            <w:r w:rsidRPr="00AD49AF">
              <w:rPr>
                <w:b/>
              </w:rPr>
              <w:t>Pain History</w:t>
            </w:r>
          </w:p>
          <w:p w14:paraId="58052AFD" w14:textId="77777777" w:rsidR="00110FD0" w:rsidRPr="00AD49AF" w:rsidRDefault="00110FD0" w:rsidP="006761F7">
            <w:pPr>
              <w:spacing w:after="0" w:line="240" w:lineRule="auto"/>
            </w:pPr>
            <w:r w:rsidRPr="00AD49AF">
              <w:t xml:space="preserve">Have you ever experienced chronic pain (pain which has persisted for 6 weeks or more)? </w:t>
            </w:r>
          </w:p>
          <w:p w14:paraId="594F1243" w14:textId="77777777" w:rsidR="00110FD0" w:rsidRPr="00AD49AF" w:rsidRDefault="00110FD0" w:rsidP="006761F7">
            <w:pPr>
              <w:spacing w:after="0" w:line="240" w:lineRule="auto"/>
            </w:pPr>
            <w:r w:rsidRPr="00AD49AF">
              <w:t xml:space="preserve">If yes, </w:t>
            </w:r>
          </w:p>
          <w:p w14:paraId="497C72D3" w14:textId="77777777" w:rsidR="00110FD0" w:rsidRPr="00AD49AF" w:rsidRDefault="00110FD0" w:rsidP="006761F7">
            <w:pPr>
              <w:spacing w:after="0" w:line="240" w:lineRule="auto"/>
            </w:pPr>
            <w:r w:rsidRPr="00AD49AF">
              <w:t>Have you ever attended a pain management programme? Or had any other treatment(s) for chronic pain?</w:t>
            </w:r>
          </w:p>
        </w:tc>
        <w:tc>
          <w:tcPr>
            <w:tcW w:w="4638" w:type="dxa"/>
            <w:tcBorders>
              <w:top w:val="single" w:sz="4" w:space="0" w:color="000000"/>
              <w:bottom w:val="single" w:sz="4" w:space="0" w:color="000000"/>
            </w:tcBorders>
          </w:tcPr>
          <w:p w14:paraId="464DE45D" w14:textId="77777777" w:rsidR="00110FD0" w:rsidRPr="00AD49AF" w:rsidRDefault="00110FD0" w:rsidP="006761F7">
            <w:pPr>
              <w:spacing w:after="0" w:line="240" w:lineRule="auto"/>
            </w:pPr>
            <w:r w:rsidRPr="00AD49AF">
              <w:t>Provide context about the participant</w:t>
            </w:r>
          </w:p>
        </w:tc>
        <w:tc>
          <w:tcPr>
            <w:tcW w:w="4643" w:type="dxa"/>
            <w:tcBorders>
              <w:top w:val="single" w:sz="4" w:space="0" w:color="000000"/>
              <w:bottom w:val="single" w:sz="4" w:space="0" w:color="000000"/>
            </w:tcBorders>
          </w:tcPr>
          <w:p w14:paraId="353EAA37" w14:textId="77777777" w:rsidR="00110FD0" w:rsidRPr="00AD49AF" w:rsidRDefault="00110FD0" w:rsidP="006761F7">
            <w:pPr>
              <w:spacing w:after="0" w:line="240" w:lineRule="auto"/>
            </w:pPr>
            <w:r w:rsidRPr="00AD49AF">
              <w:t>N/A</w:t>
            </w:r>
          </w:p>
        </w:tc>
      </w:tr>
      <w:tr w:rsidR="00AD49AF" w:rsidRPr="00AD49AF" w14:paraId="201429E7" w14:textId="77777777" w:rsidTr="00110FD0">
        <w:tc>
          <w:tcPr>
            <w:tcW w:w="4669" w:type="dxa"/>
            <w:tcBorders>
              <w:top w:val="single" w:sz="4" w:space="0" w:color="000000"/>
              <w:bottom w:val="single" w:sz="4" w:space="0" w:color="000000"/>
            </w:tcBorders>
          </w:tcPr>
          <w:p w14:paraId="76F2ED21" w14:textId="77777777" w:rsidR="00110FD0" w:rsidRPr="00AD49AF" w:rsidRDefault="00110FD0" w:rsidP="006761F7">
            <w:pPr>
              <w:spacing w:after="0" w:line="240" w:lineRule="auto"/>
            </w:pPr>
            <w:r w:rsidRPr="00AD49AF">
              <w:t>Can you describe the last time you were in pain? What was the situation?</w:t>
            </w:r>
          </w:p>
          <w:p w14:paraId="607FF1CA" w14:textId="77777777" w:rsidR="00110FD0" w:rsidRPr="00AD49AF" w:rsidRDefault="00110FD0" w:rsidP="006761F7">
            <w:pPr>
              <w:spacing w:after="0" w:line="240" w:lineRule="auto"/>
            </w:pPr>
            <w:r w:rsidRPr="00AD49AF">
              <w:t>What did the pain feel like?</w:t>
            </w:r>
          </w:p>
          <w:p w14:paraId="3D00F69D" w14:textId="659D907F" w:rsidR="00110FD0" w:rsidRPr="00AD49AF" w:rsidRDefault="00110FD0" w:rsidP="00110FD0">
            <w:pPr>
              <w:spacing w:after="0" w:line="240" w:lineRule="auto"/>
            </w:pPr>
            <w:r w:rsidRPr="00AD49AF">
              <w:t>Describe what chronic pain feels like (if relevant)</w:t>
            </w:r>
          </w:p>
        </w:tc>
        <w:tc>
          <w:tcPr>
            <w:tcW w:w="4638" w:type="dxa"/>
            <w:tcBorders>
              <w:top w:val="single" w:sz="4" w:space="0" w:color="000000"/>
              <w:bottom w:val="single" w:sz="4" w:space="0" w:color="000000"/>
            </w:tcBorders>
          </w:tcPr>
          <w:p w14:paraId="6901B415" w14:textId="77777777" w:rsidR="00110FD0" w:rsidRPr="00AD49AF" w:rsidRDefault="00110FD0" w:rsidP="006761F7">
            <w:pPr>
              <w:autoSpaceDE w:val="0"/>
              <w:autoSpaceDN w:val="0"/>
              <w:adjustRightInd w:val="0"/>
              <w:spacing w:after="0" w:line="240" w:lineRule="auto"/>
              <w:rPr>
                <w:rFonts w:cs="Universal-NewswithCommPi"/>
              </w:rPr>
            </w:pPr>
            <w:r w:rsidRPr="00AD49AF">
              <w:rPr>
                <w:rFonts w:cs="Universal-NewswithCommPi"/>
              </w:rPr>
              <w:t>Ascertain the language used by participants to describe pain.</w:t>
            </w:r>
          </w:p>
        </w:tc>
        <w:tc>
          <w:tcPr>
            <w:tcW w:w="4643" w:type="dxa"/>
            <w:tcBorders>
              <w:top w:val="single" w:sz="4" w:space="0" w:color="000000"/>
              <w:bottom w:val="single" w:sz="4" w:space="0" w:color="000000"/>
            </w:tcBorders>
          </w:tcPr>
          <w:p w14:paraId="01667BAD" w14:textId="77777777" w:rsidR="00110FD0" w:rsidRPr="00AD49AF" w:rsidRDefault="00110FD0" w:rsidP="006761F7">
            <w:pPr>
              <w:spacing w:after="0" w:line="240" w:lineRule="auto"/>
            </w:pPr>
            <w:r w:rsidRPr="00AD49AF">
              <w:t>What does pain feel like? What does it look like? Sound like?</w:t>
            </w:r>
          </w:p>
          <w:p w14:paraId="53A33A7E" w14:textId="77777777" w:rsidR="00110FD0" w:rsidRPr="00AD49AF" w:rsidRDefault="00110FD0" w:rsidP="006761F7">
            <w:pPr>
              <w:autoSpaceDE w:val="0"/>
              <w:autoSpaceDN w:val="0"/>
              <w:adjustRightInd w:val="0"/>
              <w:spacing w:after="0" w:line="240" w:lineRule="auto"/>
              <w:rPr>
                <w:rFonts w:cs="Times-Roman"/>
              </w:rPr>
            </w:pPr>
            <w:r w:rsidRPr="00AD49AF">
              <w:rPr>
                <w:rFonts w:cs="Times-Roman"/>
              </w:rPr>
              <w:t>What does pain mean for your body?</w:t>
            </w:r>
          </w:p>
          <w:p w14:paraId="3807D8C7" w14:textId="77777777" w:rsidR="00110FD0" w:rsidRPr="00AD49AF" w:rsidRDefault="00110FD0" w:rsidP="006761F7">
            <w:pPr>
              <w:spacing w:after="0" w:line="240" w:lineRule="auto"/>
            </w:pPr>
          </w:p>
        </w:tc>
      </w:tr>
      <w:tr w:rsidR="00AD49AF" w:rsidRPr="00AD49AF" w14:paraId="149462EE" w14:textId="77777777" w:rsidTr="00110FD0">
        <w:tc>
          <w:tcPr>
            <w:tcW w:w="4669" w:type="dxa"/>
            <w:tcBorders>
              <w:top w:val="single" w:sz="4" w:space="0" w:color="000000"/>
            </w:tcBorders>
          </w:tcPr>
          <w:p w14:paraId="40985411" w14:textId="77777777" w:rsidR="00110FD0" w:rsidRPr="00AD49AF" w:rsidRDefault="00110FD0" w:rsidP="006761F7">
            <w:pPr>
              <w:spacing w:after="0" w:line="240" w:lineRule="auto"/>
            </w:pPr>
            <w:r w:rsidRPr="00AD49AF">
              <w:t>What do you normally do when you experience pain?</w:t>
            </w:r>
          </w:p>
          <w:p w14:paraId="2EDDDF27" w14:textId="77777777" w:rsidR="00110FD0" w:rsidRPr="00AD49AF" w:rsidRDefault="00110FD0" w:rsidP="006761F7">
            <w:pPr>
              <w:spacing w:after="0" w:line="240" w:lineRule="auto"/>
            </w:pPr>
            <w:proofErr w:type="gramStart"/>
            <w:r w:rsidRPr="00AD49AF">
              <w:t>Would  you</w:t>
            </w:r>
            <w:proofErr w:type="gramEnd"/>
            <w:r w:rsidRPr="00AD49AF">
              <w:t xml:space="preserve"> do the same if your pain lasted for more than 6 weeks ?</w:t>
            </w:r>
          </w:p>
          <w:p w14:paraId="10C69FE1" w14:textId="77777777" w:rsidR="00110FD0" w:rsidRPr="00AD49AF" w:rsidRDefault="00110FD0" w:rsidP="006761F7">
            <w:pPr>
              <w:spacing w:after="0" w:line="240" w:lineRule="auto"/>
            </w:pPr>
            <w:r w:rsidRPr="00AD49AF">
              <w:t>Would you continue doing the same if you were told that there was no cure for your pain?</w:t>
            </w:r>
          </w:p>
          <w:p w14:paraId="52688047" w14:textId="4DB084D1" w:rsidR="00110FD0" w:rsidRPr="00AD49AF" w:rsidRDefault="00110FD0" w:rsidP="00110FD0">
            <w:pPr>
              <w:spacing w:after="0" w:line="240" w:lineRule="auto"/>
            </w:pPr>
            <w:r w:rsidRPr="00AD49AF">
              <w:t>Would other people in your community do the same?</w:t>
            </w:r>
          </w:p>
        </w:tc>
        <w:tc>
          <w:tcPr>
            <w:tcW w:w="4638" w:type="dxa"/>
            <w:tcBorders>
              <w:top w:val="single" w:sz="4" w:space="0" w:color="000000"/>
            </w:tcBorders>
          </w:tcPr>
          <w:p w14:paraId="0E0DFB76" w14:textId="77777777" w:rsidR="00110FD0" w:rsidRPr="00AD49AF" w:rsidRDefault="00110FD0" w:rsidP="006761F7">
            <w:pPr>
              <w:autoSpaceDE w:val="0"/>
              <w:autoSpaceDN w:val="0"/>
              <w:adjustRightInd w:val="0"/>
              <w:spacing w:after="0" w:line="240" w:lineRule="auto"/>
            </w:pPr>
            <w:r w:rsidRPr="00AD49AF">
              <w:rPr>
                <w:rFonts w:cs="Universal-NewswithCommPi"/>
              </w:rPr>
              <w:t>Establish the participants own experiences of pain and what they do when they are in pain. Explore whether their own experiences fit with what they perceive other people in their community would do.</w:t>
            </w:r>
          </w:p>
          <w:p w14:paraId="4974A546" w14:textId="77777777" w:rsidR="00110FD0" w:rsidRPr="00AD49AF" w:rsidRDefault="00110FD0" w:rsidP="006761F7">
            <w:pPr>
              <w:autoSpaceDE w:val="0"/>
              <w:autoSpaceDN w:val="0"/>
              <w:adjustRightInd w:val="0"/>
              <w:spacing w:after="0" w:line="240" w:lineRule="auto"/>
            </w:pPr>
          </w:p>
          <w:p w14:paraId="1AF54C3E" w14:textId="77777777" w:rsidR="00110FD0" w:rsidRPr="00AD49AF" w:rsidRDefault="00110FD0" w:rsidP="006761F7">
            <w:pPr>
              <w:spacing w:after="0" w:line="240" w:lineRule="auto"/>
            </w:pPr>
          </w:p>
        </w:tc>
        <w:tc>
          <w:tcPr>
            <w:tcW w:w="4643" w:type="dxa"/>
            <w:tcBorders>
              <w:top w:val="single" w:sz="4" w:space="0" w:color="000000"/>
            </w:tcBorders>
          </w:tcPr>
          <w:p w14:paraId="4F7AA9E2" w14:textId="77777777" w:rsidR="00110FD0" w:rsidRPr="00AD49AF" w:rsidRDefault="00110FD0" w:rsidP="006761F7">
            <w:pPr>
              <w:spacing w:after="0" w:line="240" w:lineRule="auto"/>
            </w:pPr>
            <w:r w:rsidRPr="00AD49AF">
              <w:t>What are the biggest problems you experience when you are in pain?</w:t>
            </w:r>
          </w:p>
          <w:p w14:paraId="2FD42842" w14:textId="77777777" w:rsidR="00110FD0" w:rsidRPr="00AD49AF" w:rsidRDefault="00110FD0" w:rsidP="006761F7">
            <w:pPr>
              <w:spacing w:after="0" w:line="240" w:lineRule="auto"/>
            </w:pPr>
            <w:r w:rsidRPr="00AD49AF">
              <w:t>Do you do anything to try and relieve the pain?</w:t>
            </w:r>
          </w:p>
          <w:p w14:paraId="791927B1" w14:textId="77777777" w:rsidR="00110FD0" w:rsidRPr="00AD49AF" w:rsidRDefault="00110FD0" w:rsidP="006761F7">
            <w:pPr>
              <w:spacing w:after="0" w:line="240" w:lineRule="auto"/>
            </w:pPr>
            <w:r w:rsidRPr="00AD49AF">
              <w:t>Do you talk to anyone about your pain?</w:t>
            </w:r>
          </w:p>
          <w:p w14:paraId="5514A896" w14:textId="77777777" w:rsidR="00110FD0" w:rsidRPr="00AD49AF" w:rsidRDefault="00110FD0" w:rsidP="006761F7">
            <w:pPr>
              <w:spacing w:after="0" w:line="240" w:lineRule="auto"/>
            </w:pPr>
            <w:r w:rsidRPr="00AD49AF">
              <w:t>If you were experiencing pain would you ask for help?</w:t>
            </w:r>
          </w:p>
        </w:tc>
      </w:tr>
      <w:tr w:rsidR="00AD49AF" w:rsidRPr="00AD49AF" w14:paraId="51BC8C17" w14:textId="77777777" w:rsidTr="00110FD0">
        <w:tc>
          <w:tcPr>
            <w:tcW w:w="4669" w:type="dxa"/>
            <w:tcBorders>
              <w:bottom w:val="single" w:sz="4" w:space="0" w:color="000000"/>
            </w:tcBorders>
          </w:tcPr>
          <w:p w14:paraId="1BA3EF2C" w14:textId="77777777" w:rsidR="00110FD0" w:rsidRPr="00AD49AF" w:rsidRDefault="00110FD0" w:rsidP="006761F7">
            <w:pPr>
              <w:spacing w:after="0" w:line="240" w:lineRule="auto"/>
            </w:pPr>
            <w:r w:rsidRPr="00AD49AF">
              <w:lastRenderedPageBreak/>
              <w:t>How do you know when someone in your community is experiencing pain?</w:t>
            </w:r>
          </w:p>
          <w:p w14:paraId="7B1B32FD" w14:textId="77777777" w:rsidR="00110FD0" w:rsidRPr="00AD49AF" w:rsidRDefault="00110FD0" w:rsidP="006761F7">
            <w:pPr>
              <w:spacing w:after="0" w:line="240" w:lineRule="auto"/>
            </w:pPr>
            <w:r w:rsidRPr="00AD49AF">
              <w:t xml:space="preserve"> Is there a certain way that people should act in your community when they are in pain?</w:t>
            </w:r>
          </w:p>
        </w:tc>
        <w:tc>
          <w:tcPr>
            <w:tcW w:w="4638" w:type="dxa"/>
            <w:tcBorders>
              <w:bottom w:val="single" w:sz="4" w:space="0" w:color="000000"/>
            </w:tcBorders>
          </w:tcPr>
          <w:p w14:paraId="5D80031A" w14:textId="77777777" w:rsidR="00110FD0" w:rsidRPr="00AD49AF" w:rsidRDefault="00110FD0" w:rsidP="006761F7">
            <w:pPr>
              <w:autoSpaceDE w:val="0"/>
              <w:autoSpaceDN w:val="0"/>
              <w:adjustRightInd w:val="0"/>
              <w:spacing w:after="0" w:line="240" w:lineRule="auto"/>
            </w:pPr>
            <w:r w:rsidRPr="00AD49AF">
              <w:rPr>
                <w:rFonts w:cs="Universal-NewswithCommPi"/>
              </w:rPr>
              <w:t>Explore how culturally acceptable the expression of pain is.</w:t>
            </w:r>
          </w:p>
          <w:p w14:paraId="1303EB91" w14:textId="77777777" w:rsidR="00110FD0" w:rsidRPr="00AD49AF" w:rsidRDefault="00110FD0" w:rsidP="006761F7">
            <w:pPr>
              <w:spacing w:after="0" w:line="240" w:lineRule="auto"/>
            </w:pPr>
          </w:p>
        </w:tc>
        <w:tc>
          <w:tcPr>
            <w:tcW w:w="4643" w:type="dxa"/>
            <w:tcBorders>
              <w:bottom w:val="single" w:sz="4" w:space="0" w:color="000000"/>
            </w:tcBorders>
          </w:tcPr>
          <w:p w14:paraId="1870DB77" w14:textId="77777777" w:rsidR="00110FD0" w:rsidRPr="00AD49AF" w:rsidRDefault="00110FD0" w:rsidP="006761F7">
            <w:pPr>
              <w:spacing w:after="0" w:line="240" w:lineRule="auto"/>
            </w:pPr>
            <w:r w:rsidRPr="00AD49AF">
              <w:t>When you experience pain what do you do?</w:t>
            </w:r>
          </w:p>
          <w:p w14:paraId="3CA02A24" w14:textId="77777777" w:rsidR="00110FD0" w:rsidRPr="00AD49AF" w:rsidRDefault="00110FD0" w:rsidP="006761F7">
            <w:pPr>
              <w:autoSpaceDE w:val="0"/>
              <w:autoSpaceDN w:val="0"/>
              <w:adjustRightInd w:val="0"/>
              <w:spacing w:after="0" w:line="240" w:lineRule="auto"/>
              <w:rPr>
                <w:rFonts w:cs="Times-Roman"/>
              </w:rPr>
            </w:pPr>
            <w:r w:rsidRPr="00AD49AF">
              <w:rPr>
                <w:rFonts w:cs="Times-Roman"/>
              </w:rPr>
              <w:t>Is it OK to show pain? Would you tell people that you were in pain?</w:t>
            </w:r>
          </w:p>
          <w:p w14:paraId="677D6C9C" w14:textId="77777777" w:rsidR="00110FD0" w:rsidRPr="00AD49AF" w:rsidRDefault="00110FD0" w:rsidP="006761F7">
            <w:pPr>
              <w:spacing w:after="0" w:line="240" w:lineRule="auto"/>
            </w:pPr>
            <w:r w:rsidRPr="00AD49AF">
              <w:t>How would you react to someone who was expressing their pain (verbally, in their body movements etc.)? – What about if a child is in pain?</w:t>
            </w:r>
          </w:p>
        </w:tc>
      </w:tr>
      <w:tr w:rsidR="00AD49AF" w:rsidRPr="00AD49AF" w14:paraId="61477514" w14:textId="77777777" w:rsidTr="00110FD0">
        <w:tc>
          <w:tcPr>
            <w:tcW w:w="4669" w:type="dxa"/>
            <w:tcBorders>
              <w:top w:val="single" w:sz="4" w:space="0" w:color="000000"/>
            </w:tcBorders>
          </w:tcPr>
          <w:p w14:paraId="49572C04" w14:textId="77777777" w:rsidR="00110FD0" w:rsidRPr="00AD49AF" w:rsidRDefault="00110FD0" w:rsidP="006761F7">
            <w:pPr>
              <w:spacing w:after="0" w:line="240" w:lineRule="auto"/>
            </w:pPr>
            <w:r w:rsidRPr="00AD49AF">
              <w:t>How do you think chronic pain should be treated?</w:t>
            </w:r>
          </w:p>
          <w:p w14:paraId="3040713E" w14:textId="77777777" w:rsidR="00110FD0" w:rsidRPr="00AD49AF" w:rsidRDefault="00110FD0" w:rsidP="006761F7">
            <w:pPr>
              <w:spacing w:after="0" w:line="240" w:lineRule="auto"/>
            </w:pPr>
            <w:r w:rsidRPr="00AD49AF">
              <w:t>Do you think that chronic pain can be cured? How?</w:t>
            </w:r>
          </w:p>
          <w:p w14:paraId="7DB20EEA" w14:textId="77777777" w:rsidR="00110FD0" w:rsidRPr="00AD49AF" w:rsidRDefault="00110FD0" w:rsidP="006761F7">
            <w:pPr>
              <w:spacing w:after="0" w:line="240" w:lineRule="auto"/>
              <w:rPr>
                <w:b/>
              </w:rPr>
            </w:pPr>
            <w:r w:rsidRPr="00AD49AF">
              <w:rPr>
                <w:b/>
              </w:rPr>
              <w:t>Religion</w:t>
            </w:r>
          </w:p>
          <w:p w14:paraId="34EC37AC" w14:textId="77777777" w:rsidR="00110FD0" w:rsidRPr="00AD49AF" w:rsidRDefault="00110FD0" w:rsidP="006761F7">
            <w:pPr>
              <w:spacing w:after="0" w:line="240" w:lineRule="auto"/>
            </w:pPr>
            <w:r w:rsidRPr="00AD49AF">
              <w:t>In your religion, does it say anything about pain and how it should be treated or managed?</w:t>
            </w:r>
          </w:p>
          <w:p w14:paraId="2F2A2E5E" w14:textId="77777777" w:rsidR="00110FD0" w:rsidRPr="00AD49AF" w:rsidRDefault="00110FD0" w:rsidP="006761F7">
            <w:pPr>
              <w:spacing w:after="0" w:line="240" w:lineRule="auto"/>
            </w:pPr>
            <w:r w:rsidRPr="00AD49AF">
              <w:t>Do people who live in your community seek any help from religious leaders for their pain? Who? Where?</w:t>
            </w:r>
          </w:p>
          <w:p w14:paraId="713C1012" w14:textId="77777777" w:rsidR="00110FD0" w:rsidRPr="00AD49AF" w:rsidRDefault="00110FD0" w:rsidP="006761F7">
            <w:pPr>
              <w:spacing w:after="0" w:line="240" w:lineRule="auto"/>
              <w:rPr>
                <w:b/>
              </w:rPr>
            </w:pPr>
            <w:r w:rsidRPr="00AD49AF">
              <w:rPr>
                <w:b/>
              </w:rPr>
              <w:t xml:space="preserve">Self-management </w:t>
            </w:r>
          </w:p>
          <w:p w14:paraId="28417E79" w14:textId="77777777" w:rsidR="00110FD0" w:rsidRPr="00AD49AF" w:rsidRDefault="00110FD0" w:rsidP="006761F7">
            <w:pPr>
              <w:spacing w:after="0" w:line="240" w:lineRule="auto"/>
            </w:pPr>
            <w:r w:rsidRPr="00AD49AF">
              <w:t>What do you understand about self-managing pain?</w:t>
            </w:r>
          </w:p>
          <w:p w14:paraId="0506CD76" w14:textId="77777777" w:rsidR="00110FD0" w:rsidRPr="00AD49AF" w:rsidRDefault="00110FD0" w:rsidP="006761F7">
            <w:pPr>
              <w:spacing w:after="0" w:line="240" w:lineRule="auto"/>
            </w:pPr>
            <w:r w:rsidRPr="00AD49AF">
              <w:t xml:space="preserve"> Is there anything you think the person with pain themselves can do to help manage it?</w:t>
            </w:r>
          </w:p>
          <w:p w14:paraId="7104C8C2" w14:textId="77777777" w:rsidR="00110FD0" w:rsidRPr="00AD49AF" w:rsidRDefault="00110FD0" w:rsidP="006761F7">
            <w:pPr>
              <w:spacing w:after="0" w:line="240" w:lineRule="auto"/>
            </w:pPr>
          </w:p>
        </w:tc>
        <w:tc>
          <w:tcPr>
            <w:tcW w:w="4638" w:type="dxa"/>
            <w:tcBorders>
              <w:top w:val="single" w:sz="4" w:space="0" w:color="000000"/>
            </w:tcBorders>
          </w:tcPr>
          <w:p w14:paraId="5F96B0B6" w14:textId="77777777" w:rsidR="00110FD0" w:rsidRPr="00AD49AF" w:rsidRDefault="00110FD0" w:rsidP="006761F7">
            <w:pPr>
              <w:spacing w:after="0" w:line="240" w:lineRule="auto"/>
            </w:pPr>
            <w:r w:rsidRPr="00AD49AF">
              <w:t>Explore the participants’ beliefs and attitudes about how pain should be treated/ managed.</w:t>
            </w:r>
          </w:p>
        </w:tc>
        <w:tc>
          <w:tcPr>
            <w:tcW w:w="4643" w:type="dxa"/>
            <w:tcBorders>
              <w:top w:val="single" w:sz="4" w:space="0" w:color="000000"/>
            </w:tcBorders>
          </w:tcPr>
          <w:p w14:paraId="3306283C" w14:textId="77777777" w:rsidR="00110FD0" w:rsidRPr="00AD49AF" w:rsidRDefault="00110FD0" w:rsidP="006761F7">
            <w:pPr>
              <w:spacing w:after="0" w:line="240" w:lineRule="auto"/>
            </w:pPr>
            <w:r w:rsidRPr="00AD49AF">
              <w:t>What is effective when you are experiencing pain?</w:t>
            </w:r>
          </w:p>
          <w:p w14:paraId="0E4251C7" w14:textId="77777777" w:rsidR="00110FD0" w:rsidRPr="00AD49AF" w:rsidRDefault="00110FD0" w:rsidP="006761F7">
            <w:pPr>
              <w:spacing w:after="0" w:line="240" w:lineRule="auto"/>
            </w:pPr>
            <w:r w:rsidRPr="00AD49AF">
              <w:t>Should people take medications to treat their pain?</w:t>
            </w:r>
          </w:p>
          <w:p w14:paraId="2147F9D0" w14:textId="77777777" w:rsidR="00110FD0" w:rsidRPr="00AD49AF" w:rsidRDefault="00110FD0" w:rsidP="006761F7">
            <w:pPr>
              <w:spacing w:after="0" w:line="240" w:lineRule="auto"/>
            </w:pPr>
            <w:r w:rsidRPr="00AD49AF">
              <w:t>Is there anything people can do to manage chronic pain?</w:t>
            </w:r>
          </w:p>
        </w:tc>
      </w:tr>
      <w:tr w:rsidR="00AD49AF" w:rsidRPr="00AD49AF" w14:paraId="3050EB8F" w14:textId="77777777" w:rsidTr="00110FD0">
        <w:tc>
          <w:tcPr>
            <w:tcW w:w="4669" w:type="dxa"/>
            <w:tcBorders>
              <w:bottom w:val="single" w:sz="4" w:space="0" w:color="000000"/>
            </w:tcBorders>
          </w:tcPr>
          <w:p w14:paraId="0D637C46" w14:textId="77777777" w:rsidR="00110FD0" w:rsidRPr="00AD49AF" w:rsidRDefault="00110FD0" w:rsidP="006761F7">
            <w:pPr>
              <w:spacing w:after="0" w:line="240" w:lineRule="auto"/>
            </w:pPr>
            <w:r w:rsidRPr="00AD49AF">
              <w:lastRenderedPageBreak/>
              <w:t>Health care professionals often advise to do regular physical activity to manage chronic pain - how easily could you fit this into your current day-to-day life?</w:t>
            </w:r>
          </w:p>
          <w:p w14:paraId="60EDD937" w14:textId="77777777" w:rsidR="00110FD0" w:rsidRPr="00AD49AF" w:rsidRDefault="00110FD0" w:rsidP="006761F7">
            <w:pPr>
              <w:spacing w:after="0" w:line="240" w:lineRule="auto"/>
            </w:pPr>
            <w:r w:rsidRPr="00AD49AF">
              <w:t xml:space="preserve">What about for other people generally in your community? Would they be able to fit physical activity / exercise into their daily lifestyles? If </w:t>
            </w:r>
            <w:proofErr w:type="gramStart"/>
            <w:r w:rsidRPr="00AD49AF">
              <w:t>no</w:t>
            </w:r>
            <w:proofErr w:type="gramEnd"/>
            <w:r w:rsidRPr="00AD49AF">
              <w:t xml:space="preserve"> why not?</w:t>
            </w:r>
          </w:p>
        </w:tc>
        <w:tc>
          <w:tcPr>
            <w:tcW w:w="4638" w:type="dxa"/>
            <w:tcBorders>
              <w:bottom w:val="single" w:sz="4" w:space="0" w:color="000000"/>
            </w:tcBorders>
          </w:tcPr>
          <w:p w14:paraId="1FB2F297" w14:textId="77777777" w:rsidR="00110FD0" w:rsidRPr="00AD49AF" w:rsidRDefault="00110FD0" w:rsidP="006761F7">
            <w:pPr>
              <w:spacing w:after="0" w:line="240" w:lineRule="auto"/>
            </w:pPr>
            <w:r w:rsidRPr="00AD49AF">
              <w:t>Establish whether physical activity is acceptable/ feasible to the participant and their perceptions of the feasibility for other members of the community.</w:t>
            </w:r>
          </w:p>
        </w:tc>
        <w:tc>
          <w:tcPr>
            <w:tcW w:w="4643" w:type="dxa"/>
            <w:tcBorders>
              <w:bottom w:val="single" w:sz="4" w:space="0" w:color="000000"/>
            </w:tcBorders>
          </w:tcPr>
          <w:p w14:paraId="2F115C01" w14:textId="77777777" w:rsidR="00110FD0" w:rsidRPr="00AD49AF" w:rsidRDefault="00110FD0" w:rsidP="006761F7">
            <w:pPr>
              <w:spacing w:after="0" w:line="240" w:lineRule="auto"/>
            </w:pPr>
            <w:r w:rsidRPr="00AD49AF">
              <w:t xml:space="preserve">What difficulties would you have? </w:t>
            </w:r>
          </w:p>
          <w:p w14:paraId="48036156" w14:textId="77777777" w:rsidR="00110FD0" w:rsidRPr="00AD49AF" w:rsidRDefault="00110FD0" w:rsidP="006761F7">
            <w:pPr>
              <w:spacing w:after="0" w:line="240" w:lineRule="auto"/>
            </w:pPr>
            <w:r w:rsidRPr="00AD49AF">
              <w:t>How physically active are you?</w:t>
            </w:r>
          </w:p>
          <w:p w14:paraId="44BA0B51" w14:textId="77777777" w:rsidR="00110FD0" w:rsidRPr="00AD49AF" w:rsidRDefault="00110FD0" w:rsidP="006761F7">
            <w:pPr>
              <w:spacing w:after="0" w:line="240" w:lineRule="auto"/>
            </w:pPr>
            <w:r w:rsidRPr="00AD49AF">
              <w:t>How physically active are other people in your community? How about family members?</w:t>
            </w:r>
          </w:p>
        </w:tc>
      </w:tr>
      <w:tr w:rsidR="00AD49AF" w:rsidRPr="00AD49AF" w14:paraId="71C91900" w14:textId="77777777" w:rsidTr="00110FD0">
        <w:tc>
          <w:tcPr>
            <w:tcW w:w="4669" w:type="dxa"/>
            <w:tcBorders>
              <w:top w:val="single" w:sz="4" w:space="0" w:color="000000"/>
              <w:bottom w:val="single" w:sz="4" w:space="0" w:color="000000"/>
            </w:tcBorders>
          </w:tcPr>
          <w:p w14:paraId="2B698B37" w14:textId="77777777" w:rsidR="00110FD0" w:rsidRPr="00AD49AF" w:rsidRDefault="00110FD0" w:rsidP="006761F7">
            <w:pPr>
              <w:spacing w:after="0" w:line="240" w:lineRule="auto"/>
            </w:pPr>
            <w:r w:rsidRPr="00AD49AF">
              <w:t>Another way that health care professionals advise to manage pain is to do regular relaxation - how easily could you fit this into your current day-to-day life?</w:t>
            </w:r>
          </w:p>
          <w:p w14:paraId="0B0E94A6" w14:textId="77777777" w:rsidR="00110FD0" w:rsidRPr="00AD49AF" w:rsidRDefault="00110FD0" w:rsidP="006761F7">
            <w:pPr>
              <w:spacing w:after="0" w:line="240" w:lineRule="auto"/>
            </w:pPr>
            <w:r w:rsidRPr="00AD49AF">
              <w:t>What about for other people in your community?</w:t>
            </w:r>
          </w:p>
        </w:tc>
        <w:tc>
          <w:tcPr>
            <w:tcW w:w="4638" w:type="dxa"/>
            <w:tcBorders>
              <w:top w:val="single" w:sz="4" w:space="0" w:color="000000"/>
              <w:bottom w:val="single" w:sz="4" w:space="0" w:color="000000"/>
            </w:tcBorders>
          </w:tcPr>
          <w:p w14:paraId="49696BB6" w14:textId="77777777" w:rsidR="00110FD0" w:rsidRPr="00AD49AF" w:rsidRDefault="00110FD0" w:rsidP="006761F7">
            <w:pPr>
              <w:spacing w:after="0" w:line="240" w:lineRule="auto"/>
            </w:pPr>
            <w:r w:rsidRPr="00AD49AF">
              <w:t>Establish whether relaxation is acceptable/ feasible to the participant and their perceptions of the feasibility for other members of the community.</w:t>
            </w:r>
          </w:p>
        </w:tc>
        <w:tc>
          <w:tcPr>
            <w:tcW w:w="4643" w:type="dxa"/>
            <w:tcBorders>
              <w:top w:val="single" w:sz="4" w:space="0" w:color="000000"/>
              <w:bottom w:val="single" w:sz="4" w:space="0" w:color="000000"/>
            </w:tcBorders>
          </w:tcPr>
          <w:p w14:paraId="6C5602ED" w14:textId="77777777" w:rsidR="00110FD0" w:rsidRPr="00AD49AF" w:rsidRDefault="00110FD0" w:rsidP="006761F7">
            <w:pPr>
              <w:spacing w:after="0" w:line="240" w:lineRule="auto"/>
            </w:pPr>
            <w:r w:rsidRPr="00AD49AF">
              <w:t>How do you relax?</w:t>
            </w:r>
          </w:p>
          <w:p w14:paraId="3ABB27D2" w14:textId="77777777" w:rsidR="00110FD0" w:rsidRPr="00AD49AF" w:rsidRDefault="00110FD0" w:rsidP="006761F7">
            <w:pPr>
              <w:spacing w:after="0" w:line="240" w:lineRule="auto"/>
            </w:pPr>
            <w:r w:rsidRPr="00AD49AF">
              <w:t>How often are you able to relax?</w:t>
            </w:r>
          </w:p>
          <w:p w14:paraId="38F38885" w14:textId="77777777" w:rsidR="00110FD0" w:rsidRPr="00AD49AF" w:rsidRDefault="00110FD0" w:rsidP="006761F7">
            <w:pPr>
              <w:spacing w:after="0" w:line="240" w:lineRule="auto"/>
            </w:pPr>
            <w:r w:rsidRPr="00AD49AF">
              <w:t>How about other people in your community? Family?</w:t>
            </w:r>
          </w:p>
        </w:tc>
      </w:tr>
      <w:tr w:rsidR="00AD49AF" w:rsidRPr="00AD49AF" w14:paraId="3AB2E01F" w14:textId="77777777" w:rsidTr="00110FD0">
        <w:tc>
          <w:tcPr>
            <w:tcW w:w="4669" w:type="dxa"/>
            <w:tcBorders>
              <w:top w:val="single" w:sz="4" w:space="0" w:color="000000"/>
              <w:bottom w:val="single" w:sz="4" w:space="0" w:color="000000"/>
            </w:tcBorders>
          </w:tcPr>
          <w:p w14:paraId="4AD1082A" w14:textId="77777777" w:rsidR="00110FD0" w:rsidRPr="00AD49AF" w:rsidRDefault="00110FD0" w:rsidP="006761F7">
            <w:pPr>
              <w:spacing w:after="0" w:line="240" w:lineRule="auto"/>
            </w:pPr>
            <w:r w:rsidRPr="00AD49AF">
              <w:t xml:space="preserve">What do you understand by the term ‘pacing yourself’? </w:t>
            </w:r>
          </w:p>
          <w:p w14:paraId="50331424" w14:textId="77777777" w:rsidR="00110FD0" w:rsidRPr="00AD49AF" w:rsidRDefault="00110FD0" w:rsidP="006761F7">
            <w:pPr>
              <w:spacing w:after="0" w:line="240" w:lineRule="auto"/>
            </w:pPr>
            <w:r w:rsidRPr="00AD49AF">
              <w:t>How easy is it for you to pace your day-to-day activities?</w:t>
            </w:r>
          </w:p>
          <w:p w14:paraId="52987D99" w14:textId="77777777" w:rsidR="00110FD0" w:rsidRPr="00AD49AF" w:rsidRDefault="00110FD0" w:rsidP="006761F7">
            <w:pPr>
              <w:spacing w:after="0" w:line="240" w:lineRule="auto"/>
            </w:pPr>
            <w:r w:rsidRPr="00AD49AF">
              <w:t>What about for other people in your community? Would it be harder for certain members of your community?</w:t>
            </w:r>
          </w:p>
        </w:tc>
        <w:tc>
          <w:tcPr>
            <w:tcW w:w="4638" w:type="dxa"/>
            <w:tcBorders>
              <w:top w:val="single" w:sz="4" w:space="0" w:color="000000"/>
              <w:bottom w:val="single" w:sz="4" w:space="0" w:color="000000"/>
            </w:tcBorders>
          </w:tcPr>
          <w:p w14:paraId="3F172C3A" w14:textId="77777777" w:rsidR="00110FD0" w:rsidRPr="00AD49AF" w:rsidRDefault="00110FD0" w:rsidP="006761F7">
            <w:pPr>
              <w:spacing w:after="0" w:line="240" w:lineRule="auto"/>
            </w:pPr>
            <w:r w:rsidRPr="00AD49AF">
              <w:t>Establish whether ‘pacing’ is understood and whether it is acceptable/ feasible to the participant and their perceptions of the feasibility for other members of the community.</w:t>
            </w:r>
          </w:p>
        </w:tc>
        <w:tc>
          <w:tcPr>
            <w:tcW w:w="4643" w:type="dxa"/>
            <w:tcBorders>
              <w:top w:val="single" w:sz="4" w:space="0" w:color="000000"/>
              <w:bottom w:val="single" w:sz="4" w:space="0" w:color="000000"/>
            </w:tcBorders>
          </w:tcPr>
          <w:p w14:paraId="77087825" w14:textId="77777777" w:rsidR="00110FD0" w:rsidRPr="00AD49AF" w:rsidRDefault="00110FD0" w:rsidP="006761F7">
            <w:pPr>
              <w:spacing w:after="0" w:line="240" w:lineRule="auto"/>
            </w:pPr>
            <w:r w:rsidRPr="00AD49AF">
              <w:t>Do you ever feel like you are doing too much?</w:t>
            </w:r>
          </w:p>
          <w:p w14:paraId="1AF623CC" w14:textId="77777777" w:rsidR="00110FD0" w:rsidRPr="00AD49AF" w:rsidRDefault="00110FD0" w:rsidP="006761F7">
            <w:pPr>
              <w:spacing w:after="0" w:line="240" w:lineRule="auto"/>
            </w:pPr>
            <w:r w:rsidRPr="00AD49AF">
              <w:t>What happens if you do too much?</w:t>
            </w:r>
          </w:p>
          <w:p w14:paraId="6FC8026D" w14:textId="77777777" w:rsidR="00110FD0" w:rsidRPr="00AD49AF" w:rsidRDefault="00110FD0" w:rsidP="006761F7">
            <w:pPr>
              <w:spacing w:after="0" w:line="240" w:lineRule="auto"/>
            </w:pPr>
            <w:r w:rsidRPr="00AD49AF">
              <w:t>Do other people in your community ever do too much?</w:t>
            </w:r>
          </w:p>
          <w:p w14:paraId="67120E13" w14:textId="77777777" w:rsidR="00110FD0" w:rsidRPr="00AD49AF" w:rsidRDefault="00110FD0" w:rsidP="006761F7">
            <w:pPr>
              <w:spacing w:after="0" w:line="240" w:lineRule="auto"/>
            </w:pPr>
            <w:r w:rsidRPr="00AD49AF">
              <w:t>If you needed to do less could you? Would your family understand?</w:t>
            </w:r>
          </w:p>
        </w:tc>
      </w:tr>
    </w:tbl>
    <w:p w14:paraId="2EC839C6" w14:textId="77777777" w:rsidR="00110FD0" w:rsidRPr="00AD49AF" w:rsidRDefault="00110FD0">
      <w:pPr>
        <w:spacing w:before="0" w:after="160" w:line="259" w:lineRule="auto"/>
        <w:sectPr w:rsidR="00110FD0" w:rsidRPr="00AD49AF" w:rsidSect="000A5220">
          <w:pgSz w:w="16840" w:h="11900" w:orient="landscape"/>
          <w:pgMar w:top="1440" w:right="1440" w:bottom="1440" w:left="1440" w:header="708" w:footer="708" w:gutter="0"/>
          <w:cols w:space="720"/>
          <w:docGrid w:linePitch="326"/>
        </w:sectPr>
      </w:pPr>
    </w:p>
    <w:p w14:paraId="3516CB8A" w14:textId="3685E57C" w:rsidR="00E80037" w:rsidRPr="00AD49AF" w:rsidRDefault="00E80037" w:rsidP="00E80037">
      <w:pPr>
        <w:pStyle w:val="Caption"/>
        <w:rPr>
          <w:color w:val="auto"/>
        </w:rPr>
      </w:pPr>
      <w:r w:rsidRPr="00AD49AF">
        <w:rPr>
          <w:color w:val="auto"/>
        </w:rPr>
        <w:lastRenderedPageBreak/>
        <w:t xml:space="preserve">Table </w:t>
      </w:r>
      <w:r w:rsidRPr="00AD49AF">
        <w:rPr>
          <w:noProof/>
          <w:color w:val="auto"/>
        </w:rPr>
        <w:fldChar w:fldCharType="begin"/>
      </w:r>
      <w:r w:rsidRPr="00AD49AF">
        <w:rPr>
          <w:noProof/>
          <w:color w:val="auto"/>
        </w:rPr>
        <w:instrText xml:space="preserve"> SEQ Table \* ARABIC </w:instrText>
      </w:r>
      <w:r w:rsidRPr="00AD49AF">
        <w:rPr>
          <w:noProof/>
          <w:color w:val="auto"/>
        </w:rPr>
        <w:fldChar w:fldCharType="separate"/>
      </w:r>
      <w:r w:rsidR="00110FD0" w:rsidRPr="00AD49AF">
        <w:rPr>
          <w:noProof/>
          <w:color w:val="auto"/>
        </w:rPr>
        <w:t>2</w:t>
      </w:r>
      <w:r w:rsidRPr="00AD49AF">
        <w:rPr>
          <w:noProof/>
          <w:color w:val="auto"/>
        </w:rPr>
        <w:fldChar w:fldCharType="end"/>
      </w:r>
      <w:r w:rsidRPr="00AD49AF">
        <w:rPr>
          <w:color w:val="auto"/>
        </w:rPr>
        <w:t>: Participant characteristics</w:t>
      </w:r>
    </w:p>
    <w:tbl>
      <w:tblPr>
        <w:tblStyle w:val="PlainTable21"/>
        <w:tblW w:w="9214" w:type="dxa"/>
        <w:tblLook w:val="04A0" w:firstRow="1" w:lastRow="0" w:firstColumn="1" w:lastColumn="0" w:noHBand="0" w:noVBand="1"/>
      </w:tblPr>
      <w:tblGrid>
        <w:gridCol w:w="1034"/>
        <w:gridCol w:w="954"/>
        <w:gridCol w:w="597"/>
        <w:gridCol w:w="1350"/>
        <w:gridCol w:w="1411"/>
        <w:gridCol w:w="1437"/>
        <w:gridCol w:w="1080"/>
        <w:gridCol w:w="1351"/>
      </w:tblGrid>
      <w:tr w:rsidR="00AD49AF" w:rsidRPr="00AD49AF" w14:paraId="70A1B318" w14:textId="77777777" w:rsidTr="00E80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8B427A" w14:textId="77777777" w:rsidR="00E80037" w:rsidRPr="00AD49AF" w:rsidRDefault="00E80037" w:rsidP="006A4586">
            <w:r w:rsidRPr="00AD49AF">
              <w:t>Number</w:t>
            </w:r>
          </w:p>
        </w:tc>
        <w:tc>
          <w:tcPr>
            <w:tcW w:w="0" w:type="auto"/>
          </w:tcPr>
          <w:p w14:paraId="678217E3" w14:textId="77777777" w:rsidR="00E80037" w:rsidRPr="00AD49AF" w:rsidRDefault="00E80037" w:rsidP="006A4586">
            <w:pPr>
              <w:cnfStyle w:val="100000000000" w:firstRow="1" w:lastRow="0" w:firstColumn="0" w:lastColumn="0" w:oddVBand="0" w:evenVBand="0" w:oddHBand="0" w:evenHBand="0" w:firstRowFirstColumn="0" w:firstRowLastColumn="0" w:lastRowFirstColumn="0" w:lastRowLastColumn="0"/>
            </w:pPr>
            <w:r w:rsidRPr="00AD49AF">
              <w:t>Gender</w:t>
            </w:r>
          </w:p>
        </w:tc>
        <w:tc>
          <w:tcPr>
            <w:tcW w:w="0" w:type="auto"/>
          </w:tcPr>
          <w:p w14:paraId="04DB49F1" w14:textId="77777777" w:rsidR="00E80037" w:rsidRPr="00AD49AF" w:rsidRDefault="00E80037" w:rsidP="006A4586">
            <w:pPr>
              <w:cnfStyle w:val="100000000000" w:firstRow="1" w:lastRow="0" w:firstColumn="0" w:lastColumn="0" w:oddVBand="0" w:evenVBand="0" w:oddHBand="0" w:evenHBand="0" w:firstRowFirstColumn="0" w:firstRowLastColumn="0" w:lastRowFirstColumn="0" w:lastRowLastColumn="0"/>
            </w:pPr>
            <w:r w:rsidRPr="00AD49AF">
              <w:t>Age</w:t>
            </w:r>
          </w:p>
        </w:tc>
        <w:tc>
          <w:tcPr>
            <w:tcW w:w="0" w:type="auto"/>
          </w:tcPr>
          <w:p w14:paraId="6BB05A4C" w14:textId="77777777" w:rsidR="00E80037" w:rsidRPr="00AD49AF" w:rsidRDefault="00E80037" w:rsidP="006A4586">
            <w:pPr>
              <w:cnfStyle w:val="100000000000" w:firstRow="1" w:lastRow="0" w:firstColumn="0" w:lastColumn="0" w:oddVBand="0" w:evenVBand="0" w:oddHBand="0" w:evenHBand="0" w:firstRowFirstColumn="0" w:firstRowLastColumn="0" w:lastRowFirstColumn="0" w:lastRowLastColumn="0"/>
            </w:pPr>
            <w:r w:rsidRPr="00AD49AF">
              <w:t>Position within the community</w:t>
            </w:r>
          </w:p>
        </w:tc>
        <w:tc>
          <w:tcPr>
            <w:tcW w:w="0" w:type="auto"/>
          </w:tcPr>
          <w:p w14:paraId="6784F4D7" w14:textId="77777777" w:rsidR="00E80037" w:rsidRPr="00AD49AF" w:rsidRDefault="00E80037" w:rsidP="006A4586">
            <w:pPr>
              <w:cnfStyle w:val="100000000000" w:firstRow="1" w:lastRow="0" w:firstColumn="0" w:lastColumn="0" w:oddVBand="0" w:evenVBand="0" w:oddHBand="0" w:evenHBand="0" w:firstRowFirstColumn="0" w:firstRowLastColumn="0" w:lastRowFirstColumn="0" w:lastRowLastColumn="0"/>
            </w:pPr>
            <w:r w:rsidRPr="00AD49AF">
              <w:t>Location</w:t>
            </w:r>
          </w:p>
        </w:tc>
        <w:tc>
          <w:tcPr>
            <w:tcW w:w="0" w:type="auto"/>
          </w:tcPr>
          <w:p w14:paraId="72B1D736" w14:textId="77777777" w:rsidR="00E80037" w:rsidRPr="00AD49AF" w:rsidRDefault="00E80037" w:rsidP="006A4586">
            <w:pPr>
              <w:cnfStyle w:val="100000000000" w:firstRow="1" w:lastRow="0" w:firstColumn="0" w:lastColumn="0" w:oddVBand="0" w:evenVBand="0" w:oddHBand="0" w:evenHBand="0" w:firstRowFirstColumn="0" w:firstRowLastColumn="0" w:lastRowFirstColumn="0" w:lastRowLastColumn="0"/>
            </w:pPr>
            <w:r w:rsidRPr="00AD49AF">
              <w:t>Experienced Chronic pain?</w:t>
            </w:r>
          </w:p>
        </w:tc>
        <w:tc>
          <w:tcPr>
            <w:tcW w:w="0" w:type="auto"/>
          </w:tcPr>
          <w:p w14:paraId="2B9A1D2B" w14:textId="77777777" w:rsidR="00E80037" w:rsidRPr="00AD49AF" w:rsidRDefault="00E80037" w:rsidP="006A4586">
            <w:pPr>
              <w:cnfStyle w:val="100000000000" w:firstRow="1" w:lastRow="0" w:firstColumn="0" w:lastColumn="0" w:oddVBand="0" w:evenVBand="0" w:oddHBand="0" w:evenHBand="0" w:firstRowFirstColumn="0" w:firstRowLastColumn="0" w:lastRowFirstColumn="0" w:lastRowLastColumn="0"/>
            </w:pPr>
            <w:r w:rsidRPr="00AD49AF">
              <w:t>Religion</w:t>
            </w:r>
          </w:p>
        </w:tc>
        <w:tc>
          <w:tcPr>
            <w:tcW w:w="1433" w:type="dxa"/>
          </w:tcPr>
          <w:p w14:paraId="525DB97C" w14:textId="77777777" w:rsidR="00E80037" w:rsidRPr="00AD49AF" w:rsidRDefault="00E80037" w:rsidP="006A4586">
            <w:pPr>
              <w:cnfStyle w:val="100000000000" w:firstRow="1" w:lastRow="0" w:firstColumn="0" w:lastColumn="0" w:oddVBand="0" w:evenVBand="0" w:oddHBand="0" w:evenHBand="0" w:firstRowFirstColumn="0" w:firstRowLastColumn="0" w:lastRowFirstColumn="0" w:lastRowLastColumn="0"/>
            </w:pPr>
            <w:r w:rsidRPr="00AD49AF">
              <w:t>Interview type</w:t>
            </w:r>
          </w:p>
        </w:tc>
      </w:tr>
      <w:tr w:rsidR="00AD49AF" w:rsidRPr="00AD49AF" w14:paraId="10ECEE6F" w14:textId="77777777" w:rsidTr="00E80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6092E3" w14:textId="77777777" w:rsidR="00E80037" w:rsidRPr="00AD49AF" w:rsidRDefault="00E80037" w:rsidP="006A4586">
            <w:r w:rsidRPr="00AD49AF">
              <w:t>1</w:t>
            </w:r>
          </w:p>
        </w:tc>
        <w:tc>
          <w:tcPr>
            <w:tcW w:w="0" w:type="auto"/>
          </w:tcPr>
          <w:p w14:paraId="41EFC8FC"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F</w:t>
            </w:r>
          </w:p>
          <w:p w14:paraId="26FE4011"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p>
        </w:tc>
        <w:tc>
          <w:tcPr>
            <w:tcW w:w="0" w:type="auto"/>
          </w:tcPr>
          <w:p w14:paraId="02ECA1D3"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45</w:t>
            </w:r>
          </w:p>
          <w:p w14:paraId="4B08C05E"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p>
        </w:tc>
        <w:tc>
          <w:tcPr>
            <w:tcW w:w="0" w:type="auto"/>
          </w:tcPr>
          <w:p w14:paraId="29C8B024"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Not stated</w:t>
            </w:r>
          </w:p>
          <w:p w14:paraId="131A2554"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p>
        </w:tc>
        <w:tc>
          <w:tcPr>
            <w:tcW w:w="0" w:type="auto"/>
          </w:tcPr>
          <w:p w14:paraId="6D16CF98"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Birmingham</w:t>
            </w:r>
          </w:p>
        </w:tc>
        <w:tc>
          <w:tcPr>
            <w:tcW w:w="0" w:type="auto"/>
          </w:tcPr>
          <w:p w14:paraId="1F26F062"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No</w:t>
            </w:r>
          </w:p>
        </w:tc>
        <w:tc>
          <w:tcPr>
            <w:tcW w:w="0" w:type="auto"/>
          </w:tcPr>
          <w:p w14:paraId="33E0A450"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Sikh</w:t>
            </w:r>
          </w:p>
        </w:tc>
        <w:tc>
          <w:tcPr>
            <w:tcW w:w="1433" w:type="dxa"/>
          </w:tcPr>
          <w:p w14:paraId="4C0C5A31"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Telephone</w:t>
            </w:r>
          </w:p>
        </w:tc>
      </w:tr>
      <w:tr w:rsidR="00AD49AF" w:rsidRPr="00AD49AF" w14:paraId="46B9803D" w14:textId="77777777" w:rsidTr="00E80037">
        <w:tc>
          <w:tcPr>
            <w:cnfStyle w:val="001000000000" w:firstRow="0" w:lastRow="0" w:firstColumn="1" w:lastColumn="0" w:oddVBand="0" w:evenVBand="0" w:oddHBand="0" w:evenHBand="0" w:firstRowFirstColumn="0" w:firstRowLastColumn="0" w:lastRowFirstColumn="0" w:lastRowLastColumn="0"/>
            <w:tcW w:w="0" w:type="auto"/>
          </w:tcPr>
          <w:p w14:paraId="6C83C9A0" w14:textId="77777777" w:rsidR="00E80037" w:rsidRPr="00AD49AF" w:rsidRDefault="00E80037" w:rsidP="006A4586">
            <w:r w:rsidRPr="00AD49AF">
              <w:t>2</w:t>
            </w:r>
          </w:p>
        </w:tc>
        <w:tc>
          <w:tcPr>
            <w:tcW w:w="0" w:type="auto"/>
          </w:tcPr>
          <w:p w14:paraId="16DAECE6"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F</w:t>
            </w:r>
          </w:p>
        </w:tc>
        <w:tc>
          <w:tcPr>
            <w:tcW w:w="0" w:type="auto"/>
          </w:tcPr>
          <w:p w14:paraId="67BEEB13"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37</w:t>
            </w:r>
          </w:p>
        </w:tc>
        <w:tc>
          <w:tcPr>
            <w:tcW w:w="0" w:type="auto"/>
          </w:tcPr>
          <w:p w14:paraId="224D2899"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Parent</w:t>
            </w:r>
          </w:p>
        </w:tc>
        <w:tc>
          <w:tcPr>
            <w:tcW w:w="0" w:type="auto"/>
          </w:tcPr>
          <w:p w14:paraId="051B3041"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London</w:t>
            </w:r>
          </w:p>
        </w:tc>
        <w:tc>
          <w:tcPr>
            <w:tcW w:w="0" w:type="auto"/>
          </w:tcPr>
          <w:p w14:paraId="7F16E9B4"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No</w:t>
            </w:r>
          </w:p>
        </w:tc>
        <w:tc>
          <w:tcPr>
            <w:tcW w:w="0" w:type="auto"/>
          </w:tcPr>
          <w:p w14:paraId="2D109228"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Hindu</w:t>
            </w:r>
          </w:p>
        </w:tc>
        <w:tc>
          <w:tcPr>
            <w:tcW w:w="1433" w:type="dxa"/>
          </w:tcPr>
          <w:p w14:paraId="6FC3D46E"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 xml:space="preserve">Telephone </w:t>
            </w:r>
          </w:p>
        </w:tc>
      </w:tr>
      <w:tr w:rsidR="00AD49AF" w:rsidRPr="00AD49AF" w14:paraId="79F4A5A8" w14:textId="77777777" w:rsidTr="00E80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797CCD" w14:textId="77777777" w:rsidR="00E80037" w:rsidRPr="00AD49AF" w:rsidRDefault="00E80037" w:rsidP="006A4586">
            <w:r w:rsidRPr="00AD49AF">
              <w:t>3</w:t>
            </w:r>
          </w:p>
        </w:tc>
        <w:tc>
          <w:tcPr>
            <w:tcW w:w="0" w:type="auto"/>
          </w:tcPr>
          <w:p w14:paraId="30B599BE"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F</w:t>
            </w:r>
          </w:p>
        </w:tc>
        <w:tc>
          <w:tcPr>
            <w:tcW w:w="0" w:type="auto"/>
          </w:tcPr>
          <w:p w14:paraId="41D7DCA0"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45</w:t>
            </w:r>
          </w:p>
        </w:tc>
        <w:tc>
          <w:tcPr>
            <w:tcW w:w="0" w:type="auto"/>
          </w:tcPr>
          <w:p w14:paraId="1137AE5C"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Wife</w:t>
            </w:r>
          </w:p>
        </w:tc>
        <w:tc>
          <w:tcPr>
            <w:tcW w:w="0" w:type="auto"/>
          </w:tcPr>
          <w:p w14:paraId="2028B6CC"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Birmingham</w:t>
            </w:r>
          </w:p>
        </w:tc>
        <w:tc>
          <w:tcPr>
            <w:tcW w:w="0" w:type="auto"/>
          </w:tcPr>
          <w:p w14:paraId="54F96C80"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No</w:t>
            </w:r>
          </w:p>
        </w:tc>
        <w:tc>
          <w:tcPr>
            <w:tcW w:w="0" w:type="auto"/>
          </w:tcPr>
          <w:p w14:paraId="7FC453C5"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Christian</w:t>
            </w:r>
          </w:p>
        </w:tc>
        <w:tc>
          <w:tcPr>
            <w:tcW w:w="1433" w:type="dxa"/>
          </w:tcPr>
          <w:p w14:paraId="29CEB4A3"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Telephone</w:t>
            </w:r>
          </w:p>
        </w:tc>
      </w:tr>
      <w:tr w:rsidR="00AD49AF" w:rsidRPr="00AD49AF" w14:paraId="6040D0EF" w14:textId="77777777" w:rsidTr="00E80037">
        <w:tc>
          <w:tcPr>
            <w:cnfStyle w:val="001000000000" w:firstRow="0" w:lastRow="0" w:firstColumn="1" w:lastColumn="0" w:oddVBand="0" w:evenVBand="0" w:oddHBand="0" w:evenHBand="0" w:firstRowFirstColumn="0" w:firstRowLastColumn="0" w:lastRowFirstColumn="0" w:lastRowLastColumn="0"/>
            <w:tcW w:w="0" w:type="auto"/>
          </w:tcPr>
          <w:p w14:paraId="39841312" w14:textId="77777777" w:rsidR="00E80037" w:rsidRPr="00AD49AF" w:rsidRDefault="00E80037" w:rsidP="006A4586">
            <w:r w:rsidRPr="00AD49AF">
              <w:t>4</w:t>
            </w:r>
          </w:p>
        </w:tc>
        <w:tc>
          <w:tcPr>
            <w:tcW w:w="0" w:type="auto"/>
          </w:tcPr>
          <w:p w14:paraId="1ADC68E4"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M</w:t>
            </w:r>
          </w:p>
        </w:tc>
        <w:tc>
          <w:tcPr>
            <w:tcW w:w="0" w:type="auto"/>
          </w:tcPr>
          <w:p w14:paraId="14B0B405"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24</w:t>
            </w:r>
          </w:p>
          <w:p w14:paraId="59F6D857"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p>
        </w:tc>
        <w:tc>
          <w:tcPr>
            <w:tcW w:w="0" w:type="auto"/>
          </w:tcPr>
          <w:p w14:paraId="6DD6681B"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Support worker and a student</w:t>
            </w:r>
          </w:p>
        </w:tc>
        <w:tc>
          <w:tcPr>
            <w:tcW w:w="0" w:type="auto"/>
          </w:tcPr>
          <w:p w14:paraId="5564C03B"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Walsall</w:t>
            </w:r>
          </w:p>
        </w:tc>
        <w:tc>
          <w:tcPr>
            <w:tcW w:w="0" w:type="auto"/>
          </w:tcPr>
          <w:p w14:paraId="152F6AFB"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No</w:t>
            </w:r>
          </w:p>
        </w:tc>
        <w:tc>
          <w:tcPr>
            <w:tcW w:w="0" w:type="auto"/>
          </w:tcPr>
          <w:p w14:paraId="5727E6F7"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Sikh</w:t>
            </w:r>
          </w:p>
        </w:tc>
        <w:tc>
          <w:tcPr>
            <w:tcW w:w="1433" w:type="dxa"/>
          </w:tcPr>
          <w:p w14:paraId="30D46C05"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Telephone</w:t>
            </w:r>
          </w:p>
        </w:tc>
      </w:tr>
      <w:tr w:rsidR="00AD49AF" w:rsidRPr="00AD49AF" w14:paraId="310F65F6" w14:textId="77777777" w:rsidTr="00E80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9C47DA" w14:textId="77777777" w:rsidR="00E80037" w:rsidRPr="00AD49AF" w:rsidRDefault="00E80037" w:rsidP="006A4586">
            <w:r w:rsidRPr="00AD49AF">
              <w:t>5</w:t>
            </w:r>
          </w:p>
        </w:tc>
        <w:tc>
          <w:tcPr>
            <w:tcW w:w="0" w:type="auto"/>
          </w:tcPr>
          <w:p w14:paraId="537D46AB"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M</w:t>
            </w:r>
          </w:p>
        </w:tc>
        <w:tc>
          <w:tcPr>
            <w:tcW w:w="0" w:type="auto"/>
          </w:tcPr>
          <w:p w14:paraId="080CEB1C"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46</w:t>
            </w:r>
          </w:p>
        </w:tc>
        <w:tc>
          <w:tcPr>
            <w:tcW w:w="0" w:type="auto"/>
          </w:tcPr>
          <w:p w14:paraId="72A4549B"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Shop Owner</w:t>
            </w:r>
          </w:p>
        </w:tc>
        <w:tc>
          <w:tcPr>
            <w:tcW w:w="0" w:type="auto"/>
          </w:tcPr>
          <w:p w14:paraId="254EAA6F"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Stafford</w:t>
            </w:r>
          </w:p>
        </w:tc>
        <w:tc>
          <w:tcPr>
            <w:tcW w:w="0" w:type="auto"/>
          </w:tcPr>
          <w:p w14:paraId="55ED1BFF"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No</w:t>
            </w:r>
          </w:p>
        </w:tc>
        <w:tc>
          <w:tcPr>
            <w:tcW w:w="0" w:type="auto"/>
          </w:tcPr>
          <w:p w14:paraId="0457DDE8"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Hindu</w:t>
            </w:r>
          </w:p>
        </w:tc>
        <w:tc>
          <w:tcPr>
            <w:tcW w:w="1433" w:type="dxa"/>
          </w:tcPr>
          <w:p w14:paraId="39E8BFB5"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In person</w:t>
            </w:r>
          </w:p>
        </w:tc>
      </w:tr>
      <w:tr w:rsidR="00AD49AF" w:rsidRPr="00AD49AF" w14:paraId="6500761A" w14:textId="77777777" w:rsidTr="00E80037">
        <w:tc>
          <w:tcPr>
            <w:cnfStyle w:val="001000000000" w:firstRow="0" w:lastRow="0" w:firstColumn="1" w:lastColumn="0" w:oddVBand="0" w:evenVBand="0" w:oddHBand="0" w:evenHBand="0" w:firstRowFirstColumn="0" w:firstRowLastColumn="0" w:lastRowFirstColumn="0" w:lastRowLastColumn="0"/>
            <w:tcW w:w="0" w:type="auto"/>
          </w:tcPr>
          <w:p w14:paraId="36C754BA" w14:textId="77777777" w:rsidR="00E80037" w:rsidRPr="00AD49AF" w:rsidRDefault="00E80037" w:rsidP="006A4586">
            <w:r w:rsidRPr="00AD49AF">
              <w:t>6</w:t>
            </w:r>
          </w:p>
        </w:tc>
        <w:tc>
          <w:tcPr>
            <w:tcW w:w="0" w:type="auto"/>
          </w:tcPr>
          <w:p w14:paraId="180A2C8E"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M</w:t>
            </w:r>
          </w:p>
        </w:tc>
        <w:tc>
          <w:tcPr>
            <w:tcW w:w="0" w:type="auto"/>
          </w:tcPr>
          <w:p w14:paraId="595BF3EA"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22</w:t>
            </w:r>
          </w:p>
        </w:tc>
        <w:tc>
          <w:tcPr>
            <w:tcW w:w="0" w:type="auto"/>
          </w:tcPr>
          <w:p w14:paraId="37A937EB"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Student</w:t>
            </w:r>
          </w:p>
        </w:tc>
        <w:tc>
          <w:tcPr>
            <w:tcW w:w="0" w:type="auto"/>
          </w:tcPr>
          <w:p w14:paraId="71D2F907"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Stafford</w:t>
            </w:r>
          </w:p>
        </w:tc>
        <w:tc>
          <w:tcPr>
            <w:tcW w:w="0" w:type="auto"/>
          </w:tcPr>
          <w:p w14:paraId="45A86665"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No</w:t>
            </w:r>
          </w:p>
        </w:tc>
        <w:tc>
          <w:tcPr>
            <w:tcW w:w="0" w:type="auto"/>
          </w:tcPr>
          <w:p w14:paraId="686D1D69"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Hindu</w:t>
            </w:r>
          </w:p>
        </w:tc>
        <w:tc>
          <w:tcPr>
            <w:tcW w:w="1433" w:type="dxa"/>
          </w:tcPr>
          <w:p w14:paraId="3D0E347D"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In person</w:t>
            </w:r>
          </w:p>
        </w:tc>
      </w:tr>
      <w:tr w:rsidR="00AD49AF" w:rsidRPr="00AD49AF" w14:paraId="74957519" w14:textId="77777777" w:rsidTr="00E80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BFA35A" w14:textId="77777777" w:rsidR="00E80037" w:rsidRPr="00AD49AF" w:rsidRDefault="00E80037" w:rsidP="006A4586">
            <w:r w:rsidRPr="00AD49AF">
              <w:t>7</w:t>
            </w:r>
          </w:p>
        </w:tc>
        <w:tc>
          <w:tcPr>
            <w:tcW w:w="0" w:type="auto"/>
          </w:tcPr>
          <w:p w14:paraId="1BEAA0B8"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F</w:t>
            </w:r>
          </w:p>
        </w:tc>
        <w:tc>
          <w:tcPr>
            <w:tcW w:w="0" w:type="auto"/>
          </w:tcPr>
          <w:p w14:paraId="13247156"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33</w:t>
            </w:r>
          </w:p>
        </w:tc>
        <w:tc>
          <w:tcPr>
            <w:tcW w:w="0" w:type="auto"/>
          </w:tcPr>
          <w:p w14:paraId="781CB672"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Mature student</w:t>
            </w:r>
          </w:p>
        </w:tc>
        <w:tc>
          <w:tcPr>
            <w:tcW w:w="0" w:type="auto"/>
          </w:tcPr>
          <w:p w14:paraId="00903B30"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Buckingham</w:t>
            </w:r>
          </w:p>
          <w:p w14:paraId="383B5902"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shire</w:t>
            </w:r>
          </w:p>
        </w:tc>
        <w:tc>
          <w:tcPr>
            <w:tcW w:w="0" w:type="auto"/>
          </w:tcPr>
          <w:p w14:paraId="57D280E3"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No</w:t>
            </w:r>
          </w:p>
        </w:tc>
        <w:tc>
          <w:tcPr>
            <w:tcW w:w="0" w:type="auto"/>
          </w:tcPr>
          <w:p w14:paraId="41A75DA1"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Sikh</w:t>
            </w:r>
          </w:p>
        </w:tc>
        <w:tc>
          <w:tcPr>
            <w:tcW w:w="1433" w:type="dxa"/>
          </w:tcPr>
          <w:p w14:paraId="4CBFC92C"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Telephone</w:t>
            </w:r>
          </w:p>
        </w:tc>
      </w:tr>
      <w:tr w:rsidR="00AD49AF" w:rsidRPr="00AD49AF" w14:paraId="2047EFB2" w14:textId="77777777" w:rsidTr="00E80037">
        <w:tc>
          <w:tcPr>
            <w:cnfStyle w:val="001000000000" w:firstRow="0" w:lastRow="0" w:firstColumn="1" w:lastColumn="0" w:oddVBand="0" w:evenVBand="0" w:oddHBand="0" w:evenHBand="0" w:firstRowFirstColumn="0" w:firstRowLastColumn="0" w:lastRowFirstColumn="0" w:lastRowLastColumn="0"/>
            <w:tcW w:w="0" w:type="auto"/>
          </w:tcPr>
          <w:p w14:paraId="24BA314D" w14:textId="77777777" w:rsidR="00E80037" w:rsidRPr="00AD49AF" w:rsidRDefault="00E80037" w:rsidP="006A4586">
            <w:r w:rsidRPr="00AD49AF">
              <w:t>8</w:t>
            </w:r>
          </w:p>
        </w:tc>
        <w:tc>
          <w:tcPr>
            <w:tcW w:w="0" w:type="auto"/>
          </w:tcPr>
          <w:p w14:paraId="16021C22"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F</w:t>
            </w:r>
          </w:p>
        </w:tc>
        <w:tc>
          <w:tcPr>
            <w:tcW w:w="0" w:type="auto"/>
          </w:tcPr>
          <w:p w14:paraId="69FE10ED"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19</w:t>
            </w:r>
          </w:p>
        </w:tc>
        <w:tc>
          <w:tcPr>
            <w:tcW w:w="0" w:type="auto"/>
          </w:tcPr>
          <w:p w14:paraId="52DC465D"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Gap year Student</w:t>
            </w:r>
          </w:p>
        </w:tc>
        <w:tc>
          <w:tcPr>
            <w:tcW w:w="0" w:type="auto"/>
          </w:tcPr>
          <w:p w14:paraId="678437B2"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London</w:t>
            </w:r>
          </w:p>
        </w:tc>
        <w:tc>
          <w:tcPr>
            <w:tcW w:w="0" w:type="auto"/>
          </w:tcPr>
          <w:p w14:paraId="5659A6AB"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No</w:t>
            </w:r>
          </w:p>
        </w:tc>
        <w:tc>
          <w:tcPr>
            <w:tcW w:w="0" w:type="auto"/>
          </w:tcPr>
          <w:p w14:paraId="485BC364"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Sikh</w:t>
            </w:r>
          </w:p>
        </w:tc>
        <w:tc>
          <w:tcPr>
            <w:tcW w:w="1433" w:type="dxa"/>
          </w:tcPr>
          <w:p w14:paraId="0363A1EF"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Telephone</w:t>
            </w:r>
          </w:p>
        </w:tc>
      </w:tr>
      <w:tr w:rsidR="00AD49AF" w:rsidRPr="00AD49AF" w14:paraId="61DFA564" w14:textId="77777777" w:rsidTr="00E80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C3370A" w14:textId="77777777" w:rsidR="00E80037" w:rsidRPr="00AD49AF" w:rsidRDefault="00E80037" w:rsidP="006A4586">
            <w:r w:rsidRPr="00AD49AF">
              <w:t>9</w:t>
            </w:r>
          </w:p>
        </w:tc>
        <w:tc>
          <w:tcPr>
            <w:tcW w:w="0" w:type="auto"/>
          </w:tcPr>
          <w:p w14:paraId="16233707"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F</w:t>
            </w:r>
          </w:p>
        </w:tc>
        <w:tc>
          <w:tcPr>
            <w:tcW w:w="0" w:type="auto"/>
          </w:tcPr>
          <w:p w14:paraId="6002CA74"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27</w:t>
            </w:r>
          </w:p>
        </w:tc>
        <w:tc>
          <w:tcPr>
            <w:tcW w:w="0" w:type="auto"/>
          </w:tcPr>
          <w:p w14:paraId="661DBCD9"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Medical Engineer</w:t>
            </w:r>
          </w:p>
        </w:tc>
        <w:tc>
          <w:tcPr>
            <w:tcW w:w="0" w:type="auto"/>
          </w:tcPr>
          <w:p w14:paraId="1DE2C293"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Birmingham</w:t>
            </w:r>
          </w:p>
        </w:tc>
        <w:tc>
          <w:tcPr>
            <w:tcW w:w="0" w:type="auto"/>
          </w:tcPr>
          <w:p w14:paraId="1F4F50E7"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Yes</w:t>
            </w:r>
          </w:p>
          <w:p w14:paraId="40DF7D0B"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-Nerve pain</w:t>
            </w:r>
          </w:p>
        </w:tc>
        <w:tc>
          <w:tcPr>
            <w:tcW w:w="0" w:type="auto"/>
          </w:tcPr>
          <w:p w14:paraId="58CCE1A4"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Sikh</w:t>
            </w:r>
          </w:p>
        </w:tc>
        <w:tc>
          <w:tcPr>
            <w:tcW w:w="1433" w:type="dxa"/>
          </w:tcPr>
          <w:p w14:paraId="46F937D4" w14:textId="77777777" w:rsidR="00E80037" w:rsidRPr="00AD49AF" w:rsidRDefault="00E80037" w:rsidP="006A4586">
            <w:pPr>
              <w:cnfStyle w:val="000000100000" w:firstRow="0" w:lastRow="0" w:firstColumn="0" w:lastColumn="0" w:oddVBand="0" w:evenVBand="0" w:oddHBand="1" w:evenHBand="0" w:firstRowFirstColumn="0" w:firstRowLastColumn="0" w:lastRowFirstColumn="0" w:lastRowLastColumn="0"/>
            </w:pPr>
            <w:r w:rsidRPr="00AD49AF">
              <w:t>Telephone</w:t>
            </w:r>
          </w:p>
        </w:tc>
      </w:tr>
      <w:tr w:rsidR="00AD49AF" w:rsidRPr="00AD49AF" w14:paraId="18295558" w14:textId="77777777" w:rsidTr="00E80037">
        <w:tc>
          <w:tcPr>
            <w:cnfStyle w:val="001000000000" w:firstRow="0" w:lastRow="0" w:firstColumn="1" w:lastColumn="0" w:oddVBand="0" w:evenVBand="0" w:oddHBand="0" w:evenHBand="0" w:firstRowFirstColumn="0" w:firstRowLastColumn="0" w:lastRowFirstColumn="0" w:lastRowLastColumn="0"/>
            <w:tcW w:w="0" w:type="auto"/>
          </w:tcPr>
          <w:p w14:paraId="5BD8E450" w14:textId="77777777" w:rsidR="00E80037" w:rsidRPr="00AD49AF" w:rsidRDefault="00E80037" w:rsidP="006A4586">
            <w:r w:rsidRPr="00AD49AF">
              <w:t>10</w:t>
            </w:r>
          </w:p>
        </w:tc>
        <w:tc>
          <w:tcPr>
            <w:tcW w:w="0" w:type="auto"/>
          </w:tcPr>
          <w:p w14:paraId="2ABBBBFD"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F</w:t>
            </w:r>
          </w:p>
        </w:tc>
        <w:tc>
          <w:tcPr>
            <w:tcW w:w="0" w:type="auto"/>
          </w:tcPr>
          <w:p w14:paraId="7F27941A"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32</w:t>
            </w:r>
          </w:p>
        </w:tc>
        <w:tc>
          <w:tcPr>
            <w:tcW w:w="0" w:type="auto"/>
          </w:tcPr>
          <w:p w14:paraId="2C699651"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Software Developer</w:t>
            </w:r>
          </w:p>
        </w:tc>
        <w:tc>
          <w:tcPr>
            <w:tcW w:w="0" w:type="auto"/>
          </w:tcPr>
          <w:p w14:paraId="69B8786A"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London</w:t>
            </w:r>
          </w:p>
        </w:tc>
        <w:tc>
          <w:tcPr>
            <w:tcW w:w="0" w:type="auto"/>
          </w:tcPr>
          <w:p w14:paraId="64F0764A"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No</w:t>
            </w:r>
          </w:p>
        </w:tc>
        <w:tc>
          <w:tcPr>
            <w:tcW w:w="0" w:type="auto"/>
          </w:tcPr>
          <w:p w14:paraId="77F6D16B"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Sikh</w:t>
            </w:r>
          </w:p>
        </w:tc>
        <w:tc>
          <w:tcPr>
            <w:tcW w:w="1433" w:type="dxa"/>
          </w:tcPr>
          <w:p w14:paraId="52CCDC39" w14:textId="77777777" w:rsidR="00E80037" w:rsidRPr="00AD49AF" w:rsidRDefault="00E80037" w:rsidP="006A4586">
            <w:pPr>
              <w:cnfStyle w:val="000000000000" w:firstRow="0" w:lastRow="0" w:firstColumn="0" w:lastColumn="0" w:oddVBand="0" w:evenVBand="0" w:oddHBand="0" w:evenHBand="0" w:firstRowFirstColumn="0" w:firstRowLastColumn="0" w:lastRowFirstColumn="0" w:lastRowLastColumn="0"/>
            </w:pPr>
            <w:r w:rsidRPr="00AD49AF">
              <w:t>Telephone</w:t>
            </w:r>
          </w:p>
        </w:tc>
      </w:tr>
    </w:tbl>
    <w:p w14:paraId="3385F50D" w14:textId="77777777" w:rsidR="007F2543" w:rsidRPr="00AD49AF" w:rsidRDefault="007F2543" w:rsidP="00E861FB"/>
    <w:sectPr w:rsidR="007F2543" w:rsidRPr="00AD49AF" w:rsidSect="00110FD0">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AB7D" w14:textId="77777777" w:rsidR="00B965DF" w:rsidRDefault="00B965DF" w:rsidP="00E861FB">
      <w:r>
        <w:separator/>
      </w:r>
    </w:p>
  </w:endnote>
  <w:endnote w:type="continuationSeparator" w:id="0">
    <w:p w14:paraId="48C5CFDB" w14:textId="77777777" w:rsidR="00B965DF" w:rsidRDefault="00B965DF" w:rsidP="00E8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al-NewswithCommP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0CAF" w14:textId="77777777" w:rsidR="00EB5ECF" w:rsidRDefault="007E3D66">
    <w:pPr>
      <w:pStyle w:val="Footer"/>
      <w:tabs>
        <w:tab w:val="clear" w:pos="9026"/>
        <w:tab w:val="right" w:pos="9000"/>
      </w:tabs>
    </w:pPr>
    <w:r>
      <w:fldChar w:fldCharType="begin"/>
    </w:r>
    <w:r>
      <w:instrText xml:space="preserve"> PAGE </w:instrText>
    </w:r>
    <w:r>
      <w:fldChar w:fldCharType="separate"/>
    </w:r>
    <w:r w:rsidR="00F60BA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C70D" w14:textId="77777777" w:rsidR="00B965DF" w:rsidRDefault="00B965DF" w:rsidP="00E861FB">
      <w:r>
        <w:separator/>
      </w:r>
    </w:p>
  </w:footnote>
  <w:footnote w:type="continuationSeparator" w:id="0">
    <w:p w14:paraId="7C443E9A" w14:textId="77777777" w:rsidR="00B965DF" w:rsidRDefault="00B965DF" w:rsidP="00E8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A49"/>
    <w:multiLevelType w:val="multilevel"/>
    <w:tmpl w:val="673C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C5F40"/>
    <w:multiLevelType w:val="hybridMultilevel"/>
    <w:tmpl w:val="FD1EF11A"/>
    <w:lvl w:ilvl="0" w:tplc="9E22286C">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0AC9"/>
    <w:multiLevelType w:val="hybridMultilevel"/>
    <w:tmpl w:val="69020C22"/>
    <w:lvl w:ilvl="0" w:tplc="792CF63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E55FB"/>
    <w:multiLevelType w:val="hybridMultilevel"/>
    <w:tmpl w:val="F1D04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86DD0"/>
    <w:multiLevelType w:val="hybridMultilevel"/>
    <w:tmpl w:val="D21ABA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99380E"/>
    <w:multiLevelType w:val="hybridMultilevel"/>
    <w:tmpl w:val="E278B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7B6A02"/>
    <w:multiLevelType w:val="hybridMultilevel"/>
    <w:tmpl w:val="00C4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66"/>
    <w:rsid w:val="000023E7"/>
    <w:rsid w:val="00006CD3"/>
    <w:rsid w:val="00006D78"/>
    <w:rsid w:val="00006F88"/>
    <w:rsid w:val="00011C0A"/>
    <w:rsid w:val="0001262A"/>
    <w:rsid w:val="000144A6"/>
    <w:rsid w:val="0002307C"/>
    <w:rsid w:val="000233AE"/>
    <w:rsid w:val="00023D66"/>
    <w:rsid w:val="000252CB"/>
    <w:rsid w:val="000265BC"/>
    <w:rsid w:val="000278A8"/>
    <w:rsid w:val="000310F4"/>
    <w:rsid w:val="00032A97"/>
    <w:rsid w:val="0003511C"/>
    <w:rsid w:val="00035E5B"/>
    <w:rsid w:val="00036885"/>
    <w:rsid w:val="00036EF5"/>
    <w:rsid w:val="00040A08"/>
    <w:rsid w:val="00043824"/>
    <w:rsid w:val="000478F6"/>
    <w:rsid w:val="0005350A"/>
    <w:rsid w:val="000535D3"/>
    <w:rsid w:val="00056467"/>
    <w:rsid w:val="00056C63"/>
    <w:rsid w:val="0005731A"/>
    <w:rsid w:val="00057D34"/>
    <w:rsid w:val="0006001E"/>
    <w:rsid w:val="000653F0"/>
    <w:rsid w:val="00065F7C"/>
    <w:rsid w:val="0006655F"/>
    <w:rsid w:val="000666A7"/>
    <w:rsid w:val="00067465"/>
    <w:rsid w:val="00073E86"/>
    <w:rsid w:val="00075FBA"/>
    <w:rsid w:val="00076114"/>
    <w:rsid w:val="00077AF1"/>
    <w:rsid w:val="000839B0"/>
    <w:rsid w:val="000841E2"/>
    <w:rsid w:val="00085D84"/>
    <w:rsid w:val="00093A48"/>
    <w:rsid w:val="00095B95"/>
    <w:rsid w:val="00096CB7"/>
    <w:rsid w:val="000A1486"/>
    <w:rsid w:val="000A27BD"/>
    <w:rsid w:val="000A5220"/>
    <w:rsid w:val="000A5759"/>
    <w:rsid w:val="000A5835"/>
    <w:rsid w:val="000B0933"/>
    <w:rsid w:val="000B4430"/>
    <w:rsid w:val="000B5CFC"/>
    <w:rsid w:val="000C0387"/>
    <w:rsid w:val="000C2BE0"/>
    <w:rsid w:val="000C364F"/>
    <w:rsid w:val="000C5B6A"/>
    <w:rsid w:val="000D4778"/>
    <w:rsid w:val="000D7542"/>
    <w:rsid w:val="000D782C"/>
    <w:rsid w:val="000E3DC7"/>
    <w:rsid w:val="000E42D2"/>
    <w:rsid w:val="000E464B"/>
    <w:rsid w:val="000E52EC"/>
    <w:rsid w:val="000E6369"/>
    <w:rsid w:val="000E738A"/>
    <w:rsid w:val="000F0750"/>
    <w:rsid w:val="000F0EC2"/>
    <w:rsid w:val="000F1A11"/>
    <w:rsid w:val="000F27E5"/>
    <w:rsid w:val="000F5D14"/>
    <w:rsid w:val="000F75AB"/>
    <w:rsid w:val="000F7A64"/>
    <w:rsid w:val="000F7B4D"/>
    <w:rsid w:val="00102E81"/>
    <w:rsid w:val="001045BF"/>
    <w:rsid w:val="001050D0"/>
    <w:rsid w:val="001104DB"/>
    <w:rsid w:val="0011052E"/>
    <w:rsid w:val="00110C52"/>
    <w:rsid w:val="00110FD0"/>
    <w:rsid w:val="00111DD4"/>
    <w:rsid w:val="00112446"/>
    <w:rsid w:val="0011393B"/>
    <w:rsid w:val="00114C31"/>
    <w:rsid w:val="00120EE7"/>
    <w:rsid w:val="00121245"/>
    <w:rsid w:val="00122EEA"/>
    <w:rsid w:val="00122F41"/>
    <w:rsid w:val="00123C44"/>
    <w:rsid w:val="00123F93"/>
    <w:rsid w:val="00125EC9"/>
    <w:rsid w:val="00133C97"/>
    <w:rsid w:val="00140A3B"/>
    <w:rsid w:val="0014205F"/>
    <w:rsid w:val="001462C8"/>
    <w:rsid w:val="001501A8"/>
    <w:rsid w:val="00150781"/>
    <w:rsid w:val="00151712"/>
    <w:rsid w:val="00162EB6"/>
    <w:rsid w:val="00163181"/>
    <w:rsid w:val="00163450"/>
    <w:rsid w:val="001638FF"/>
    <w:rsid w:val="001671EC"/>
    <w:rsid w:val="00171607"/>
    <w:rsid w:val="00173FB8"/>
    <w:rsid w:val="00176723"/>
    <w:rsid w:val="00176BC0"/>
    <w:rsid w:val="00177BCF"/>
    <w:rsid w:val="00183DC3"/>
    <w:rsid w:val="00191C8C"/>
    <w:rsid w:val="00196077"/>
    <w:rsid w:val="00196720"/>
    <w:rsid w:val="001A1BBE"/>
    <w:rsid w:val="001A6E1A"/>
    <w:rsid w:val="001B0656"/>
    <w:rsid w:val="001B10C3"/>
    <w:rsid w:val="001B3CF1"/>
    <w:rsid w:val="001B40E6"/>
    <w:rsid w:val="001B73A3"/>
    <w:rsid w:val="001B77A6"/>
    <w:rsid w:val="001C16FE"/>
    <w:rsid w:val="001C2023"/>
    <w:rsid w:val="001D070C"/>
    <w:rsid w:val="001D189A"/>
    <w:rsid w:val="001D27B8"/>
    <w:rsid w:val="001D50DA"/>
    <w:rsid w:val="001D5A4A"/>
    <w:rsid w:val="001D78DD"/>
    <w:rsid w:val="001D7B39"/>
    <w:rsid w:val="001E3312"/>
    <w:rsid w:val="001E3F2D"/>
    <w:rsid w:val="001E63B5"/>
    <w:rsid w:val="001F0308"/>
    <w:rsid w:val="001F4F66"/>
    <w:rsid w:val="001F6394"/>
    <w:rsid w:val="001F6647"/>
    <w:rsid w:val="0020049B"/>
    <w:rsid w:val="00201BB7"/>
    <w:rsid w:val="002040AF"/>
    <w:rsid w:val="00204E47"/>
    <w:rsid w:val="00206B93"/>
    <w:rsid w:val="002075D2"/>
    <w:rsid w:val="00212BA3"/>
    <w:rsid w:val="00212EF0"/>
    <w:rsid w:val="0021354D"/>
    <w:rsid w:val="00217A0C"/>
    <w:rsid w:val="0022671F"/>
    <w:rsid w:val="002308F2"/>
    <w:rsid w:val="002317E5"/>
    <w:rsid w:val="00232EEF"/>
    <w:rsid w:val="00232FFB"/>
    <w:rsid w:val="002334E4"/>
    <w:rsid w:val="0024121A"/>
    <w:rsid w:val="002479FB"/>
    <w:rsid w:val="00254738"/>
    <w:rsid w:val="00256E32"/>
    <w:rsid w:val="00257298"/>
    <w:rsid w:val="00257B62"/>
    <w:rsid w:val="00260A28"/>
    <w:rsid w:val="00264F7D"/>
    <w:rsid w:val="00267769"/>
    <w:rsid w:val="00273300"/>
    <w:rsid w:val="00273FAD"/>
    <w:rsid w:val="00276017"/>
    <w:rsid w:val="002770E0"/>
    <w:rsid w:val="00280BDC"/>
    <w:rsid w:val="0028742B"/>
    <w:rsid w:val="0028774F"/>
    <w:rsid w:val="0029058E"/>
    <w:rsid w:val="0029329C"/>
    <w:rsid w:val="0029525B"/>
    <w:rsid w:val="00295E5D"/>
    <w:rsid w:val="002A4F00"/>
    <w:rsid w:val="002A69E4"/>
    <w:rsid w:val="002B033F"/>
    <w:rsid w:val="002C0C90"/>
    <w:rsid w:val="002D1665"/>
    <w:rsid w:val="002D1777"/>
    <w:rsid w:val="002D4C40"/>
    <w:rsid w:val="002D67BD"/>
    <w:rsid w:val="002D713B"/>
    <w:rsid w:val="002D7244"/>
    <w:rsid w:val="002E131F"/>
    <w:rsid w:val="002E397C"/>
    <w:rsid w:val="002E537D"/>
    <w:rsid w:val="002E58FA"/>
    <w:rsid w:val="002E5B8D"/>
    <w:rsid w:val="002E65B0"/>
    <w:rsid w:val="002F4E38"/>
    <w:rsid w:val="00300DE7"/>
    <w:rsid w:val="00301FDB"/>
    <w:rsid w:val="0030413F"/>
    <w:rsid w:val="00305578"/>
    <w:rsid w:val="00307859"/>
    <w:rsid w:val="00313C8F"/>
    <w:rsid w:val="00314283"/>
    <w:rsid w:val="00316FB7"/>
    <w:rsid w:val="00320649"/>
    <w:rsid w:val="00322D99"/>
    <w:rsid w:val="00325E91"/>
    <w:rsid w:val="00331014"/>
    <w:rsid w:val="00331C2A"/>
    <w:rsid w:val="0033337A"/>
    <w:rsid w:val="003371A9"/>
    <w:rsid w:val="00343FD7"/>
    <w:rsid w:val="00344307"/>
    <w:rsid w:val="00345CD8"/>
    <w:rsid w:val="00347123"/>
    <w:rsid w:val="00350A5A"/>
    <w:rsid w:val="00355636"/>
    <w:rsid w:val="00361809"/>
    <w:rsid w:val="00373689"/>
    <w:rsid w:val="00374FEA"/>
    <w:rsid w:val="00375589"/>
    <w:rsid w:val="003804C9"/>
    <w:rsid w:val="0038138A"/>
    <w:rsid w:val="00386B8A"/>
    <w:rsid w:val="003927F6"/>
    <w:rsid w:val="00392845"/>
    <w:rsid w:val="00396611"/>
    <w:rsid w:val="003A5E05"/>
    <w:rsid w:val="003A7BE6"/>
    <w:rsid w:val="003B0292"/>
    <w:rsid w:val="003B1A0C"/>
    <w:rsid w:val="003B2AC5"/>
    <w:rsid w:val="003B39F1"/>
    <w:rsid w:val="003B50FD"/>
    <w:rsid w:val="003C2013"/>
    <w:rsid w:val="003C4AD8"/>
    <w:rsid w:val="003C51FE"/>
    <w:rsid w:val="003C54DB"/>
    <w:rsid w:val="003C6487"/>
    <w:rsid w:val="003D1720"/>
    <w:rsid w:val="003D447D"/>
    <w:rsid w:val="003D5688"/>
    <w:rsid w:val="003D6186"/>
    <w:rsid w:val="003D6594"/>
    <w:rsid w:val="003D78EE"/>
    <w:rsid w:val="003E1554"/>
    <w:rsid w:val="003E7BF9"/>
    <w:rsid w:val="003F02ED"/>
    <w:rsid w:val="003F07B5"/>
    <w:rsid w:val="003F13F5"/>
    <w:rsid w:val="0040109F"/>
    <w:rsid w:val="00401B48"/>
    <w:rsid w:val="004028D0"/>
    <w:rsid w:val="00403992"/>
    <w:rsid w:val="00407667"/>
    <w:rsid w:val="00410D2D"/>
    <w:rsid w:val="00413EF8"/>
    <w:rsid w:val="00416141"/>
    <w:rsid w:val="00416EF9"/>
    <w:rsid w:val="00417E90"/>
    <w:rsid w:val="004205A7"/>
    <w:rsid w:val="0042572A"/>
    <w:rsid w:val="00426D45"/>
    <w:rsid w:val="004276F6"/>
    <w:rsid w:val="00432CB8"/>
    <w:rsid w:val="004345BF"/>
    <w:rsid w:val="00435476"/>
    <w:rsid w:val="00437C8B"/>
    <w:rsid w:val="00441214"/>
    <w:rsid w:val="00441714"/>
    <w:rsid w:val="00441716"/>
    <w:rsid w:val="004421FF"/>
    <w:rsid w:val="00444EF1"/>
    <w:rsid w:val="004461D8"/>
    <w:rsid w:val="00450700"/>
    <w:rsid w:val="004546A4"/>
    <w:rsid w:val="00457BE2"/>
    <w:rsid w:val="00460D03"/>
    <w:rsid w:val="0047077D"/>
    <w:rsid w:val="00470B8A"/>
    <w:rsid w:val="00471862"/>
    <w:rsid w:val="00471F9F"/>
    <w:rsid w:val="00473C8D"/>
    <w:rsid w:val="004749C8"/>
    <w:rsid w:val="00476A52"/>
    <w:rsid w:val="00476DCE"/>
    <w:rsid w:val="00480B24"/>
    <w:rsid w:val="00480F35"/>
    <w:rsid w:val="004820C7"/>
    <w:rsid w:val="004835CB"/>
    <w:rsid w:val="00483834"/>
    <w:rsid w:val="00485397"/>
    <w:rsid w:val="00485FAA"/>
    <w:rsid w:val="00486E44"/>
    <w:rsid w:val="00491C5A"/>
    <w:rsid w:val="00492AA5"/>
    <w:rsid w:val="00493735"/>
    <w:rsid w:val="0049740C"/>
    <w:rsid w:val="004A37C6"/>
    <w:rsid w:val="004A3DD2"/>
    <w:rsid w:val="004A6151"/>
    <w:rsid w:val="004B055E"/>
    <w:rsid w:val="004B1BEE"/>
    <w:rsid w:val="004B31E9"/>
    <w:rsid w:val="004B4A2D"/>
    <w:rsid w:val="004C0169"/>
    <w:rsid w:val="004C335C"/>
    <w:rsid w:val="004D24C7"/>
    <w:rsid w:val="004D28C9"/>
    <w:rsid w:val="004D2F72"/>
    <w:rsid w:val="004D2FC2"/>
    <w:rsid w:val="004D69EC"/>
    <w:rsid w:val="004E1617"/>
    <w:rsid w:val="004E6DD4"/>
    <w:rsid w:val="004F12CC"/>
    <w:rsid w:val="004F3053"/>
    <w:rsid w:val="004F44B1"/>
    <w:rsid w:val="004F68EF"/>
    <w:rsid w:val="004F7BF7"/>
    <w:rsid w:val="00501110"/>
    <w:rsid w:val="00501A7D"/>
    <w:rsid w:val="00501F3A"/>
    <w:rsid w:val="00503E6B"/>
    <w:rsid w:val="005055EE"/>
    <w:rsid w:val="00505A27"/>
    <w:rsid w:val="005060E1"/>
    <w:rsid w:val="00506463"/>
    <w:rsid w:val="005072A0"/>
    <w:rsid w:val="00510772"/>
    <w:rsid w:val="00513F52"/>
    <w:rsid w:val="00515637"/>
    <w:rsid w:val="00516510"/>
    <w:rsid w:val="005176A2"/>
    <w:rsid w:val="0052010B"/>
    <w:rsid w:val="00523263"/>
    <w:rsid w:val="0052489A"/>
    <w:rsid w:val="0052566A"/>
    <w:rsid w:val="005331A1"/>
    <w:rsid w:val="005333A6"/>
    <w:rsid w:val="005336C4"/>
    <w:rsid w:val="00533B54"/>
    <w:rsid w:val="0053496C"/>
    <w:rsid w:val="00536712"/>
    <w:rsid w:val="005402FA"/>
    <w:rsid w:val="005405E6"/>
    <w:rsid w:val="005507C0"/>
    <w:rsid w:val="005517A4"/>
    <w:rsid w:val="005529BB"/>
    <w:rsid w:val="005531CA"/>
    <w:rsid w:val="00553F54"/>
    <w:rsid w:val="00554A35"/>
    <w:rsid w:val="0055584F"/>
    <w:rsid w:val="005573D3"/>
    <w:rsid w:val="00561907"/>
    <w:rsid w:val="00561F60"/>
    <w:rsid w:val="005629FD"/>
    <w:rsid w:val="00564357"/>
    <w:rsid w:val="00577F2A"/>
    <w:rsid w:val="00580A26"/>
    <w:rsid w:val="00581343"/>
    <w:rsid w:val="00581603"/>
    <w:rsid w:val="005834F6"/>
    <w:rsid w:val="00584087"/>
    <w:rsid w:val="00587C64"/>
    <w:rsid w:val="005907AD"/>
    <w:rsid w:val="00590F5C"/>
    <w:rsid w:val="005911FF"/>
    <w:rsid w:val="0059176B"/>
    <w:rsid w:val="0059628A"/>
    <w:rsid w:val="005962C5"/>
    <w:rsid w:val="005A025C"/>
    <w:rsid w:val="005A069D"/>
    <w:rsid w:val="005A1289"/>
    <w:rsid w:val="005A1A26"/>
    <w:rsid w:val="005A68F6"/>
    <w:rsid w:val="005A74FE"/>
    <w:rsid w:val="005A7CDC"/>
    <w:rsid w:val="005B067C"/>
    <w:rsid w:val="005C285E"/>
    <w:rsid w:val="005C4148"/>
    <w:rsid w:val="005C6ED4"/>
    <w:rsid w:val="005D067E"/>
    <w:rsid w:val="005D3071"/>
    <w:rsid w:val="005D63E3"/>
    <w:rsid w:val="005D7D46"/>
    <w:rsid w:val="005E1D30"/>
    <w:rsid w:val="005E5EAD"/>
    <w:rsid w:val="005E5FB9"/>
    <w:rsid w:val="005F0BB9"/>
    <w:rsid w:val="005F1DAA"/>
    <w:rsid w:val="005F2167"/>
    <w:rsid w:val="005F2A34"/>
    <w:rsid w:val="005F2E4B"/>
    <w:rsid w:val="005F3BBD"/>
    <w:rsid w:val="005F5B58"/>
    <w:rsid w:val="005F7CE8"/>
    <w:rsid w:val="005F7E38"/>
    <w:rsid w:val="00602263"/>
    <w:rsid w:val="00602443"/>
    <w:rsid w:val="006049AC"/>
    <w:rsid w:val="00605B76"/>
    <w:rsid w:val="00607EDD"/>
    <w:rsid w:val="00611A63"/>
    <w:rsid w:val="00612370"/>
    <w:rsid w:val="00612CC4"/>
    <w:rsid w:val="00614512"/>
    <w:rsid w:val="0061563C"/>
    <w:rsid w:val="00616DB2"/>
    <w:rsid w:val="0062331B"/>
    <w:rsid w:val="006249DF"/>
    <w:rsid w:val="006264C2"/>
    <w:rsid w:val="00634B16"/>
    <w:rsid w:val="00635382"/>
    <w:rsid w:val="00636CBA"/>
    <w:rsid w:val="00641972"/>
    <w:rsid w:val="00643ACC"/>
    <w:rsid w:val="00643E2D"/>
    <w:rsid w:val="006449D1"/>
    <w:rsid w:val="00645913"/>
    <w:rsid w:val="0065354D"/>
    <w:rsid w:val="00654EA1"/>
    <w:rsid w:val="00655019"/>
    <w:rsid w:val="006570A0"/>
    <w:rsid w:val="00665485"/>
    <w:rsid w:val="00667AAD"/>
    <w:rsid w:val="006715BE"/>
    <w:rsid w:val="00673828"/>
    <w:rsid w:val="00676847"/>
    <w:rsid w:val="00676C46"/>
    <w:rsid w:val="00677F91"/>
    <w:rsid w:val="00681F45"/>
    <w:rsid w:val="006866EA"/>
    <w:rsid w:val="00687B25"/>
    <w:rsid w:val="00691D72"/>
    <w:rsid w:val="00691F4F"/>
    <w:rsid w:val="00691FF2"/>
    <w:rsid w:val="00692290"/>
    <w:rsid w:val="0069540A"/>
    <w:rsid w:val="00696B33"/>
    <w:rsid w:val="00696B69"/>
    <w:rsid w:val="0069762F"/>
    <w:rsid w:val="006A03D1"/>
    <w:rsid w:val="006A1418"/>
    <w:rsid w:val="006A1D49"/>
    <w:rsid w:val="006A2911"/>
    <w:rsid w:val="006A56AC"/>
    <w:rsid w:val="006A726D"/>
    <w:rsid w:val="006B11CC"/>
    <w:rsid w:val="006B4C2C"/>
    <w:rsid w:val="006B4EC4"/>
    <w:rsid w:val="006B625E"/>
    <w:rsid w:val="006B63AE"/>
    <w:rsid w:val="006B65FF"/>
    <w:rsid w:val="006C36D2"/>
    <w:rsid w:val="006C3C8D"/>
    <w:rsid w:val="006C5349"/>
    <w:rsid w:val="006C6411"/>
    <w:rsid w:val="006D081A"/>
    <w:rsid w:val="006D253F"/>
    <w:rsid w:val="006E0AD7"/>
    <w:rsid w:val="006E61DE"/>
    <w:rsid w:val="006F403C"/>
    <w:rsid w:val="00701C04"/>
    <w:rsid w:val="00703ED4"/>
    <w:rsid w:val="007042E1"/>
    <w:rsid w:val="00705B75"/>
    <w:rsid w:val="00711CD6"/>
    <w:rsid w:val="0071217B"/>
    <w:rsid w:val="00724BDB"/>
    <w:rsid w:val="0072525E"/>
    <w:rsid w:val="00733416"/>
    <w:rsid w:val="00735293"/>
    <w:rsid w:val="00737F15"/>
    <w:rsid w:val="00740B12"/>
    <w:rsid w:val="007412A7"/>
    <w:rsid w:val="00741422"/>
    <w:rsid w:val="00746DDD"/>
    <w:rsid w:val="007474FA"/>
    <w:rsid w:val="0075198A"/>
    <w:rsid w:val="007547DA"/>
    <w:rsid w:val="00754ECE"/>
    <w:rsid w:val="00761F89"/>
    <w:rsid w:val="00762F19"/>
    <w:rsid w:val="00763035"/>
    <w:rsid w:val="007642DE"/>
    <w:rsid w:val="00765408"/>
    <w:rsid w:val="00765641"/>
    <w:rsid w:val="0076732C"/>
    <w:rsid w:val="00767460"/>
    <w:rsid w:val="00770218"/>
    <w:rsid w:val="007726FB"/>
    <w:rsid w:val="00772EB6"/>
    <w:rsid w:val="00790ABF"/>
    <w:rsid w:val="007912B5"/>
    <w:rsid w:val="0079246E"/>
    <w:rsid w:val="00796162"/>
    <w:rsid w:val="007965C1"/>
    <w:rsid w:val="007A3821"/>
    <w:rsid w:val="007A3F22"/>
    <w:rsid w:val="007A4EF6"/>
    <w:rsid w:val="007A6171"/>
    <w:rsid w:val="007A707F"/>
    <w:rsid w:val="007B69DD"/>
    <w:rsid w:val="007C2932"/>
    <w:rsid w:val="007C61C5"/>
    <w:rsid w:val="007C6F3A"/>
    <w:rsid w:val="007D11F3"/>
    <w:rsid w:val="007D147F"/>
    <w:rsid w:val="007D27E5"/>
    <w:rsid w:val="007D5A17"/>
    <w:rsid w:val="007D5C4F"/>
    <w:rsid w:val="007D7AB3"/>
    <w:rsid w:val="007E260F"/>
    <w:rsid w:val="007E3D66"/>
    <w:rsid w:val="007E5A57"/>
    <w:rsid w:val="007F2543"/>
    <w:rsid w:val="007F3B4E"/>
    <w:rsid w:val="007F45A6"/>
    <w:rsid w:val="007F6610"/>
    <w:rsid w:val="007F6DDA"/>
    <w:rsid w:val="007F7ABA"/>
    <w:rsid w:val="00803581"/>
    <w:rsid w:val="00804C45"/>
    <w:rsid w:val="0080723A"/>
    <w:rsid w:val="00807385"/>
    <w:rsid w:val="008073D3"/>
    <w:rsid w:val="008078C0"/>
    <w:rsid w:val="008108F9"/>
    <w:rsid w:val="00812E74"/>
    <w:rsid w:val="00815758"/>
    <w:rsid w:val="00817944"/>
    <w:rsid w:val="00820276"/>
    <w:rsid w:val="00820FA1"/>
    <w:rsid w:val="00821272"/>
    <w:rsid w:val="0082195B"/>
    <w:rsid w:val="00826A25"/>
    <w:rsid w:val="00827013"/>
    <w:rsid w:val="008301F1"/>
    <w:rsid w:val="008305CF"/>
    <w:rsid w:val="0083429A"/>
    <w:rsid w:val="00834A7D"/>
    <w:rsid w:val="00834C90"/>
    <w:rsid w:val="008365BC"/>
    <w:rsid w:val="00837B1B"/>
    <w:rsid w:val="00842705"/>
    <w:rsid w:val="008430D6"/>
    <w:rsid w:val="00845B39"/>
    <w:rsid w:val="0084620D"/>
    <w:rsid w:val="008503A8"/>
    <w:rsid w:val="0085084C"/>
    <w:rsid w:val="0085397B"/>
    <w:rsid w:val="00855139"/>
    <w:rsid w:val="0085717D"/>
    <w:rsid w:val="008638B4"/>
    <w:rsid w:val="008661F4"/>
    <w:rsid w:val="00866DF8"/>
    <w:rsid w:val="0086701C"/>
    <w:rsid w:val="008678BF"/>
    <w:rsid w:val="00867AB4"/>
    <w:rsid w:val="00870CAE"/>
    <w:rsid w:val="0087158B"/>
    <w:rsid w:val="00873C0B"/>
    <w:rsid w:val="008759B8"/>
    <w:rsid w:val="00885EB3"/>
    <w:rsid w:val="00887EC2"/>
    <w:rsid w:val="00893E47"/>
    <w:rsid w:val="00895094"/>
    <w:rsid w:val="008978BD"/>
    <w:rsid w:val="008A24C3"/>
    <w:rsid w:val="008A2555"/>
    <w:rsid w:val="008A546A"/>
    <w:rsid w:val="008A60F2"/>
    <w:rsid w:val="008A643E"/>
    <w:rsid w:val="008A6C12"/>
    <w:rsid w:val="008A76CD"/>
    <w:rsid w:val="008B2E2F"/>
    <w:rsid w:val="008B7512"/>
    <w:rsid w:val="008C6520"/>
    <w:rsid w:val="008D2F48"/>
    <w:rsid w:val="008D4C9F"/>
    <w:rsid w:val="008D5700"/>
    <w:rsid w:val="008E0B50"/>
    <w:rsid w:val="008E0CD4"/>
    <w:rsid w:val="008E2F2B"/>
    <w:rsid w:val="008F0BA3"/>
    <w:rsid w:val="008F0C64"/>
    <w:rsid w:val="008F77DD"/>
    <w:rsid w:val="009024F8"/>
    <w:rsid w:val="00902983"/>
    <w:rsid w:val="00902E6B"/>
    <w:rsid w:val="00906E82"/>
    <w:rsid w:val="009102FE"/>
    <w:rsid w:val="00910D51"/>
    <w:rsid w:val="0091386F"/>
    <w:rsid w:val="009207A4"/>
    <w:rsid w:val="0092145A"/>
    <w:rsid w:val="0092472E"/>
    <w:rsid w:val="00924F1C"/>
    <w:rsid w:val="009256CA"/>
    <w:rsid w:val="00926164"/>
    <w:rsid w:val="0092732C"/>
    <w:rsid w:val="00931D62"/>
    <w:rsid w:val="009341A0"/>
    <w:rsid w:val="009351E5"/>
    <w:rsid w:val="00936116"/>
    <w:rsid w:val="009363CC"/>
    <w:rsid w:val="00937CE4"/>
    <w:rsid w:val="00940D0B"/>
    <w:rsid w:val="00940E93"/>
    <w:rsid w:val="00943A63"/>
    <w:rsid w:val="009468E2"/>
    <w:rsid w:val="009522BA"/>
    <w:rsid w:val="009553F9"/>
    <w:rsid w:val="00955B43"/>
    <w:rsid w:val="00955D2B"/>
    <w:rsid w:val="00964846"/>
    <w:rsid w:val="00965005"/>
    <w:rsid w:val="0096575F"/>
    <w:rsid w:val="00965768"/>
    <w:rsid w:val="00965CD8"/>
    <w:rsid w:val="0096625E"/>
    <w:rsid w:val="00966C39"/>
    <w:rsid w:val="00971FD1"/>
    <w:rsid w:val="009732D8"/>
    <w:rsid w:val="009735AB"/>
    <w:rsid w:val="009748CF"/>
    <w:rsid w:val="009767AE"/>
    <w:rsid w:val="00977CFE"/>
    <w:rsid w:val="00980F82"/>
    <w:rsid w:val="00981ABB"/>
    <w:rsid w:val="0098452F"/>
    <w:rsid w:val="00990B62"/>
    <w:rsid w:val="00996DFB"/>
    <w:rsid w:val="00997EA9"/>
    <w:rsid w:val="009A070D"/>
    <w:rsid w:val="009A4490"/>
    <w:rsid w:val="009A4B7C"/>
    <w:rsid w:val="009A6DCE"/>
    <w:rsid w:val="009B0577"/>
    <w:rsid w:val="009B3A54"/>
    <w:rsid w:val="009B47CA"/>
    <w:rsid w:val="009B606C"/>
    <w:rsid w:val="009B6BC9"/>
    <w:rsid w:val="009B7050"/>
    <w:rsid w:val="009C559F"/>
    <w:rsid w:val="009C6821"/>
    <w:rsid w:val="009C6940"/>
    <w:rsid w:val="009C7BD0"/>
    <w:rsid w:val="009D0580"/>
    <w:rsid w:val="009D1235"/>
    <w:rsid w:val="009D2903"/>
    <w:rsid w:val="009D2DF1"/>
    <w:rsid w:val="009D380B"/>
    <w:rsid w:val="009D4C80"/>
    <w:rsid w:val="009E1732"/>
    <w:rsid w:val="009E36DF"/>
    <w:rsid w:val="009E64D6"/>
    <w:rsid w:val="009F1401"/>
    <w:rsid w:val="009F3547"/>
    <w:rsid w:val="009F43EB"/>
    <w:rsid w:val="00A14A4A"/>
    <w:rsid w:val="00A15066"/>
    <w:rsid w:val="00A20FD4"/>
    <w:rsid w:val="00A242BD"/>
    <w:rsid w:val="00A328C5"/>
    <w:rsid w:val="00A354AA"/>
    <w:rsid w:val="00A41818"/>
    <w:rsid w:val="00A41A09"/>
    <w:rsid w:val="00A43BF8"/>
    <w:rsid w:val="00A46EB9"/>
    <w:rsid w:val="00A514A1"/>
    <w:rsid w:val="00A5159D"/>
    <w:rsid w:val="00A519D9"/>
    <w:rsid w:val="00A56E12"/>
    <w:rsid w:val="00A60826"/>
    <w:rsid w:val="00A617DA"/>
    <w:rsid w:val="00A619C9"/>
    <w:rsid w:val="00A61D04"/>
    <w:rsid w:val="00A627CB"/>
    <w:rsid w:val="00A63061"/>
    <w:rsid w:val="00A64A9C"/>
    <w:rsid w:val="00A67126"/>
    <w:rsid w:val="00A67BA4"/>
    <w:rsid w:val="00A67F62"/>
    <w:rsid w:val="00A71CB8"/>
    <w:rsid w:val="00A73D95"/>
    <w:rsid w:val="00A7620A"/>
    <w:rsid w:val="00A77899"/>
    <w:rsid w:val="00A83550"/>
    <w:rsid w:val="00A84C37"/>
    <w:rsid w:val="00A901A2"/>
    <w:rsid w:val="00A9199D"/>
    <w:rsid w:val="00A91B4E"/>
    <w:rsid w:val="00A9227E"/>
    <w:rsid w:val="00A9274A"/>
    <w:rsid w:val="00A9349E"/>
    <w:rsid w:val="00A934D2"/>
    <w:rsid w:val="00A96972"/>
    <w:rsid w:val="00A96A5D"/>
    <w:rsid w:val="00AA3188"/>
    <w:rsid w:val="00AA3EAE"/>
    <w:rsid w:val="00AB0DE0"/>
    <w:rsid w:val="00AB0FE7"/>
    <w:rsid w:val="00AB57E3"/>
    <w:rsid w:val="00AB65FC"/>
    <w:rsid w:val="00AB6BBF"/>
    <w:rsid w:val="00AC1072"/>
    <w:rsid w:val="00AC1868"/>
    <w:rsid w:val="00AC3ECD"/>
    <w:rsid w:val="00AC7A04"/>
    <w:rsid w:val="00AD49AF"/>
    <w:rsid w:val="00AD5E95"/>
    <w:rsid w:val="00AD7203"/>
    <w:rsid w:val="00AE1BD6"/>
    <w:rsid w:val="00AF12A8"/>
    <w:rsid w:val="00AF632A"/>
    <w:rsid w:val="00B0277C"/>
    <w:rsid w:val="00B0366E"/>
    <w:rsid w:val="00B04BCF"/>
    <w:rsid w:val="00B07E07"/>
    <w:rsid w:val="00B1204C"/>
    <w:rsid w:val="00B153F2"/>
    <w:rsid w:val="00B168E1"/>
    <w:rsid w:val="00B17AF4"/>
    <w:rsid w:val="00B227A2"/>
    <w:rsid w:val="00B25AE2"/>
    <w:rsid w:val="00B3028F"/>
    <w:rsid w:val="00B30613"/>
    <w:rsid w:val="00B31482"/>
    <w:rsid w:val="00B31EAD"/>
    <w:rsid w:val="00B329A2"/>
    <w:rsid w:val="00B34362"/>
    <w:rsid w:val="00B34FEE"/>
    <w:rsid w:val="00B3512D"/>
    <w:rsid w:val="00B36A4C"/>
    <w:rsid w:val="00B37696"/>
    <w:rsid w:val="00B50462"/>
    <w:rsid w:val="00B51795"/>
    <w:rsid w:val="00B53D68"/>
    <w:rsid w:val="00B541AE"/>
    <w:rsid w:val="00B5649B"/>
    <w:rsid w:val="00B572F8"/>
    <w:rsid w:val="00B61576"/>
    <w:rsid w:val="00B61D63"/>
    <w:rsid w:val="00B62971"/>
    <w:rsid w:val="00B65B8F"/>
    <w:rsid w:val="00B65CBA"/>
    <w:rsid w:val="00B67DE5"/>
    <w:rsid w:val="00B70642"/>
    <w:rsid w:val="00B70672"/>
    <w:rsid w:val="00B72756"/>
    <w:rsid w:val="00B7523B"/>
    <w:rsid w:val="00B82280"/>
    <w:rsid w:val="00B82E06"/>
    <w:rsid w:val="00B83E4D"/>
    <w:rsid w:val="00B965DF"/>
    <w:rsid w:val="00BA1687"/>
    <w:rsid w:val="00BA24FF"/>
    <w:rsid w:val="00BA5A15"/>
    <w:rsid w:val="00BB06A3"/>
    <w:rsid w:val="00BB4FD7"/>
    <w:rsid w:val="00BB63E6"/>
    <w:rsid w:val="00BC3A99"/>
    <w:rsid w:val="00BD0C0E"/>
    <w:rsid w:val="00BD141C"/>
    <w:rsid w:val="00BD1756"/>
    <w:rsid w:val="00BD3456"/>
    <w:rsid w:val="00BD4DE7"/>
    <w:rsid w:val="00BD6C86"/>
    <w:rsid w:val="00BE06BF"/>
    <w:rsid w:val="00BE32CD"/>
    <w:rsid w:val="00BE3CD2"/>
    <w:rsid w:val="00BE5ABC"/>
    <w:rsid w:val="00BF100D"/>
    <w:rsid w:val="00BF16C9"/>
    <w:rsid w:val="00BF2F03"/>
    <w:rsid w:val="00C00F74"/>
    <w:rsid w:val="00C0375D"/>
    <w:rsid w:val="00C07EBB"/>
    <w:rsid w:val="00C1250E"/>
    <w:rsid w:val="00C22B05"/>
    <w:rsid w:val="00C23FF7"/>
    <w:rsid w:val="00C269DF"/>
    <w:rsid w:val="00C2776A"/>
    <w:rsid w:val="00C32F60"/>
    <w:rsid w:val="00C405C2"/>
    <w:rsid w:val="00C412EA"/>
    <w:rsid w:val="00C4130E"/>
    <w:rsid w:val="00C43585"/>
    <w:rsid w:val="00C44EB9"/>
    <w:rsid w:val="00C453B7"/>
    <w:rsid w:val="00C5433F"/>
    <w:rsid w:val="00C55473"/>
    <w:rsid w:val="00C55E0E"/>
    <w:rsid w:val="00C56131"/>
    <w:rsid w:val="00C56BE2"/>
    <w:rsid w:val="00C610FB"/>
    <w:rsid w:val="00C6179B"/>
    <w:rsid w:val="00C6297D"/>
    <w:rsid w:val="00C64156"/>
    <w:rsid w:val="00C64BAD"/>
    <w:rsid w:val="00C6506B"/>
    <w:rsid w:val="00C677AC"/>
    <w:rsid w:val="00C70EC4"/>
    <w:rsid w:val="00C7151B"/>
    <w:rsid w:val="00C73062"/>
    <w:rsid w:val="00C75288"/>
    <w:rsid w:val="00C818FB"/>
    <w:rsid w:val="00C82DC3"/>
    <w:rsid w:val="00C83E4F"/>
    <w:rsid w:val="00C85B3B"/>
    <w:rsid w:val="00C94EBD"/>
    <w:rsid w:val="00C965CC"/>
    <w:rsid w:val="00C97C0C"/>
    <w:rsid w:val="00CA109F"/>
    <w:rsid w:val="00CA29BC"/>
    <w:rsid w:val="00CA316A"/>
    <w:rsid w:val="00CA3E3E"/>
    <w:rsid w:val="00CA770A"/>
    <w:rsid w:val="00CA7C6A"/>
    <w:rsid w:val="00CB01E6"/>
    <w:rsid w:val="00CB4999"/>
    <w:rsid w:val="00CB71D8"/>
    <w:rsid w:val="00CB7715"/>
    <w:rsid w:val="00CC0FE2"/>
    <w:rsid w:val="00CC6E2F"/>
    <w:rsid w:val="00CD3F77"/>
    <w:rsid w:val="00CD5154"/>
    <w:rsid w:val="00CD696E"/>
    <w:rsid w:val="00CE3305"/>
    <w:rsid w:val="00CF089D"/>
    <w:rsid w:val="00CF7045"/>
    <w:rsid w:val="00D01DE6"/>
    <w:rsid w:val="00D03AB7"/>
    <w:rsid w:val="00D04AE2"/>
    <w:rsid w:val="00D10C8E"/>
    <w:rsid w:val="00D13153"/>
    <w:rsid w:val="00D14527"/>
    <w:rsid w:val="00D2219A"/>
    <w:rsid w:val="00D26E6D"/>
    <w:rsid w:val="00D27D31"/>
    <w:rsid w:val="00D27DC9"/>
    <w:rsid w:val="00D31280"/>
    <w:rsid w:val="00D31878"/>
    <w:rsid w:val="00D349EC"/>
    <w:rsid w:val="00D42195"/>
    <w:rsid w:val="00D4477E"/>
    <w:rsid w:val="00D478DF"/>
    <w:rsid w:val="00D50E3A"/>
    <w:rsid w:val="00D52C80"/>
    <w:rsid w:val="00D619FB"/>
    <w:rsid w:val="00D63179"/>
    <w:rsid w:val="00D63BFC"/>
    <w:rsid w:val="00D644DB"/>
    <w:rsid w:val="00D65352"/>
    <w:rsid w:val="00D65D55"/>
    <w:rsid w:val="00D65E5F"/>
    <w:rsid w:val="00D67DEA"/>
    <w:rsid w:val="00D70DD6"/>
    <w:rsid w:val="00D812FB"/>
    <w:rsid w:val="00D82791"/>
    <w:rsid w:val="00D8363E"/>
    <w:rsid w:val="00D85AF7"/>
    <w:rsid w:val="00D86570"/>
    <w:rsid w:val="00D87D63"/>
    <w:rsid w:val="00D90317"/>
    <w:rsid w:val="00D91AA3"/>
    <w:rsid w:val="00D96049"/>
    <w:rsid w:val="00DA04FC"/>
    <w:rsid w:val="00DA1E3E"/>
    <w:rsid w:val="00DA2130"/>
    <w:rsid w:val="00DA3005"/>
    <w:rsid w:val="00DB0A38"/>
    <w:rsid w:val="00DB2402"/>
    <w:rsid w:val="00DB2732"/>
    <w:rsid w:val="00DB3E17"/>
    <w:rsid w:val="00DC100A"/>
    <w:rsid w:val="00DC744D"/>
    <w:rsid w:val="00DD0129"/>
    <w:rsid w:val="00DD030A"/>
    <w:rsid w:val="00DD19D5"/>
    <w:rsid w:val="00DD1E6A"/>
    <w:rsid w:val="00DD5137"/>
    <w:rsid w:val="00DE0273"/>
    <w:rsid w:val="00DE4C4D"/>
    <w:rsid w:val="00DE6464"/>
    <w:rsid w:val="00DF67F5"/>
    <w:rsid w:val="00DF797E"/>
    <w:rsid w:val="00E003E8"/>
    <w:rsid w:val="00E01502"/>
    <w:rsid w:val="00E031B9"/>
    <w:rsid w:val="00E03F26"/>
    <w:rsid w:val="00E05E51"/>
    <w:rsid w:val="00E068FA"/>
    <w:rsid w:val="00E10623"/>
    <w:rsid w:val="00E111D5"/>
    <w:rsid w:val="00E1182D"/>
    <w:rsid w:val="00E11CE7"/>
    <w:rsid w:val="00E147B1"/>
    <w:rsid w:val="00E147DF"/>
    <w:rsid w:val="00E15C24"/>
    <w:rsid w:val="00E17181"/>
    <w:rsid w:val="00E17FBE"/>
    <w:rsid w:val="00E22D4A"/>
    <w:rsid w:val="00E23444"/>
    <w:rsid w:val="00E25F71"/>
    <w:rsid w:val="00E26815"/>
    <w:rsid w:val="00E27A25"/>
    <w:rsid w:val="00E30F88"/>
    <w:rsid w:val="00E33A88"/>
    <w:rsid w:val="00E41449"/>
    <w:rsid w:val="00E43D2F"/>
    <w:rsid w:val="00E46156"/>
    <w:rsid w:val="00E4645B"/>
    <w:rsid w:val="00E50420"/>
    <w:rsid w:val="00E525D9"/>
    <w:rsid w:val="00E52EB5"/>
    <w:rsid w:val="00E530AB"/>
    <w:rsid w:val="00E5634F"/>
    <w:rsid w:val="00E567DE"/>
    <w:rsid w:val="00E572A3"/>
    <w:rsid w:val="00E57552"/>
    <w:rsid w:val="00E60A7A"/>
    <w:rsid w:val="00E61202"/>
    <w:rsid w:val="00E62C73"/>
    <w:rsid w:val="00E66B5F"/>
    <w:rsid w:val="00E7005B"/>
    <w:rsid w:val="00E7214A"/>
    <w:rsid w:val="00E72C46"/>
    <w:rsid w:val="00E766AD"/>
    <w:rsid w:val="00E767E0"/>
    <w:rsid w:val="00E80037"/>
    <w:rsid w:val="00E83096"/>
    <w:rsid w:val="00E860ED"/>
    <w:rsid w:val="00E861FB"/>
    <w:rsid w:val="00E8783F"/>
    <w:rsid w:val="00E879C5"/>
    <w:rsid w:val="00E87E18"/>
    <w:rsid w:val="00E91E73"/>
    <w:rsid w:val="00E97551"/>
    <w:rsid w:val="00E975C8"/>
    <w:rsid w:val="00EA2F22"/>
    <w:rsid w:val="00EB03FC"/>
    <w:rsid w:val="00EB23F5"/>
    <w:rsid w:val="00EB4462"/>
    <w:rsid w:val="00EB7512"/>
    <w:rsid w:val="00EB7EBD"/>
    <w:rsid w:val="00EC0273"/>
    <w:rsid w:val="00EC0451"/>
    <w:rsid w:val="00EC45E7"/>
    <w:rsid w:val="00EC4985"/>
    <w:rsid w:val="00EC5161"/>
    <w:rsid w:val="00EC67B0"/>
    <w:rsid w:val="00EC6FFF"/>
    <w:rsid w:val="00EC7F95"/>
    <w:rsid w:val="00ED29E6"/>
    <w:rsid w:val="00ED41CB"/>
    <w:rsid w:val="00ED52FA"/>
    <w:rsid w:val="00ED79B6"/>
    <w:rsid w:val="00EE0C8D"/>
    <w:rsid w:val="00EE3468"/>
    <w:rsid w:val="00EE46DA"/>
    <w:rsid w:val="00EE6B22"/>
    <w:rsid w:val="00EE720E"/>
    <w:rsid w:val="00EE738F"/>
    <w:rsid w:val="00EE7926"/>
    <w:rsid w:val="00EF2DD7"/>
    <w:rsid w:val="00EF5836"/>
    <w:rsid w:val="00F004EA"/>
    <w:rsid w:val="00F02ADB"/>
    <w:rsid w:val="00F034AE"/>
    <w:rsid w:val="00F04E69"/>
    <w:rsid w:val="00F053B6"/>
    <w:rsid w:val="00F06176"/>
    <w:rsid w:val="00F06C63"/>
    <w:rsid w:val="00F1210C"/>
    <w:rsid w:val="00F1760D"/>
    <w:rsid w:val="00F17CA9"/>
    <w:rsid w:val="00F209F2"/>
    <w:rsid w:val="00F22354"/>
    <w:rsid w:val="00F253BF"/>
    <w:rsid w:val="00F34871"/>
    <w:rsid w:val="00F37137"/>
    <w:rsid w:val="00F373AC"/>
    <w:rsid w:val="00F43EAD"/>
    <w:rsid w:val="00F51651"/>
    <w:rsid w:val="00F5330D"/>
    <w:rsid w:val="00F5646D"/>
    <w:rsid w:val="00F56856"/>
    <w:rsid w:val="00F57126"/>
    <w:rsid w:val="00F57CA6"/>
    <w:rsid w:val="00F60BA0"/>
    <w:rsid w:val="00F62487"/>
    <w:rsid w:val="00F640DF"/>
    <w:rsid w:val="00F65BF2"/>
    <w:rsid w:val="00F73410"/>
    <w:rsid w:val="00F82FAD"/>
    <w:rsid w:val="00F859FA"/>
    <w:rsid w:val="00F90ADC"/>
    <w:rsid w:val="00F91AA4"/>
    <w:rsid w:val="00F93388"/>
    <w:rsid w:val="00F934BF"/>
    <w:rsid w:val="00F9633C"/>
    <w:rsid w:val="00F97E5F"/>
    <w:rsid w:val="00FA21CD"/>
    <w:rsid w:val="00FA6016"/>
    <w:rsid w:val="00FB1CD0"/>
    <w:rsid w:val="00FB32D6"/>
    <w:rsid w:val="00FB5E79"/>
    <w:rsid w:val="00FB7DAC"/>
    <w:rsid w:val="00FC4126"/>
    <w:rsid w:val="00FC6919"/>
    <w:rsid w:val="00FC76AB"/>
    <w:rsid w:val="00FD03F8"/>
    <w:rsid w:val="00FD3CD0"/>
    <w:rsid w:val="00FD7D9E"/>
    <w:rsid w:val="00FE0040"/>
    <w:rsid w:val="00FE1164"/>
    <w:rsid w:val="00FE130E"/>
    <w:rsid w:val="00FE35C2"/>
    <w:rsid w:val="00FE51C5"/>
    <w:rsid w:val="00FE5583"/>
    <w:rsid w:val="00FE60F0"/>
    <w:rsid w:val="00FE744C"/>
    <w:rsid w:val="00FF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C1411A"/>
  <w15:docId w15:val="{32CBB874-8BA9-446C-90EC-E75185E5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1FB"/>
    <w:pPr>
      <w:spacing w:before="120" w:after="200" w:line="276" w:lineRule="auto"/>
    </w:pPr>
    <w:rPr>
      <w:rFonts w:eastAsiaTheme="minorEastAsia"/>
      <w:sz w:val="24"/>
      <w:szCs w:val="24"/>
      <w:lang w:eastAsia="en-GB"/>
    </w:rPr>
  </w:style>
  <w:style w:type="paragraph" w:styleId="Heading1">
    <w:name w:val="heading 1"/>
    <w:basedOn w:val="Normal"/>
    <w:next w:val="Normal"/>
    <w:link w:val="Heading1Char"/>
    <w:uiPriority w:val="9"/>
    <w:qFormat/>
    <w:rsid w:val="00EB4462"/>
    <w:pPr>
      <w:spacing w:before="24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E3D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01C04"/>
    <w:pPr>
      <w:spacing w:before="200" w:after="120" w:line="271" w:lineRule="auto"/>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unhideWhenUsed/>
    <w:qFormat/>
    <w:rsid w:val="009735A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462"/>
    <w:rPr>
      <w:rFonts w:asciiTheme="majorHAnsi" w:eastAsiaTheme="majorEastAsia" w:hAnsiTheme="majorHAnsi" w:cstheme="majorBidi"/>
      <w:b/>
      <w:bCs/>
      <w:sz w:val="28"/>
      <w:szCs w:val="28"/>
      <w:lang w:eastAsia="en-GB"/>
    </w:rPr>
  </w:style>
  <w:style w:type="character" w:customStyle="1" w:styleId="Heading2Char">
    <w:name w:val="Heading 2 Char"/>
    <w:basedOn w:val="DefaultParagraphFont"/>
    <w:link w:val="Heading2"/>
    <w:uiPriority w:val="9"/>
    <w:rsid w:val="007E3D66"/>
    <w:rPr>
      <w:rFonts w:asciiTheme="majorHAnsi" w:eastAsiaTheme="majorEastAsia" w:hAnsiTheme="majorHAnsi" w:cstheme="majorBidi"/>
      <w:b/>
      <w:bCs/>
      <w:sz w:val="26"/>
      <w:szCs w:val="26"/>
      <w:lang w:eastAsia="en-GB"/>
    </w:rPr>
  </w:style>
  <w:style w:type="character" w:customStyle="1" w:styleId="Heading3Char">
    <w:name w:val="Heading 3 Char"/>
    <w:basedOn w:val="DefaultParagraphFont"/>
    <w:link w:val="Heading3"/>
    <w:uiPriority w:val="9"/>
    <w:rsid w:val="00701C04"/>
    <w:rPr>
      <w:rFonts w:asciiTheme="majorHAnsi" w:eastAsiaTheme="majorEastAsia" w:hAnsiTheme="majorHAnsi" w:cstheme="majorBidi"/>
      <w:b/>
      <w:bCs/>
      <w:i/>
      <w:sz w:val="24"/>
      <w:szCs w:val="24"/>
      <w:lang w:eastAsia="en-GB"/>
    </w:rPr>
  </w:style>
  <w:style w:type="paragraph" w:styleId="Footer">
    <w:name w:val="footer"/>
    <w:link w:val="FooterChar"/>
    <w:rsid w:val="007E3D66"/>
    <w:pPr>
      <w:tabs>
        <w:tab w:val="center" w:pos="4513"/>
        <w:tab w:val="right" w:pos="9026"/>
      </w:tabs>
      <w:spacing w:after="0" w:line="240" w:lineRule="auto"/>
    </w:pPr>
    <w:rPr>
      <w:rFonts w:ascii="Calibri" w:eastAsia="Calibri" w:hAnsi="Calibri" w:cs="Calibri"/>
      <w:color w:val="000000"/>
      <w:u w:color="000000"/>
      <w:lang w:val="en-US" w:eastAsia="en-GB"/>
    </w:rPr>
  </w:style>
  <w:style w:type="character" w:customStyle="1" w:styleId="FooterChar">
    <w:name w:val="Footer Char"/>
    <w:basedOn w:val="DefaultParagraphFont"/>
    <w:link w:val="Footer"/>
    <w:rsid w:val="007E3D66"/>
    <w:rPr>
      <w:rFonts w:ascii="Calibri" w:eastAsia="Calibri" w:hAnsi="Calibri" w:cs="Calibri"/>
      <w:color w:val="000000"/>
      <w:u w:color="000000"/>
      <w:lang w:val="en-US" w:eastAsia="en-GB"/>
    </w:rPr>
  </w:style>
  <w:style w:type="paragraph" w:customStyle="1" w:styleId="Body">
    <w:name w:val="Body"/>
    <w:rsid w:val="007E3D66"/>
    <w:pPr>
      <w:spacing w:after="200" w:line="480" w:lineRule="auto"/>
    </w:pPr>
    <w:rPr>
      <w:rFonts w:ascii="Calibri" w:eastAsia="Calibri" w:hAnsi="Calibri" w:cs="Calibri"/>
      <w:color w:val="000000"/>
      <w:u w:color="000000"/>
      <w:lang w:val="en-US" w:eastAsia="en-GB"/>
    </w:rPr>
  </w:style>
  <w:style w:type="paragraph" w:styleId="Quote">
    <w:name w:val="Quote"/>
    <w:basedOn w:val="Normal"/>
    <w:next w:val="Normal"/>
    <w:link w:val="QuoteChar"/>
    <w:uiPriority w:val="29"/>
    <w:qFormat/>
    <w:rsid w:val="007E3D66"/>
    <w:pPr>
      <w:spacing w:before="200" w:after="0"/>
      <w:ind w:left="360" w:right="360"/>
    </w:pPr>
    <w:rPr>
      <w:i/>
      <w:iCs/>
    </w:rPr>
  </w:style>
  <w:style w:type="character" w:customStyle="1" w:styleId="QuoteChar">
    <w:name w:val="Quote Char"/>
    <w:basedOn w:val="DefaultParagraphFont"/>
    <w:link w:val="Quote"/>
    <w:uiPriority w:val="29"/>
    <w:rsid w:val="007E3D66"/>
    <w:rPr>
      <w:rFonts w:eastAsiaTheme="minorEastAsia"/>
      <w:i/>
      <w:iCs/>
      <w:lang w:eastAsia="en-GB"/>
    </w:rPr>
  </w:style>
  <w:style w:type="paragraph" w:styleId="ListParagraph">
    <w:name w:val="List Paragraph"/>
    <w:basedOn w:val="Normal"/>
    <w:uiPriority w:val="34"/>
    <w:qFormat/>
    <w:rsid w:val="007E3D66"/>
    <w:pPr>
      <w:ind w:left="720"/>
      <w:contextualSpacing/>
    </w:pPr>
  </w:style>
  <w:style w:type="table" w:styleId="TableGrid">
    <w:name w:val="Table Grid"/>
    <w:basedOn w:val="TableNormal"/>
    <w:uiPriority w:val="39"/>
    <w:rsid w:val="007E3D6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7E3D66"/>
    <w:pPr>
      <w:spacing w:line="240" w:lineRule="auto"/>
    </w:pPr>
    <w:rPr>
      <w:b/>
      <w:bCs/>
      <w:color w:val="4472C4" w:themeColor="accent1"/>
      <w:sz w:val="18"/>
      <w:szCs w:val="18"/>
    </w:rPr>
  </w:style>
  <w:style w:type="character" w:styleId="Hyperlink">
    <w:name w:val="Hyperlink"/>
    <w:basedOn w:val="DefaultParagraphFont"/>
    <w:uiPriority w:val="99"/>
    <w:unhideWhenUsed/>
    <w:rsid w:val="00460D03"/>
    <w:rPr>
      <w:color w:val="0563C1" w:themeColor="hyperlink"/>
      <w:u w:val="single"/>
    </w:rPr>
  </w:style>
  <w:style w:type="character" w:customStyle="1" w:styleId="UnresolvedMention1">
    <w:name w:val="Unresolved Mention1"/>
    <w:basedOn w:val="DefaultParagraphFont"/>
    <w:uiPriority w:val="99"/>
    <w:semiHidden/>
    <w:unhideWhenUsed/>
    <w:rsid w:val="00460D03"/>
    <w:rPr>
      <w:color w:val="605E5C"/>
      <w:shd w:val="clear" w:color="auto" w:fill="E1DFDD"/>
    </w:rPr>
  </w:style>
  <w:style w:type="character" w:styleId="CommentReference">
    <w:name w:val="annotation reference"/>
    <w:basedOn w:val="DefaultParagraphFont"/>
    <w:uiPriority w:val="99"/>
    <w:semiHidden/>
    <w:unhideWhenUsed/>
    <w:rsid w:val="00515637"/>
    <w:rPr>
      <w:sz w:val="16"/>
      <w:szCs w:val="16"/>
    </w:rPr>
  </w:style>
  <w:style w:type="paragraph" w:styleId="NormalWeb">
    <w:name w:val="Normal (Web)"/>
    <w:basedOn w:val="Normal"/>
    <w:uiPriority w:val="99"/>
    <w:unhideWhenUsed/>
    <w:rsid w:val="00602263"/>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next w:val="Newparagraph"/>
    <w:qFormat/>
    <w:rsid w:val="00FE0040"/>
    <w:pPr>
      <w:widowControl w:val="0"/>
      <w:spacing w:before="240" w:after="0" w:line="480" w:lineRule="auto"/>
    </w:pPr>
    <w:rPr>
      <w:rFonts w:ascii="Times New Roman" w:eastAsia="Times New Roman" w:hAnsi="Times New Roman" w:cs="Times New Roman"/>
    </w:rPr>
  </w:style>
  <w:style w:type="paragraph" w:customStyle="1" w:styleId="Newparagraph">
    <w:name w:val="New paragraph"/>
    <w:basedOn w:val="Normal"/>
    <w:qFormat/>
    <w:rsid w:val="00FE0040"/>
    <w:pPr>
      <w:spacing w:after="0" w:line="480" w:lineRule="auto"/>
      <w:ind w:firstLine="720"/>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0F27E5"/>
    <w:pPr>
      <w:spacing w:line="240" w:lineRule="auto"/>
    </w:pPr>
    <w:rPr>
      <w:sz w:val="20"/>
      <w:szCs w:val="20"/>
    </w:rPr>
  </w:style>
  <w:style w:type="character" w:customStyle="1" w:styleId="CommentTextChar">
    <w:name w:val="Comment Text Char"/>
    <w:basedOn w:val="DefaultParagraphFont"/>
    <w:link w:val="CommentText"/>
    <w:uiPriority w:val="99"/>
    <w:rsid w:val="000F27E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F27E5"/>
    <w:rPr>
      <w:b/>
      <w:bCs/>
    </w:rPr>
  </w:style>
  <w:style w:type="character" w:customStyle="1" w:styleId="CommentSubjectChar">
    <w:name w:val="Comment Subject Char"/>
    <w:basedOn w:val="CommentTextChar"/>
    <w:link w:val="CommentSubject"/>
    <w:uiPriority w:val="99"/>
    <w:semiHidden/>
    <w:rsid w:val="000F27E5"/>
    <w:rPr>
      <w:rFonts w:eastAsiaTheme="minorEastAsia"/>
      <w:b/>
      <w:bCs/>
      <w:sz w:val="20"/>
      <w:szCs w:val="20"/>
      <w:lang w:eastAsia="en-GB"/>
    </w:rPr>
  </w:style>
  <w:style w:type="paragraph" w:styleId="BalloonText">
    <w:name w:val="Balloon Text"/>
    <w:basedOn w:val="Normal"/>
    <w:link w:val="BalloonTextChar"/>
    <w:uiPriority w:val="99"/>
    <w:semiHidden/>
    <w:unhideWhenUsed/>
    <w:rsid w:val="000F2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7E5"/>
    <w:rPr>
      <w:rFonts w:ascii="Segoe UI" w:eastAsiaTheme="minorEastAsia" w:hAnsi="Segoe UI" w:cs="Segoe UI"/>
      <w:sz w:val="18"/>
      <w:szCs w:val="18"/>
      <w:lang w:eastAsia="en-GB"/>
    </w:rPr>
  </w:style>
  <w:style w:type="table" w:customStyle="1" w:styleId="PlainTable21">
    <w:name w:val="Plain Table 21"/>
    <w:basedOn w:val="TableNormal"/>
    <w:uiPriority w:val="42"/>
    <w:rsid w:val="005840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0">
    <w:name w:val="[Normal]"/>
    <w:uiPriority w:val="99"/>
    <w:rsid w:val="00931D62"/>
    <w:pPr>
      <w:widowControl w:val="0"/>
      <w:autoSpaceDE w:val="0"/>
      <w:autoSpaceDN w:val="0"/>
      <w:adjustRightInd w:val="0"/>
      <w:spacing w:after="0" w:line="240" w:lineRule="auto"/>
    </w:pPr>
    <w:rPr>
      <w:rFonts w:ascii="Arial" w:hAnsi="Arial" w:cs="Arial"/>
      <w:sz w:val="24"/>
      <w:szCs w:val="24"/>
    </w:rPr>
  </w:style>
  <w:style w:type="paragraph" w:customStyle="1" w:styleId="ng-binding">
    <w:name w:val="ng-binding"/>
    <w:basedOn w:val="Normal"/>
    <w:rsid w:val="005A1A26"/>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link w:val="SubtitleChar"/>
    <w:uiPriority w:val="11"/>
    <w:qFormat/>
    <w:rsid w:val="002C0C9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C0C90"/>
    <w:rPr>
      <w:rFonts w:eastAsiaTheme="minorEastAsia"/>
      <w:color w:val="5A5A5A" w:themeColor="text1" w:themeTint="A5"/>
      <w:spacing w:val="15"/>
      <w:lang w:eastAsia="en-GB"/>
    </w:rPr>
  </w:style>
  <w:style w:type="paragraph" w:styleId="FootnoteText">
    <w:name w:val="footnote text"/>
    <w:basedOn w:val="Normal"/>
    <w:link w:val="FootnoteTextChar"/>
    <w:uiPriority w:val="99"/>
    <w:semiHidden/>
    <w:unhideWhenUsed/>
    <w:rsid w:val="00485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85FAA"/>
    <w:rPr>
      <w:rFonts w:eastAsiaTheme="minorEastAsia"/>
      <w:sz w:val="20"/>
      <w:szCs w:val="20"/>
      <w:lang w:eastAsia="en-GB"/>
    </w:rPr>
  </w:style>
  <w:style w:type="character" w:styleId="FootnoteReference">
    <w:name w:val="footnote reference"/>
    <w:basedOn w:val="DefaultParagraphFont"/>
    <w:uiPriority w:val="99"/>
    <w:semiHidden/>
    <w:unhideWhenUsed/>
    <w:rsid w:val="00485FAA"/>
    <w:rPr>
      <w:vertAlign w:val="superscript"/>
    </w:rPr>
  </w:style>
  <w:style w:type="character" w:customStyle="1" w:styleId="Heading4Char">
    <w:name w:val="Heading 4 Char"/>
    <w:basedOn w:val="DefaultParagraphFont"/>
    <w:link w:val="Heading4"/>
    <w:uiPriority w:val="9"/>
    <w:rsid w:val="009735AB"/>
    <w:rPr>
      <w:rFonts w:asciiTheme="majorHAnsi" w:eastAsiaTheme="majorEastAsia" w:hAnsiTheme="majorHAnsi" w:cstheme="majorBidi"/>
      <w:i/>
      <w:iCs/>
      <w:sz w:val="24"/>
      <w:szCs w:val="24"/>
      <w:lang w:eastAsia="en-GB"/>
    </w:rPr>
  </w:style>
  <w:style w:type="paragraph" w:styleId="PlainText">
    <w:name w:val="Plain Text"/>
    <w:basedOn w:val="Normal"/>
    <w:link w:val="PlainTextChar"/>
    <w:uiPriority w:val="99"/>
    <w:semiHidden/>
    <w:unhideWhenUsed/>
    <w:rsid w:val="007D7AB3"/>
    <w:pPr>
      <w:spacing w:before="0" w:after="0"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7D7AB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0687">
      <w:bodyDiv w:val="1"/>
      <w:marLeft w:val="0"/>
      <w:marRight w:val="0"/>
      <w:marTop w:val="0"/>
      <w:marBottom w:val="0"/>
      <w:divBdr>
        <w:top w:val="none" w:sz="0" w:space="0" w:color="auto"/>
        <w:left w:val="none" w:sz="0" w:space="0" w:color="auto"/>
        <w:bottom w:val="none" w:sz="0" w:space="0" w:color="auto"/>
        <w:right w:val="none" w:sz="0" w:space="0" w:color="auto"/>
      </w:divBdr>
    </w:div>
    <w:div w:id="20644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B0D4-1BF7-48B0-B37C-79A2F9C8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27564</Words>
  <Characters>157117</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Amy</dc:creator>
  <cp:keywords/>
  <dc:description/>
  <cp:lastModifiedBy>BURTON Amy</cp:lastModifiedBy>
  <cp:revision>52</cp:revision>
  <dcterms:created xsi:type="dcterms:W3CDTF">2019-03-05T15:00:00Z</dcterms:created>
  <dcterms:modified xsi:type="dcterms:W3CDTF">2019-03-15T08:44:00Z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75736101-02d6-3987-9a55-d623231cf6a5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vt:lpwstr>
  </property>
  <property fmtid="{D5CDD505-2E9C-101B-9397-08002B2CF9AE}" pid="24" name="Mendeley Recent Style Name 9_1">
    <vt:lpwstr>Vancouver (brackets)</vt:lpwstr>
  </property>
</Properties>
</file>