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2BF7" w14:textId="77777777" w:rsidR="00C511A4" w:rsidRPr="00916D1A" w:rsidRDefault="00C511A4" w:rsidP="00C511A4">
      <w:pPr>
        <w:spacing w:line="480" w:lineRule="auto"/>
        <w:rPr>
          <w:rFonts w:asciiTheme="majorBidi" w:hAnsiTheme="majorBidi" w:cstheme="majorBidi"/>
          <w:b/>
          <w:bCs/>
          <w:sz w:val="24"/>
          <w:szCs w:val="24"/>
        </w:rPr>
      </w:pPr>
      <w:r w:rsidRPr="00916D1A">
        <w:rPr>
          <w:rFonts w:asciiTheme="majorBidi" w:hAnsiTheme="majorBidi" w:cstheme="majorBidi"/>
          <w:b/>
          <w:bCs/>
          <w:sz w:val="24"/>
          <w:szCs w:val="24"/>
        </w:rPr>
        <w:t xml:space="preserve">Title: </w:t>
      </w:r>
      <w:r w:rsidRPr="00916D1A">
        <w:rPr>
          <w:rFonts w:asciiTheme="majorBidi" w:hAnsiTheme="majorBidi" w:cstheme="majorBidi"/>
          <w:sz w:val="24"/>
          <w:szCs w:val="24"/>
        </w:rPr>
        <w:t>Gait stability of diabetic patients is altered with the rigid rocker shoes</w:t>
      </w:r>
    </w:p>
    <w:p w14:paraId="4C1879F2" w14:textId="77777777" w:rsidR="00C511A4" w:rsidRPr="00916D1A" w:rsidRDefault="00C511A4" w:rsidP="00C511A4">
      <w:pPr>
        <w:spacing w:line="480" w:lineRule="auto"/>
        <w:rPr>
          <w:rFonts w:asciiTheme="majorBidi" w:hAnsiTheme="majorBidi" w:cstheme="majorBidi"/>
          <w:b/>
          <w:bCs/>
          <w:sz w:val="24"/>
          <w:szCs w:val="24"/>
        </w:rPr>
      </w:pPr>
      <w:r w:rsidRPr="00916D1A">
        <w:rPr>
          <w:rFonts w:asciiTheme="majorBidi" w:hAnsiTheme="majorBidi" w:cstheme="majorBidi"/>
          <w:b/>
          <w:bCs/>
          <w:sz w:val="24"/>
          <w:szCs w:val="24"/>
        </w:rPr>
        <w:t xml:space="preserve">Author names and affiliations: </w:t>
      </w:r>
    </w:p>
    <w:p w14:paraId="620B233C"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Banafshe Ghomian</w:t>
      </w:r>
      <w:r w:rsidRPr="00916D1A">
        <w:rPr>
          <w:rFonts w:asciiTheme="majorBidi" w:hAnsiTheme="majorBidi" w:cstheme="majorBidi"/>
          <w:sz w:val="24"/>
          <w:szCs w:val="24"/>
          <w:vertAlign w:val="superscript"/>
        </w:rPr>
        <w:t>a</w:t>
      </w:r>
    </w:p>
    <w:p w14:paraId="6053AB55"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a </w:t>
      </w:r>
      <w:r w:rsidRPr="00916D1A">
        <w:rPr>
          <w:rFonts w:asciiTheme="majorBidi" w:hAnsiTheme="majorBidi" w:cstheme="majorBidi"/>
          <w:sz w:val="24"/>
          <w:szCs w:val="24"/>
        </w:rPr>
        <w:t xml:space="preserve">School of Rehabilitation Sciences, Iran University of Medical Sciences, Tehran, Iran </w:t>
      </w:r>
      <w:hyperlink r:id="rId8" w:history="1">
        <w:r w:rsidRPr="00916D1A">
          <w:rPr>
            <w:rStyle w:val="Hyperlink"/>
            <w:rFonts w:asciiTheme="majorBidi" w:hAnsiTheme="majorBidi" w:cstheme="majorBidi"/>
            <w:sz w:val="24"/>
            <w:szCs w:val="24"/>
          </w:rPr>
          <w:t>banafshe.ghomian@gmail.com</w:t>
        </w:r>
      </w:hyperlink>
    </w:p>
    <w:p w14:paraId="04E0C35C"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Roozbeh Naemi</w:t>
      </w:r>
      <w:r w:rsidRPr="00916D1A">
        <w:rPr>
          <w:rFonts w:asciiTheme="majorBidi" w:hAnsiTheme="majorBidi" w:cstheme="majorBidi"/>
          <w:sz w:val="24"/>
          <w:szCs w:val="24"/>
          <w:vertAlign w:val="superscript"/>
        </w:rPr>
        <w:t>b</w:t>
      </w:r>
    </w:p>
    <w:p w14:paraId="3DB34DFB"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b </w:t>
      </w:r>
      <w:r w:rsidRPr="00916D1A">
        <w:rPr>
          <w:rFonts w:asciiTheme="majorBidi" w:hAnsiTheme="majorBidi" w:cstheme="majorBidi"/>
          <w:sz w:val="24"/>
          <w:szCs w:val="24"/>
        </w:rPr>
        <w:t xml:space="preserve">School of Life Sciences and Education, Staffordshire University, Stoke on Trent, United Kingdom </w:t>
      </w:r>
      <w:hyperlink r:id="rId9" w:history="1">
        <w:r w:rsidRPr="00916D1A">
          <w:rPr>
            <w:rStyle w:val="Hyperlink"/>
            <w:rFonts w:asciiTheme="majorBidi" w:hAnsiTheme="majorBidi" w:cstheme="majorBidi"/>
            <w:sz w:val="24"/>
            <w:szCs w:val="24"/>
          </w:rPr>
          <w:t>r.Naemi@staffs.ac.uk</w:t>
        </w:r>
      </w:hyperlink>
    </w:p>
    <w:p w14:paraId="22C35A72"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rPr>
        <w:t>Sina Mehdizadeh</w:t>
      </w:r>
      <w:r w:rsidRPr="00916D1A">
        <w:rPr>
          <w:rFonts w:asciiTheme="majorBidi" w:hAnsiTheme="majorBidi" w:cstheme="majorBidi"/>
          <w:sz w:val="24"/>
          <w:szCs w:val="24"/>
          <w:vertAlign w:val="superscript"/>
        </w:rPr>
        <w:t>c</w:t>
      </w:r>
    </w:p>
    <w:p w14:paraId="3B718D19"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c </w:t>
      </w:r>
      <w:r w:rsidRPr="00916D1A">
        <w:rPr>
          <w:rFonts w:asciiTheme="majorBidi" w:hAnsiTheme="majorBidi" w:cstheme="majorBidi"/>
          <w:sz w:val="24"/>
          <w:szCs w:val="24"/>
        </w:rPr>
        <w:t xml:space="preserve">Toronto Rehabilitation Institute, University Health Network, Toronto, ON, Canada </w:t>
      </w:r>
      <w:hyperlink r:id="rId10" w:history="1">
        <w:r w:rsidRPr="00916D1A">
          <w:rPr>
            <w:rStyle w:val="Hyperlink"/>
            <w:rFonts w:asciiTheme="majorBidi" w:hAnsiTheme="majorBidi" w:cstheme="majorBidi"/>
            <w:sz w:val="24"/>
            <w:szCs w:val="24"/>
          </w:rPr>
          <w:t>sina.mehdizadeh@uhnresearch.ca</w:t>
        </w:r>
      </w:hyperlink>
    </w:p>
    <w:p w14:paraId="0E3ECF14"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Hassan Jafari</w:t>
      </w:r>
      <w:r w:rsidRPr="00916D1A">
        <w:rPr>
          <w:rFonts w:asciiTheme="majorBidi" w:hAnsiTheme="majorBidi" w:cstheme="majorBidi"/>
          <w:sz w:val="24"/>
          <w:szCs w:val="24"/>
          <w:vertAlign w:val="superscript"/>
        </w:rPr>
        <w:t>a, d</w:t>
      </w:r>
    </w:p>
    <w:p w14:paraId="1A9AE153"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a </w:t>
      </w:r>
      <w:r w:rsidRPr="00916D1A">
        <w:rPr>
          <w:rFonts w:asciiTheme="majorBidi" w:hAnsiTheme="majorBidi" w:cstheme="majorBidi"/>
          <w:sz w:val="24"/>
          <w:szCs w:val="24"/>
        </w:rPr>
        <w:t xml:space="preserve">School of Rehabilitation Sciences, Iran University of Medical Sciences, Tehran, Iran </w:t>
      </w:r>
      <w:hyperlink r:id="rId11" w:history="1">
        <w:r w:rsidRPr="00916D1A">
          <w:rPr>
            <w:rStyle w:val="Hyperlink"/>
            <w:rFonts w:asciiTheme="majorBidi" w:hAnsiTheme="majorBidi" w:cstheme="majorBidi"/>
            <w:sz w:val="24"/>
            <w:szCs w:val="24"/>
          </w:rPr>
          <w:t>jafari.h@iums.ac.ir</w:t>
        </w:r>
      </w:hyperlink>
    </w:p>
    <w:p w14:paraId="42C2E353"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d</w:t>
      </w:r>
      <w:r w:rsidRPr="00916D1A">
        <w:rPr>
          <w:rFonts w:asciiTheme="majorBidi" w:hAnsiTheme="majorBidi" w:cstheme="majorBidi"/>
          <w:sz w:val="24"/>
          <w:szCs w:val="24"/>
        </w:rPr>
        <w:t xml:space="preserve"> Department of Biostatistics and Health Informatics, Institute of Psychology Psychiatry and Neuroscience, King's College London, United Kingdom </w:t>
      </w:r>
      <w:hyperlink r:id="rId12" w:history="1">
        <w:r w:rsidRPr="00916D1A">
          <w:rPr>
            <w:rStyle w:val="Hyperlink"/>
            <w:rFonts w:asciiTheme="majorBidi" w:hAnsiTheme="majorBidi" w:cstheme="majorBidi"/>
            <w:sz w:val="24"/>
            <w:szCs w:val="24"/>
          </w:rPr>
          <w:t>hassan.jafari@kcl.ac.uk</w:t>
        </w:r>
      </w:hyperlink>
    </w:p>
    <w:p w14:paraId="4997CD81"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Ismael Ebrahimi Takamjani</w:t>
      </w:r>
      <w:r w:rsidRPr="00916D1A">
        <w:rPr>
          <w:rFonts w:asciiTheme="majorBidi" w:hAnsiTheme="majorBidi" w:cstheme="majorBidi"/>
          <w:sz w:val="24"/>
          <w:szCs w:val="24"/>
          <w:vertAlign w:val="superscript"/>
        </w:rPr>
        <w:t>a</w:t>
      </w:r>
    </w:p>
    <w:p w14:paraId="5FB3AC59"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a </w:t>
      </w:r>
      <w:r w:rsidRPr="00916D1A">
        <w:rPr>
          <w:rFonts w:asciiTheme="majorBidi" w:hAnsiTheme="majorBidi" w:cstheme="majorBidi"/>
          <w:sz w:val="24"/>
          <w:szCs w:val="24"/>
        </w:rPr>
        <w:t xml:space="preserve">School of Rehabilitation Sciences, Iran University of Medical Sciences, Tehran, Iran </w:t>
      </w:r>
      <w:hyperlink r:id="rId13" w:history="1">
        <w:r w:rsidRPr="00916D1A">
          <w:rPr>
            <w:rStyle w:val="Hyperlink"/>
            <w:rFonts w:asciiTheme="majorBidi" w:hAnsiTheme="majorBidi" w:cstheme="majorBidi"/>
            <w:sz w:val="24"/>
            <w:szCs w:val="24"/>
          </w:rPr>
          <w:t>ebrahimi.pt@gmail.com</w:t>
        </w:r>
      </w:hyperlink>
    </w:p>
    <w:p w14:paraId="0AE7AE0C"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Rokhsareh Aghili</w:t>
      </w:r>
      <w:r w:rsidRPr="00916D1A">
        <w:rPr>
          <w:rFonts w:asciiTheme="majorBidi" w:hAnsiTheme="majorBidi" w:cstheme="majorBidi"/>
          <w:sz w:val="24"/>
          <w:szCs w:val="24"/>
          <w:vertAlign w:val="superscript"/>
        </w:rPr>
        <w:t>e</w:t>
      </w:r>
    </w:p>
    <w:p w14:paraId="750CC26C"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lastRenderedPageBreak/>
        <w:t>e</w:t>
      </w:r>
      <w:r w:rsidRPr="00916D1A">
        <w:rPr>
          <w:rFonts w:asciiTheme="majorBidi" w:hAnsiTheme="majorBidi" w:cstheme="majorBidi"/>
          <w:sz w:val="24"/>
          <w:szCs w:val="24"/>
        </w:rPr>
        <w:t xml:space="preserve"> Endocrine Research Center, Institute of Endocrinology and Metabolism, Iran University of Medical Sciences, Tehran, Iran </w:t>
      </w:r>
      <w:hyperlink r:id="rId14" w:history="1">
        <w:r w:rsidRPr="00916D1A">
          <w:rPr>
            <w:rStyle w:val="Hyperlink"/>
            <w:rFonts w:asciiTheme="majorBidi" w:hAnsiTheme="majorBidi" w:cstheme="majorBidi"/>
            <w:sz w:val="24"/>
            <w:szCs w:val="24"/>
          </w:rPr>
          <w:t>aghili.r@iums.ac.ir</w:t>
        </w:r>
      </w:hyperlink>
    </w:p>
    <w:p w14:paraId="058B8EB1"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José Mendes Machado</w:t>
      </w:r>
      <w:r w:rsidRPr="00916D1A">
        <w:rPr>
          <w:rFonts w:asciiTheme="majorBidi" w:hAnsiTheme="majorBidi" w:cstheme="majorBidi"/>
          <w:sz w:val="24"/>
          <w:szCs w:val="24"/>
          <w:vertAlign w:val="superscript"/>
        </w:rPr>
        <w:t>f</w:t>
      </w:r>
    </w:p>
    <w:p w14:paraId="55EDCDAD"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f</w:t>
      </w:r>
      <w:r w:rsidRPr="00916D1A">
        <w:rPr>
          <w:rFonts w:asciiTheme="majorBidi" w:hAnsiTheme="majorBidi" w:cstheme="majorBidi"/>
          <w:sz w:val="24"/>
          <w:szCs w:val="24"/>
        </w:rPr>
        <w:t xml:space="preserve"> Mechanical Engineering Department, University of Minho, Guimarães, Portugal </w:t>
      </w:r>
      <w:hyperlink r:id="rId15" w:history="1">
        <w:r w:rsidRPr="00916D1A">
          <w:rPr>
            <w:rStyle w:val="Hyperlink"/>
            <w:rFonts w:asciiTheme="majorBidi" w:hAnsiTheme="majorBidi" w:cstheme="majorBidi"/>
            <w:sz w:val="24"/>
            <w:szCs w:val="24"/>
          </w:rPr>
          <w:t>jmachado@dem.uminho.pt</w:t>
        </w:r>
      </w:hyperlink>
    </w:p>
    <w:p w14:paraId="1EF85A97"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rPr>
        <w:t>Luís Fernando Sousa Ferreira Silva</w:t>
      </w:r>
      <w:r w:rsidRPr="00916D1A">
        <w:rPr>
          <w:rFonts w:asciiTheme="majorBidi" w:hAnsiTheme="majorBidi" w:cstheme="majorBidi"/>
          <w:sz w:val="24"/>
          <w:szCs w:val="24"/>
          <w:vertAlign w:val="superscript"/>
        </w:rPr>
        <w:t>f</w:t>
      </w:r>
    </w:p>
    <w:p w14:paraId="38B8062F" w14:textId="77777777" w:rsidR="00C511A4" w:rsidRPr="00916D1A" w:rsidRDefault="00C511A4" w:rsidP="00C511A4">
      <w:pPr>
        <w:spacing w:line="480" w:lineRule="auto"/>
        <w:rPr>
          <w:rFonts w:asciiTheme="majorBidi" w:hAnsiTheme="majorBidi" w:cstheme="majorBidi"/>
          <w:sz w:val="24"/>
          <w:szCs w:val="24"/>
          <w:vertAlign w:val="superscript"/>
        </w:rPr>
      </w:pPr>
      <w:r w:rsidRPr="00916D1A">
        <w:rPr>
          <w:rFonts w:asciiTheme="majorBidi" w:hAnsiTheme="majorBidi" w:cstheme="majorBidi"/>
          <w:sz w:val="24"/>
          <w:szCs w:val="24"/>
          <w:vertAlign w:val="superscript"/>
        </w:rPr>
        <w:t>f</w:t>
      </w:r>
      <w:r w:rsidRPr="00916D1A">
        <w:rPr>
          <w:rFonts w:asciiTheme="majorBidi" w:hAnsiTheme="majorBidi" w:cstheme="majorBidi"/>
          <w:sz w:val="24"/>
          <w:szCs w:val="24"/>
        </w:rPr>
        <w:t xml:space="preserve"> Mechanical Engineering Department, University of Minho, Guimarães, Portugal</w:t>
      </w:r>
      <w:r w:rsidRPr="00916D1A">
        <w:rPr>
          <w:rFonts w:asciiTheme="majorBidi" w:hAnsiTheme="majorBidi" w:cstheme="majorBidi"/>
          <w:sz w:val="24"/>
          <w:szCs w:val="24"/>
          <w:vertAlign w:val="superscript"/>
        </w:rPr>
        <w:t xml:space="preserve"> </w:t>
      </w:r>
      <w:hyperlink r:id="rId16" w:history="1">
        <w:r w:rsidRPr="00916D1A">
          <w:rPr>
            <w:rStyle w:val="Hyperlink"/>
            <w:rFonts w:asciiTheme="majorBidi" w:hAnsiTheme="majorBidi" w:cstheme="majorBidi"/>
            <w:sz w:val="24"/>
            <w:szCs w:val="24"/>
          </w:rPr>
          <w:t>lffsilva@dem.uminho.pt</w:t>
        </w:r>
      </w:hyperlink>
    </w:p>
    <w:p w14:paraId="06D1FCD0"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a</w:t>
      </w:r>
      <w:r w:rsidRPr="00916D1A">
        <w:rPr>
          <w:rFonts w:asciiTheme="majorBidi" w:hAnsiTheme="majorBidi" w:cstheme="majorBidi"/>
          <w:sz w:val="24"/>
          <w:szCs w:val="24"/>
        </w:rPr>
        <w:t xml:space="preserve"> Hassan Saeedi</w:t>
      </w:r>
    </w:p>
    <w:p w14:paraId="40DC72D5"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sz w:val="24"/>
          <w:szCs w:val="24"/>
          <w:vertAlign w:val="superscript"/>
        </w:rPr>
        <w:t xml:space="preserve">a </w:t>
      </w:r>
      <w:r w:rsidRPr="00916D1A">
        <w:rPr>
          <w:rFonts w:asciiTheme="majorBidi" w:hAnsiTheme="majorBidi" w:cstheme="majorBidi"/>
          <w:sz w:val="24"/>
          <w:szCs w:val="24"/>
        </w:rPr>
        <w:t xml:space="preserve">School of Rehabilitation Sciences, Iran University of Medical Sciences, Tehran, Iran </w:t>
      </w:r>
      <w:hyperlink r:id="rId17" w:history="1">
        <w:r w:rsidRPr="00916D1A">
          <w:rPr>
            <w:rStyle w:val="Hyperlink"/>
            <w:rFonts w:asciiTheme="majorBidi" w:hAnsiTheme="majorBidi" w:cstheme="majorBidi"/>
            <w:sz w:val="24"/>
            <w:szCs w:val="24"/>
          </w:rPr>
          <w:t>saeedi.h@iums.ac.ir</w:t>
        </w:r>
      </w:hyperlink>
    </w:p>
    <w:p w14:paraId="642E22DA" w14:textId="77777777" w:rsidR="00C511A4" w:rsidRPr="00916D1A" w:rsidRDefault="00C511A4" w:rsidP="00C511A4">
      <w:pPr>
        <w:spacing w:line="480" w:lineRule="auto"/>
        <w:rPr>
          <w:rFonts w:asciiTheme="majorBidi" w:hAnsiTheme="majorBidi" w:cstheme="majorBidi"/>
          <w:sz w:val="24"/>
          <w:szCs w:val="24"/>
        </w:rPr>
      </w:pPr>
    </w:p>
    <w:p w14:paraId="58FBFE5A" w14:textId="77777777" w:rsidR="00C511A4" w:rsidRPr="00916D1A" w:rsidRDefault="00C511A4" w:rsidP="00C511A4">
      <w:pPr>
        <w:spacing w:line="480" w:lineRule="auto"/>
        <w:rPr>
          <w:rFonts w:asciiTheme="majorBidi" w:hAnsiTheme="majorBidi" w:cstheme="majorBidi"/>
          <w:b/>
          <w:bCs/>
          <w:sz w:val="24"/>
          <w:szCs w:val="24"/>
        </w:rPr>
      </w:pPr>
      <w:r w:rsidRPr="00916D1A">
        <w:rPr>
          <w:rFonts w:asciiTheme="majorBidi" w:hAnsiTheme="majorBidi" w:cstheme="majorBidi"/>
          <w:b/>
          <w:bCs/>
          <w:sz w:val="24"/>
          <w:szCs w:val="24"/>
        </w:rPr>
        <w:t xml:space="preserve">Corresponding author: </w:t>
      </w:r>
      <w:r w:rsidRPr="00916D1A">
        <w:rPr>
          <w:rFonts w:asciiTheme="majorBidi" w:hAnsiTheme="majorBidi" w:cstheme="majorBidi"/>
          <w:sz w:val="24"/>
          <w:szCs w:val="24"/>
        </w:rPr>
        <w:t>Hassan Saeedi</w:t>
      </w:r>
    </w:p>
    <w:p w14:paraId="5659B7E2" w14:textId="77777777"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b/>
          <w:bCs/>
          <w:sz w:val="24"/>
          <w:szCs w:val="24"/>
        </w:rPr>
        <w:t xml:space="preserve">Present/permanent address: </w:t>
      </w:r>
      <w:r w:rsidRPr="00916D1A">
        <w:rPr>
          <w:rFonts w:asciiTheme="majorBidi" w:hAnsiTheme="majorBidi" w:cstheme="majorBidi"/>
          <w:sz w:val="24"/>
          <w:szCs w:val="24"/>
        </w:rPr>
        <w:t>Department of Prosthetics and Orthotics, School of Rehabilitation Sciences, Shah-nazari St., Mohseni Sq., Mirdamad Blvd., Tehran, Iran Postal code: 1545913487</w:t>
      </w:r>
    </w:p>
    <w:p w14:paraId="4AF0363D" w14:textId="77777777" w:rsidR="00C511A4" w:rsidRPr="00916D1A" w:rsidRDefault="00C511A4" w:rsidP="00C511A4">
      <w:pPr>
        <w:spacing w:line="480" w:lineRule="auto"/>
        <w:rPr>
          <w:rFonts w:asciiTheme="majorBidi" w:hAnsiTheme="majorBidi" w:cstheme="majorBidi"/>
          <w:sz w:val="24"/>
          <w:szCs w:val="24"/>
        </w:rPr>
      </w:pPr>
    </w:p>
    <w:p w14:paraId="7C5D9387" w14:textId="3AF8726C" w:rsidR="00C511A4" w:rsidRPr="00916D1A" w:rsidRDefault="00C511A4" w:rsidP="00C511A4">
      <w:pPr>
        <w:spacing w:line="480" w:lineRule="auto"/>
        <w:rPr>
          <w:rFonts w:asciiTheme="majorBidi" w:hAnsiTheme="majorBidi" w:cstheme="majorBidi"/>
          <w:sz w:val="24"/>
          <w:szCs w:val="24"/>
        </w:rPr>
      </w:pPr>
      <w:r w:rsidRPr="00916D1A">
        <w:rPr>
          <w:rFonts w:asciiTheme="majorBidi" w:hAnsiTheme="majorBidi" w:cstheme="majorBidi"/>
          <w:b/>
          <w:bCs/>
          <w:sz w:val="24"/>
          <w:szCs w:val="24"/>
        </w:rPr>
        <w:t xml:space="preserve">Word </w:t>
      </w:r>
      <w:r w:rsidRPr="00CD5DBF">
        <w:rPr>
          <w:rFonts w:asciiTheme="majorBidi" w:hAnsiTheme="majorBidi" w:cstheme="majorBidi"/>
          <w:b/>
          <w:bCs/>
          <w:sz w:val="24"/>
          <w:szCs w:val="24"/>
        </w:rPr>
        <w:t>count</w:t>
      </w:r>
      <w:r w:rsidRPr="00CD5DBF">
        <w:rPr>
          <w:rFonts w:asciiTheme="majorBidi" w:hAnsiTheme="majorBidi" w:cstheme="majorBidi"/>
          <w:sz w:val="24"/>
          <w:szCs w:val="24"/>
        </w:rPr>
        <w:t>: abstract (</w:t>
      </w:r>
      <w:r w:rsidR="00746D34">
        <w:rPr>
          <w:rFonts w:asciiTheme="majorBidi" w:hAnsiTheme="majorBidi" w:cstheme="majorBidi"/>
          <w:sz w:val="24"/>
          <w:szCs w:val="24"/>
        </w:rPr>
        <w:t>250</w:t>
      </w:r>
      <w:r w:rsidRPr="00CD5DBF">
        <w:rPr>
          <w:rFonts w:asciiTheme="majorBidi" w:hAnsiTheme="majorBidi" w:cstheme="majorBidi"/>
          <w:sz w:val="24"/>
          <w:szCs w:val="24"/>
        </w:rPr>
        <w:t xml:space="preserve">), </w:t>
      </w:r>
      <w:r w:rsidRPr="00520B5E">
        <w:rPr>
          <w:rFonts w:asciiTheme="majorBidi" w:hAnsiTheme="majorBidi" w:cstheme="majorBidi"/>
          <w:sz w:val="24"/>
          <w:szCs w:val="24"/>
        </w:rPr>
        <w:t>main text (3</w:t>
      </w:r>
      <w:r w:rsidR="000523A5" w:rsidRPr="00520B5E">
        <w:rPr>
          <w:rFonts w:asciiTheme="majorBidi" w:hAnsiTheme="majorBidi" w:cstheme="majorBidi"/>
          <w:sz w:val="24"/>
          <w:szCs w:val="24"/>
        </w:rPr>
        <w:t>4</w:t>
      </w:r>
      <w:r w:rsidR="00520B5E" w:rsidRPr="00520B5E">
        <w:rPr>
          <w:rFonts w:asciiTheme="majorBidi" w:hAnsiTheme="majorBidi" w:cstheme="majorBidi"/>
          <w:sz w:val="24"/>
          <w:szCs w:val="24"/>
        </w:rPr>
        <w:t>08</w:t>
      </w:r>
      <w:r w:rsidRPr="00520B5E">
        <w:rPr>
          <w:rFonts w:asciiTheme="majorBidi" w:hAnsiTheme="majorBidi" w:cstheme="majorBidi"/>
          <w:sz w:val="24"/>
          <w:szCs w:val="24"/>
        </w:rPr>
        <w:t>)</w:t>
      </w:r>
    </w:p>
    <w:p w14:paraId="3524527A" w14:textId="77777777" w:rsidR="00C511A4" w:rsidRDefault="00C511A4" w:rsidP="000614F1">
      <w:pPr>
        <w:spacing w:line="480" w:lineRule="auto"/>
        <w:jc w:val="both"/>
        <w:rPr>
          <w:rFonts w:asciiTheme="majorBidi" w:hAnsiTheme="majorBidi" w:cstheme="majorBidi"/>
          <w:i/>
          <w:iCs/>
          <w:sz w:val="24"/>
          <w:szCs w:val="24"/>
        </w:rPr>
        <w:sectPr w:rsidR="00C511A4" w:rsidSect="00C511A4">
          <w:footerReference w:type="default" r:id="rId18"/>
          <w:endnotePr>
            <w:numFmt w:val="decimal"/>
          </w:endnotePr>
          <w:type w:val="continuous"/>
          <w:pgSz w:w="12240" w:h="15840"/>
          <w:pgMar w:top="1440" w:right="1440" w:bottom="1440" w:left="1440" w:header="720" w:footer="720" w:gutter="0"/>
          <w:cols w:space="720"/>
          <w:docGrid w:linePitch="360"/>
        </w:sectPr>
      </w:pPr>
    </w:p>
    <w:p w14:paraId="74794746" w14:textId="43027E1D" w:rsidR="000614F1" w:rsidRPr="001763D9" w:rsidRDefault="000614F1" w:rsidP="000614F1">
      <w:pPr>
        <w:spacing w:line="480" w:lineRule="auto"/>
        <w:jc w:val="both"/>
        <w:rPr>
          <w:rFonts w:asciiTheme="majorBidi" w:hAnsiTheme="majorBidi" w:cstheme="majorBidi"/>
          <w:sz w:val="24"/>
          <w:szCs w:val="24"/>
        </w:rPr>
      </w:pPr>
      <w:r>
        <w:rPr>
          <w:rFonts w:asciiTheme="majorBidi" w:hAnsiTheme="majorBidi" w:cstheme="majorBidi"/>
          <w:i/>
          <w:iCs/>
          <w:sz w:val="24"/>
          <w:szCs w:val="24"/>
        </w:rPr>
        <w:lastRenderedPageBreak/>
        <w:t>Background</w:t>
      </w:r>
      <w:r w:rsidRPr="001763D9">
        <w:rPr>
          <w:rFonts w:asciiTheme="majorBidi" w:hAnsiTheme="majorBidi" w:cstheme="majorBidi"/>
          <w:i/>
          <w:iCs/>
          <w:sz w:val="24"/>
          <w:szCs w:val="24"/>
        </w:rPr>
        <w:t>:</w:t>
      </w:r>
      <w:r w:rsidRPr="001763D9">
        <w:rPr>
          <w:rFonts w:asciiTheme="majorBidi" w:hAnsiTheme="majorBidi" w:cstheme="majorBidi"/>
          <w:sz w:val="24"/>
          <w:szCs w:val="24"/>
        </w:rPr>
        <w:t xml:space="preserve"> Rigid-rocker shoes may induce gait instability in diabetic</w:t>
      </w:r>
      <w:r w:rsidR="00670871">
        <w:rPr>
          <w:rFonts w:asciiTheme="majorBidi" w:hAnsiTheme="majorBidi" w:cstheme="majorBidi"/>
          <w:sz w:val="24"/>
          <w:szCs w:val="24"/>
        </w:rPr>
        <w:t>s</w:t>
      </w:r>
      <w:r>
        <w:rPr>
          <w:rFonts w:asciiTheme="majorBidi" w:hAnsiTheme="majorBidi" w:cstheme="majorBidi"/>
          <w:sz w:val="24"/>
          <w:szCs w:val="24"/>
        </w:rPr>
        <w:t>, h</w:t>
      </w:r>
      <w:r w:rsidRPr="001763D9">
        <w:rPr>
          <w:rFonts w:asciiTheme="majorBidi" w:hAnsiTheme="majorBidi" w:cstheme="majorBidi"/>
          <w:sz w:val="24"/>
          <w:szCs w:val="24"/>
        </w:rPr>
        <w:t>owever,</w:t>
      </w:r>
      <w:r>
        <w:rPr>
          <w:rFonts w:asciiTheme="majorBidi" w:hAnsiTheme="majorBidi" w:cstheme="majorBidi"/>
          <w:sz w:val="24"/>
          <w:szCs w:val="24"/>
        </w:rPr>
        <w:t xml:space="preserve"> </w:t>
      </w:r>
      <w:r w:rsidR="00127333">
        <w:rPr>
          <w:rFonts w:asciiTheme="majorBidi" w:hAnsiTheme="majorBidi" w:cstheme="majorBidi"/>
          <w:sz w:val="24"/>
          <w:szCs w:val="24"/>
        </w:rPr>
        <w:t>is</w:t>
      </w:r>
      <w:r>
        <w:rPr>
          <w:rFonts w:asciiTheme="majorBidi" w:hAnsiTheme="majorBidi" w:cstheme="majorBidi"/>
          <w:sz w:val="24"/>
          <w:szCs w:val="24"/>
        </w:rPr>
        <w:t xml:space="preserve"> not clearly investigated.</w:t>
      </w:r>
      <w:r w:rsidR="00806201">
        <w:rPr>
          <w:rFonts w:asciiTheme="majorBidi" w:hAnsiTheme="majorBidi" w:cstheme="majorBidi"/>
          <w:sz w:val="24"/>
          <w:szCs w:val="24"/>
        </w:rPr>
        <w:t xml:space="preserve"> </w:t>
      </w:r>
      <w:r w:rsidR="00746D34">
        <w:rPr>
          <w:rFonts w:asciiTheme="majorBidi" w:hAnsiTheme="majorBidi" w:cstheme="majorBidi"/>
          <w:sz w:val="24"/>
          <w:szCs w:val="24"/>
        </w:rPr>
        <w:t>The p</w:t>
      </w:r>
      <w:r w:rsidRPr="001763D9">
        <w:rPr>
          <w:rFonts w:asciiTheme="majorBidi" w:hAnsiTheme="majorBidi" w:cstheme="majorBidi"/>
          <w:sz w:val="24"/>
          <w:szCs w:val="24"/>
        </w:rPr>
        <w:t>resent study</w:t>
      </w:r>
      <w:r w:rsidR="00A258BD">
        <w:rPr>
          <w:rFonts w:asciiTheme="majorBidi" w:hAnsiTheme="majorBidi" w:cstheme="majorBidi"/>
          <w:sz w:val="24"/>
          <w:szCs w:val="24"/>
        </w:rPr>
        <w:t xml:space="preserve"> </w:t>
      </w:r>
      <w:r w:rsidRPr="001763D9">
        <w:rPr>
          <w:rFonts w:asciiTheme="majorBidi" w:hAnsiTheme="majorBidi" w:cstheme="majorBidi"/>
          <w:sz w:val="24"/>
          <w:szCs w:val="24"/>
        </w:rPr>
        <w:t xml:space="preserve">investigates if </w:t>
      </w:r>
      <w:r w:rsidR="008E38EA">
        <w:rPr>
          <w:rFonts w:asciiTheme="majorBidi" w:hAnsiTheme="majorBidi" w:cstheme="majorBidi"/>
          <w:sz w:val="24"/>
          <w:szCs w:val="24"/>
        </w:rPr>
        <w:t>r</w:t>
      </w:r>
      <w:r w:rsidR="008E38EA" w:rsidRPr="001763D9">
        <w:rPr>
          <w:rFonts w:asciiTheme="majorBidi" w:hAnsiTheme="majorBidi" w:cstheme="majorBidi"/>
          <w:sz w:val="24"/>
          <w:szCs w:val="24"/>
        </w:rPr>
        <w:t>igid-rocker shoes</w:t>
      </w:r>
      <w:r w:rsidRPr="001763D9">
        <w:rPr>
          <w:rFonts w:asciiTheme="majorBidi" w:hAnsiTheme="majorBidi" w:cstheme="majorBidi"/>
          <w:sz w:val="24"/>
          <w:szCs w:val="24"/>
        </w:rPr>
        <w:t xml:space="preserve"> influence </w:t>
      </w:r>
      <w:r w:rsidR="00806201">
        <w:rPr>
          <w:rFonts w:asciiTheme="majorBidi" w:hAnsiTheme="majorBidi" w:cstheme="majorBidi"/>
          <w:sz w:val="24"/>
          <w:szCs w:val="24"/>
        </w:rPr>
        <w:t xml:space="preserve">diabetic </w:t>
      </w:r>
      <w:r w:rsidRPr="001763D9">
        <w:rPr>
          <w:rFonts w:asciiTheme="majorBidi" w:hAnsiTheme="majorBidi" w:cstheme="majorBidi"/>
          <w:sz w:val="24"/>
          <w:szCs w:val="24"/>
        </w:rPr>
        <w:t>ga</w:t>
      </w:r>
      <w:r>
        <w:rPr>
          <w:rFonts w:asciiTheme="majorBidi" w:hAnsiTheme="majorBidi" w:cstheme="majorBidi"/>
          <w:sz w:val="24"/>
          <w:szCs w:val="24"/>
        </w:rPr>
        <w:t>it stability.</w:t>
      </w:r>
    </w:p>
    <w:p w14:paraId="6BB03EBD" w14:textId="34008E3D" w:rsidR="000614F1" w:rsidRPr="001763D9" w:rsidRDefault="000614F1" w:rsidP="00FB2A2A">
      <w:pPr>
        <w:spacing w:line="480" w:lineRule="auto"/>
        <w:jc w:val="both"/>
        <w:rPr>
          <w:rFonts w:asciiTheme="majorBidi" w:hAnsiTheme="majorBidi" w:cstheme="majorBidi"/>
          <w:sz w:val="24"/>
          <w:szCs w:val="24"/>
        </w:rPr>
      </w:pPr>
      <w:r w:rsidRPr="001763D9">
        <w:rPr>
          <w:rFonts w:asciiTheme="majorBidi" w:hAnsiTheme="majorBidi" w:cstheme="majorBidi"/>
          <w:i/>
          <w:iCs/>
          <w:sz w:val="24"/>
          <w:szCs w:val="24"/>
        </w:rPr>
        <w:t>Methods:</w:t>
      </w:r>
      <w:r w:rsidRPr="001763D9">
        <w:rPr>
          <w:rFonts w:asciiTheme="majorBidi" w:hAnsiTheme="majorBidi" w:cstheme="majorBidi"/>
          <w:sz w:val="24"/>
          <w:szCs w:val="24"/>
        </w:rPr>
        <w:t xml:space="preserve"> Fourteen non-neuropathic </w:t>
      </w:r>
      <w:r w:rsidR="00742686">
        <w:rPr>
          <w:rFonts w:asciiTheme="majorBidi" w:hAnsiTheme="majorBidi" w:cstheme="majorBidi"/>
          <w:sz w:val="24"/>
          <w:szCs w:val="24"/>
        </w:rPr>
        <w:t>and</w:t>
      </w:r>
      <w:r w:rsidRPr="001763D9">
        <w:rPr>
          <w:rFonts w:asciiTheme="majorBidi" w:hAnsiTheme="majorBidi" w:cstheme="majorBidi"/>
          <w:sz w:val="24"/>
          <w:szCs w:val="24"/>
        </w:rPr>
        <w:t xml:space="preserve"> nine neuropathic diabetics, </w:t>
      </w:r>
      <w:r w:rsidR="00716E79">
        <w:rPr>
          <w:rFonts w:asciiTheme="majorBidi" w:hAnsiTheme="majorBidi" w:cstheme="majorBidi"/>
          <w:sz w:val="24"/>
          <w:szCs w:val="24"/>
        </w:rPr>
        <w:t>plus</w:t>
      </w:r>
      <w:r w:rsidRPr="001763D9">
        <w:rPr>
          <w:rFonts w:asciiTheme="majorBidi" w:hAnsiTheme="majorBidi" w:cstheme="majorBidi"/>
          <w:sz w:val="24"/>
          <w:szCs w:val="24"/>
        </w:rPr>
        <w:t xml:space="preserve"> eleven healthy young-adults were recruited. Full-body kinematic data w</w:t>
      </w:r>
      <w:r w:rsidR="002130DC">
        <w:rPr>
          <w:rFonts w:asciiTheme="majorBidi" w:hAnsiTheme="majorBidi" w:cstheme="majorBidi"/>
          <w:sz w:val="24"/>
          <w:szCs w:val="24"/>
        </w:rPr>
        <w:t>as</w:t>
      </w:r>
      <w:r w:rsidRPr="001763D9">
        <w:rPr>
          <w:rFonts w:asciiTheme="majorBidi" w:hAnsiTheme="majorBidi" w:cstheme="majorBidi"/>
          <w:sz w:val="24"/>
          <w:szCs w:val="24"/>
        </w:rPr>
        <w:t xml:space="preserve"> </w:t>
      </w:r>
      <w:r w:rsidR="002130DC">
        <w:rPr>
          <w:rFonts w:asciiTheme="majorBidi" w:hAnsiTheme="majorBidi" w:cstheme="majorBidi"/>
          <w:sz w:val="24"/>
          <w:szCs w:val="24"/>
        </w:rPr>
        <w:t>captured</w:t>
      </w:r>
      <w:r w:rsidR="001E7AE2">
        <w:rPr>
          <w:rFonts w:asciiTheme="majorBidi" w:hAnsiTheme="majorBidi" w:cstheme="majorBidi"/>
          <w:sz w:val="24"/>
          <w:szCs w:val="24"/>
        </w:rPr>
        <w:t xml:space="preserve"> during</w:t>
      </w:r>
      <w:r w:rsidRPr="001763D9">
        <w:rPr>
          <w:rFonts w:asciiTheme="majorBidi" w:hAnsiTheme="majorBidi" w:cstheme="majorBidi"/>
          <w:sz w:val="24"/>
          <w:szCs w:val="24"/>
        </w:rPr>
        <w:t xml:space="preserve"> walking task</w:t>
      </w:r>
      <w:r w:rsidR="001E7AE2">
        <w:rPr>
          <w:rFonts w:asciiTheme="majorBidi" w:hAnsiTheme="majorBidi" w:cstheme="majorBidi"/>
          <w:sz w:val="24"/>
          <w:szCs w:val="24"/>
        </w:rPr>
        <w:t>s</w:t>
      </w:r>
      <w:r w:rsidRPr="001763D9">
        <w:rPr>
          <w:rFonts w:asciiTheme="majorBidi" w:hAnsiTheme="majorBidi" w:cstheme="majorBidi"/>
          <w:sz w:val="24"/>
          <w:szCs w:val="24"/>
        </w:rPr>
        <w:t xml:space="preserve">. </w:t>
      </w:r>
      <w:r w:rsidR="007852BD">
        <w:rPr>
          <w:rFonts w:asciiTheme="majorBidi" w:hAnsiTheme="majorBidi" w:cstheme="majorBidi"/>
          <w:sz w:val="24"/>
          <w:szCs w:val="24"/>
        </w:rPr>
        <w:t>E</w:t>
      </w:r>
      <w:r w:rsidRPr="001763D9">
        <w:rPr>
          <w:rFonts w:asciiTheme="majorBidi" w:hAnsiTheme="majorBidi" w:cstheme="majorBidi"/>
          <w:sz w:val="24"/>
          <w:szCs w:val="24"/>
        </w:rPr>
        <w:t xml:space="preserve">xperimental conditions included barefoot and three </w:t>
      </w:r>
      <w:r w:rsidR="00331139">
        <w:rPr>
          <w:rFonts w:asciiTheme="majorBidi" w:hAnsiTheme="majorBidi" w:cstheme="majorBidi"/>
          <w:sz w:val="24"/>
          <w:szCs w:val="24"/>
        </w:rPr>
        <w:t>rocker</w:t>
      </w:r>
      <w:r w:rsidR="00C42383">
        <w:rPr>
          <w:rFonts w:asciiTheme="majorBidi" w:hAnsiTheme="majorBidi" w:cstheme="majorBidi"/>
          <w:sz w:val="24"/>
          <w:szCs w:val="24"/>
        </w:rPr>
        <w:t>-</w:t>
      </w:r>
      <w:r w:rsidR="00331139">
        <w:rPr>
          <w:rFonts w:asciiTheme="majorBidi" w:hAnsiTheme="majorBidi" w:cstheme="majorBidi"/>
          <w:sz w:val="24"/>
          <w:szCs w:val="24"/>
        </w:rPr>
        <w:t>shoe</w:t>
      </w:r>
      <w:r w:rsidRPr="001763D9">
        <w:rPr>
          <w:rFonts w:asciiTheme="majorBidi" w:hAnsiTheme="majorBidi" w:cstheme="majorBidi"/>
          <w:sz w:val="24"/>
          <w:szCs w:val="24"/>
        </w:rPr>
        <w:t xml:space="preserve"> designs </w:t>
      </w:r>
      <w:r>
        <w:rPr>
          <w:rFonts w:asciiTheme="majorBidi" w:hAnsiTheme="majorBidi" w:cstheme="majorBidi"/>
          <w:sz w:val="24"/>
          <w:szCs w:val="24"/>
        </w:rPr>
        <w:t xml:space="preserve">according to the </w:t>
      </w:r>
      <w:r w:rsidRPr="001763D9">
        <w:rPr>
          <w:rFonts w:asciiTheme="majorBidi" w:hAnsiTheme="majorBidi" w:cstheme="majorBidi"/>
          <w:sz w:val="24"/>
          <w:szCs w:val="24"/>
        </w:rPr>
        <w:t xml:space="preserve">rocker angle, apex angle and apex position (R10: 10°, 80°, 60%; R15: 15°, 95°, 52%; R20: 20°, 95°, 60%). Sagittal and frontal </w:t>
      </w:r>
      <w:r w:rsidR="00A63777">
        <w:rPr>
          <w:rFonts w:asciiTheme="majorBidi" w:hAnsiTheme="majorBidi" w:cstheme="majorBidi"/>
          <w:sz w:val="24"/>
          <w:szCs w:val="24"/>
        </w:rPr>
        <w:t xml:space="preserve">stability </w:t>
      </w:r>
      <w:r w:rsidRPr="001763D9">
        <w:rPr>
          <w:rFonts w:asciiTheme="majorBidi" w:hAnsiTheme="majorBidi" w:cstheme="majorBidi"/>
          <w:sz w:val="24"/>
          <w:szCs w:val="24"/>
        </w:rPr>
        <w:t xml:space="preserve">margin, </w:t>
      </w:r>
      <w:r w:rsidR="00896738">
        <w:rPr>
          <w:rFonts w:asciiTheme="majorBidi" w:hAnsiTheme="majorBidi" w:cstheme="majorBidi"/>
          <w:sz w:val="24"/>
          <w:szCs w:val="24"/>
        </w:rPr>
        <w:t>plus</w:t>
      </w:r>
      <w:r>
        <w:rPr>
          <w:rFonts w:asciiTheme="majorBidi" w:hAnsiTheme="majorBidi" w:cstheme="majorBidi"/>
          <w:sz w:val="24"/>
          <w:szCs w:val="24"/>
        </w:rPr>
        <w:t xml:space="preserve"> fear of fall were</w:t>
      </w:r>
      <w:r w:rsidRPr="001763D9">
        <w:rPr>
          <w:rFonts w:asciiTheme="majorBidi" w:hAnsiTheme="majorBidi" w:cstheme="majorBidi"/>
          <w:sz w:val="24"/>
          <w:szCs w:val="24"/>
        </w:rPr>
        <w:t xml:space="preserve"> main o</w:t>
      </w:r>
      <w:r>
        <w:rPr>
          <w:rFonts w:asciiTheme="majorBidi" w:hAnsiTheme="majorBidi" w:cstheme="majorBidi"/>
          <w:sz w:val="24"/>
          <w:szCs w:val="24"/>
        </w:rPr>
        <w:t>utcome measures.</w:t>
      </w:r>
    </w:p>
    <w:p w14:paraId="6363D1AB" w14:textId="457AB567" w:rsidR="000614F1" w:rsidRPr="001763D9" w:rsidRDefault="000614F1" w:rsidP="00FB2A2A">
      <w:pPr>
        <w:spacing w:line="480" w:lineRule="auto"/>
        <w:jc w:val="both"/>
        <w:rPr>
          <w:rFonts w:asciiTheme="majorBidi" w:hAnsiTheme="majorBidi" w:cstheme="majorBidi"/>
          <w:sz w:val="24"/>
          <w:szCs w:val="24"/>
        </w:rPr>
      </w:pPr>
      <w:r>
        <w:rPr>
          <w:rFonts w:asciiTheme="majorBidi" w:hAnsiTheme="majorBidi" w:cstheme="majorBidi"/>
          <w:i/>
          <w:iCs/>
          <w:sz w:val="24"/>
          <w:szCs w:val="24"/>
        </w:rPr>
        <w:t>Findings</w:t>
      </w:r>
      <w:r w:rsidRPr="001763D9">
        <w:rPr>
          <w:rFonts w:asciiTheme="majorBidi" w:hAnsiTheme="majorBidi" w:cstheme="majorBidi"/>
          <w:i/>
          <w:iCs/>
          <w:sz w:val="24"/>
          <w:szCs w:val="24"/>
        </w:rPr>
        <w:t>:</w:t>
      </w:r>
      <w:r w:rsidRPr="001763D9">
        <w:rPr>
          <w:rFonts w:asciiTheme="majorBidi" w:hAnsiTheme="majorBidi" w:cstheme="majorBidi"/>
          <w:sz w:val="24"/>
          <w:szCs w:val="24"/>
        </w:rPr>
        <w:t xml:space="preserve"> S</w:t>
      </w:r>
      <w:r w:rsidR="00A63777">
        <w:rPr>
          <w:rFonts w:asciiTheme="majorBidi" w:hAnsiTheme="majorBidi" w:cstheme="majorBidi"/>
          <w:sz w:val="24"/>
          <w:szCs w:val="24"/>
        </w:rPr>
        <w:t>agittal stability margin</w:t>
      </w:r>
      <w:r w:rsidRPr="001763D9">
        <w:rPr>
          <w:rFonts w:asciiTheme="majorBidi" w:hAnsiTheme="majorBidi" w:cstheme="majorBidi"/>
          <w:sz w:val="24"/>
          <w:szCs w:val="24"/>
        </w:rPr>
        <w:t xml:space="preserve"> was not </w:t>
      </w:r>
      <w:r>
        <w:rPr>
          <w:rFonts w:asciiTheme="majorBidi" w:hAnsiTheme="majorBidi" w:cstheme="majorBidi"/>
          <w:sz w:val="24"/>
          <w:szCs w:val="24"/>
        </w:rPr>
        <w:t xml:space="preserve">affected by </w:t>
      </w:r>
      <w:r w:rsidR="000415BC">
        <w:rPr>
          <w:rFonts w:asciiTheme="majorBidi" w:hAnsiTheme="majorBidi" w:cstheme="majorBidi"/>
          <w:sz w:val="24"/>
          <w:szCs w:val="24"/>
        </w:rPr>
        <w:t>health</w:t>
      </w:r>
      <w:r w:rsidRPr="001763D9">
        <w:rPr>
          <w:rFonts w:asciiTheme="majorBidi" w:hAnsiTheme="majorBidi" w:cstheme="majorBidi"/>
          <w:sz w:val="24"/>
          <w:szCs w:val="24"/>
        </w:rPr>
        <w:t>, however</w:t>
      </w:r>
      <w:r w:rsidR="006E22D1">
        <w:rPr>
          <w:rFonts w:asciiTheme="majorBidi" w:hAnsiTheme="majorBidi" w:cstheme="majorBidi"/>
          <w:sz w:val="24"/>
          <w:szCs w:val="24"/>
        </w:rPr>
        <w:t>,</w:t>
      </w:r>
      <w:r w:rsidRPr="001763D9">
        <w:rPr>
          <w:rFonts w:asciiTheme="majorBidi" w:hAnsiTheme="majorBidi" w:cstheme="majorBidi"/>
          <w:sz w:val="24"/>
          <w:szCs w:val="24"/>
        </w:rPr>
        <w:t xml:space="preserve"> was increased with R10 and R15 in </w:t>
      </w:r>
      <w:r w:rsidR="00486686" w:rsidRPr="001763D9">
        <w:rPr>
          <w:rFonts w:asciiTheme="majorBidi" w:hAnsiTheme="majorBidi" w:cstheme="majorBidi"/>
          <w:sz w:val="24"/>
          <w:szCs w:val="24"/>
        </w:rPr>
        <w:t>non-neuropathic diabetics</w:t>
      </w:r>
      <w:r w:rsidR="00486686" w:rsidRPr="001763D9" w:rsidDel="009162C1">
        <w:rPr>
          <w:rFonts w:asciiTheme="majorBidi" w:hAnsiTheme="majorBidi" w:cstheme="majorBidi"/>
          <w:sz w:val="24"/>
          <w:szCs w:val="24"/>
        </w:rPr>
        <w:t xml:space="preserve"> </w:t>
      </w:r>
      <w:r w:rsidR="00486686">
        <w:rPr>
          <w:rFonts w:asciiTheme="majorBidi" w:hAnsiTheme="majorBidi" w:cstheme="majorBidi"/>
          <w:sz w:val="24"/>
          <w:szCs w:val="24"/>
        </w:rPr>
        <w:t xml:space="preserve">and </w:t>
      </w:r>
      <w:r w:rsidRPr="001763D9">
        <w:rPr>
          <w:rFonts w:asciiTheme="majorBidi" w:hAnsiTheme="majorBidi" w:cstheme="majorBidi"/>
          <w:sz w:val="24"/>
          <w:szCs w:val="24"/>
        </w:rPr>
        <w:t xml:space="preserve">healthy individuals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=0.16)</w:t>
      </w:r>
      <w:r w:rsidRPr="001763D9">
        <w:rPr>
          <w:rFonts w:asciiTheme="majorBidi" w:hAnsiTheme="majorBidi" w:cstheme="majorBidi"/>
          <w:sz w:val="24"/>
          <w:szCs w:val="24"/>
        </w:rPr>
        <w:t xml:space="preserve">. </w:t>
      </w:r>
      <w:r w:rsidR="009162C1">
        <w:rPr>
          <w:rFonts w:asciiTheme="majorBidi" w:hAnsiTheme="majorBidi" w:cstheme="majorBidi"/>
          <w:sz w:val="24"/>
          <w:szCs w:val="24"/>
        </w:rPr>
        <w:t>V</w:t>
      </w:r>
      <w:r w:rsidRPr="001763D9">
        <w:rPr>
          <w:rFonts w:asciiTheme="majorBidi" w:hAnsiTheme="majorBidi" w:cstheme="majorBidi"/>
          <w:sz w:val="24"/>
          <w:szCs w:val="24"/>
        </w:rPr>
        <w:t xml:space="preserve">ariability </w:t>
      </w:r>
      <w:r w:rsidR="009162C1">
        <w:rPr>
          <w:rFonts w:asciiTheme="majorBidi" w:hAnsiTheme="majorBidi" w:cstheme="majorBidi"/>
          <w:sz w:val="24"/>
          <w:szCs w:val="24"/>
        </w:rPr>
        <w:t xml:space="preserve">of </w:t>
      </w:r>
      <w:r w:rsidR="000B0F43">
        <w:rPr>
          <w:rFonts w:asciiTheme="majorBidi" w:hAnsiTheme="majorBidi" w:cstheme="majorBidi"/>
          <w:sz w:val="24"/>
          <w:szCs w:val="24"/>
        </w:rPr>
        <w:t>s</w:t>
      </w:r>
      <w:r w:rsidR="009162C1">
        <w:rPr>
          <w:rFonts w:asciiTheme="majorBidi" w:hAnsiTheme="majorBidi" w:cstheme="majorBidi"/>
          <w:sz w:val="24"/>
          <w:szCs w:val="24"/>
        </w:rPr>
        <w:t xml:space="preserve">agittal </w:t>
      </w:r>
      <w:r w:rsidR="00110846">
        <w:rPr>
          <w:rFonts w:asciiTheme="majorBidi" w:hAnsiTheme="majorBidi" w:cstheme="majorBidi"/>
          <w:sz w:val="24"/>
          <w:szCs w:val="24"/>
        </w:rPr>
        <w:t>stability margin</w:t>
      </w:r>
      <w:r w:rsidR="009162C1">
        <w:rPr>
          <w:rFonts w:asciiTheme="majorBidi" w:hAnsiTheme="majorBidi" w:cstheme="majorBidi"/>
          <w:sz w:val="24"/>
          <w:szCs w:val="24"/>
        </w:rPr>
        <w:t xml:space="preserve"> </w:t>
      </w:r>
      <w:r w:rsidRPr="001763D9">
        <w:rPr>
          <w:rFonts w:asciiTheme="majorBidi" w:hAnsiTheme="majorBidi" w:cstheme="majorBidi"/>
          <w:sz w:val="24"/>
          <w:szCs w:val="24"/>
        </w:rPr>
        <w:t xml:space="preserve">was not altered in </w:t>
      </w:r>
      <w:r w:rsidR="000B0F43" w:rsidRPr="001763D9">
        <w:rPr>
          <w:rFonts w:asciiTheme="majorBidi" w:hAnsiTheme="majorBidi" w:cstheme="majorBidi"/>
          <w:sz w:val="24"/>
          <w:szCs w:val="24"/>
        </w:rPr>
        <w:t>neuropathic diabetics</w:t>
      </w:r>
      <w:r w:rsidRPr="001763D9">
        <w:rPr>
          <w:rFonts w:asciiTheme="majorBidi" w:hAnsiTheme="majorBidi" w:cstheme="majorBidi"/>
          <w:sz w:val="24"/>
          <w:szCs w:val="24"/>
        </w:rPr>
        <w:t>, but was increased with R15 and R20 in healthy participants,</w:t>
      </w:r>
      <w:r w:rsidR="00783E5F">
        <w:rPr>
          <w:rFonts w:asciiTheme="majorBidi" w:hAnsiTheme="majorBidi" w:cstheme="majorBidi"/>
          <w:sz w:val="24"/>
          <w:szCs w:val="24"/>
        </w:rPr>
        <w:t xml:space="preserve"> </w:t>
      </w:r>
      <w:r w:rsidRPr="001763D9">
        <w:rPr>
          <w:rFonts w:asciiTheme="majorBidi" w:hAnsiTheme="majorBidi" w:cstheme="majorBidi"/>
          <w:sz w:val="24"/>
          <w:szCs w:val="24"/>
        </w:rPr>
        <w:t xml:space="preserve">with R15 in </w:t>
      </w:r>
      <w:r w:rsidR="000B0F43" w:rsidRPr="001763D9">
        <w:rPr>
          <w:rFonts w:asciiTheme="majorBidi" w:hAnsiTheme="majorBidi" w:cstheme="majorBidi"/>
          <w:sz w:val="24"/>
          <w:szCs w:val="24"/>
        </w:rPr>
        <w:t>non-neuropathic diabetics</w:t>
      </w:r>
      <w:r w:rsidR="000B0F43" w:rsidRPr="001763D9" w:rsidDel="009162C1">
        <w:rPr>
          <w:rFonts w:asciiTheme="majorBidi" w:hAnsiTheme="majorBidi" w:cstheme="majorBidi"/>
          <w:sz w:val="24"/>
          <w:szCs w:val="24"/>
        </w:rPr>
        <w:t xml:space="preserve">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=0.12)</w:t>
      </w:r>
      <w:r w:rsidRPr="001763D9">
        <w:rPr>
          <w:rFonts w:asciiTheme="majorBidi" w:hAnsiTheme="majorBidi" w:cstheme="majorBidi"/>
          <w:sz w:val="24"/>
          <w:szCs w:val="24"/>
        </w:rPr>
        <w:t>. F</w:t>
      </w:r>
      <w:r w:rsidR="000B0F43">
        <w:rPr>
          <w:rFonts w:asciiTheme="majorBidi" w:hAnsiTheme="majorBidi" w:cstheme="majorBidi"/>
          <w:sz w:val="24"/>
          <w:szCs w:val="24"/>
        </w:rPr>
        <w:t>rontal stability</w:t>
      </w:r>
      <w:r w:rsidRPr="001763D9">
        <w:rPr>
          <w:rFonts w:asciiTheme="majorBidi" w:hAnsiTheme="majorBidi" w:cstheme="majorBidi"/>
          <w:sz w:val="24"/>
          <w:szCs w:val="24"/>
        </w:rPr>
        <w:t xml:space="preserve"> </w:t>
      </w:r>
      <w:r w:rsidR="00110846">
        <w:rPr>
          <w:rFonts w:asciiTheme="majorBidi" w:hAnsiTheme="majorBidi" w:cstheme="majorBidi"/>
          <w:sz w:val="24"/>
          <w:szCs w:val="24"/>
        </w:rPr>
        <w:t xml:space="preserve">margin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 xml:space="preserve">=0.46) </w:t>
      </w:r>
      <w:r w:rsidRPr="001763D9">
        <w:rPr>
          <w:rFonts w:asciiTheme="majorBidi" w:hAnsiTheme="majorBidi" w:cstheme="majorBidi"/>
          <w:sz w:val="24"/>
          <w:szCs w:val="24"/>
        </w:rPr>
        <w:t xml:space="preserve">and its variability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 xml:space="preserve">=0.39) </w:t>
      </w:r>
      <w:r w:rsidRPr="001763D9">
        <w:rPr>
          <w:rFonts w:asciiTheme="majorBidi" w:hAnsiTheme="majorBidi" w:cstheme="majorBidi"/>
          <w:sz w:val="24"/>
          <w:szCs w:val="24"/>
        </w:rPr>
        <w:t>w</w:t>
      </w:r>
      <w:r w:rsidR="009F199C">
        <w:rPr>
          <w:rFonts w:asciiTheme="majorBidi" w:hAnsiTheme="majorBidi" w:cstheme="majorBidi"/>
          <w:sz w:val="24"/>
          <w:szCs w:val="24"/>
        </w:rPr>
        <w:t>ere</w:t>
      </w:r>
      <w:r w:rsidRPr="001763D9">
        <w:rPr>
          <w:rFonts w:asciiTheme="majorBidi" w:hAnsiTheme="majorBidi" w:cstheme="majorBidi"/>
          <w:sz w:val="24"/>
          <w:szCs w:val="24"/>
        </w:rPr>
        <w:t xml:space="preserve"> significantly increased in </w:t>
      </w:r>
      <w:r w:rsidR="00110846">
        <w:rPr>
          <w:rFonts w:asciiTheme="majorBidi" w:hAnsiTheme="majorBidi" w:cstheme="majorBidi"/>
          <w:sz w:val="24"/>
          <w:szCs w:val="24"/>
        </w:rPr>
        <w:t>neuropathic</w:t>
      </w:r>
      <w:r w:rsidRPr="001763D9">
        <w:rPr>
          <w:rFonts w:asciiTheme="majorBidi" w:hAnsiTheme="majorBidi" w:cstheme="majorBidi"/>
          <w:sz w:val="24"/>
          <w:szCs w:val="24"/>
        </w:rPr>
        <w:t xml:space="preserve"> and </w:t>
      </w:r>
      <w:r w:rsidR="00617ACF" w:rsidRPr="001763D9">
        <w:rPr>
          <w:rFonts w:asciiTheme="majorBidi" w:hAnsiTheme="majorBidi" w:cstheme="majorBidi"/>
          <w:sz w:val="24"/>
          <w:szCs w:val="24"/>
        </w:rPr>
        <w:t>non-neuropathic diabetics</w:t>
      </w:r>
      <w:r w:rsidRPr="001763D9">
        <w:rPr>
          <w:rFonts w:asciiTheme="majorBidi" w:hAnsiTheme="majorBidi" w:cstheme="majorBidi"/>
          <w:sz w:val="24"/>
          <w:szCs w:val="24"/>
        </w:rPr>
        <w:t xml:space="preserve"> compared to healthy individuals. F</w:t>
      </w:r>
      <w:r w:rsidR="00617ACF">
        <w:rPr>
          <w:rFonts w:asciiTheme="majorBidi" w:hAnsiTheme="majorBidi" w:cstheme="majorBidi"/>
          <w:sz w:val="24"/>
          <w:szCs w:val="24"/>
        </w:rPr>
        <w:t>rontal stability</w:t>
      </w:r>
      <w:r w:rsidRPr="001763D9">
        <w:rPr>
          <w:rFonts w:asciiTheme="majorBidi" w:hAnsiTheme="majorBidi" w:cstheme="majorBidi"/>
          <w:sz w:val="24"/>
          <w:szCs w:val="24"/>
        </w:rPr>
        <w:t xml:space="preserve"> </w:t>
      </w:r>
      <w:r w:rsidR="001E7E65">
        <w:rPr>
          <w:rFonts w:asciiTheme="majorBidi" w:hAnsiTheme="majorBidi" w:cstheme="majorBidi"/>
          <w:sz w:val="24"/>
          <w:szCs w:val="24"/>
        </w:rPr>
        <w:t xml:space="preserve">margin </w:t>
      </w:r>
      <w:r w:rsidRPr="001763D9">
        <w:rPr>
          <w:rFonts w:asciiTheme="majorBidi" w:hAnsiTheme="majorBidi" w:cstheme="majorBidi"/>
          <w:sz w:val="24"/>
          <w:szCs w:val="24"/>
        </w:rPr>
        <w:t>was significantly higher with R15 in</w:t>
      </w:r>
      <w:r>
        <w:rPr>
          <w:rFonts w:asciiTheme="majorBidi" w:hAnsiTheme="majorBidi" w:cstheme="majorBidi"/>
          <w:sz w:val="24"/>
          <w:szCs w:val="24"/>
        </w:rPr>
        <w:t xml:space="preserve"> </w:t>
      </w:r>
      <w:r w:rsidR="001E7E65">
        <w:rPr>
          <w:rFonts w:asciiTheme="majorBidi" w:hAnsiTheme="majorBidi" w:cstheme="majorBidi"/>
          <w:sz w:val="24"/>
          <w:szCs w:val="24"/>
        </w:rPr>
        <w:t>neuropathic diabetics</w:t>
      </w:r>
      <w:r>
        <w:rPr>
          <w:rFonts w:asciiTheme="majorBidi" w:hAnsiTheme="majorBidi" w:cstheme="majorBidi"/>
          <w:sz w:val="24"/>
          <w:szCs w:val="24"/>
        </w:rPr>
        <w:t>,</w:t>
      </w:r>
      <w:r w:rsidRPr="001763D9">
        <w:rPr>
          <w:rFonts w:asciiTheme="majorBidi" w:hAnsiTheme="majorBidi" w:cstheme="majorBidi"/>
          <w:sz w:val="24"/>
          <w:szCs w:val="24"/>
        </w:rPr>
        <w:t xml:space="preserve"> with R20 in </w:t>
      </w:r>
      <w:r w:rsidR="001F6D26">
        <w:rPr>
          <w:rFonts w:asciiTheme="majorBidi" w:hAnsiTheme="majorBidi" w:cstheme="majorBidi"/>
          <w:sz w:val="24"/>
          <w:szCs w:val="24"/>
        </w:rPr>
        <w:t>non-neuropathic</w:t>
      </w:r>
      <w:r w:rsidRPr="001763D9">
        <w:rPr>
          <w:rFonts w:asciiTheme="majorBidi" w:hAnsiTheme="majorBidi" w:cstheme="majorBidi"/>
          <w:sz w:val="24"/>
          <w:szCs w:val="24"/>
        </w:rPr>
        <w:t xml:space="preserve"> and </w:t>
      </w:r>
      <w:r>
        <w:rPr>
          <w:rFonts w:asciiTheme="majorBidi" w:hAnsiTheme="majorBidi" w:cstheme="majorBidi"/>
          <w:sz w:val="24"/>
          <w:szCs w:val="24"/>
        </w:rPr>
        <w:t xml:space="preserve">healthy participants. </w:t>
      </w:r>
      <w:r w:rsidR="00D131A6">
        <w:rPr>
          <w:rFonts w:asciiTheme="majorBidi" w:hAnsiTheme="majorBidi" w:cstheme="majorBidi"/>
          <w:sz w:val="24"/>
          <w:szCs w:val="24"/>
        </w:rPr>
        <w:t>S</w:t>
      </w:r>
      <w:r w:rsidR="00192490">
        <w:rPr>
          <w:rFonts w:asciiTheme="majorBidi" w:hAnsiTheme="majorBidi" w:cstheme="majorBidi"/>
          <w:sz w:val="24"/>
          <w:szCs w:val="24"/>
        </w:rPr>
        <w:t>agittal</w:t>
      </w:r>
      <w:r w:rsidRPr="001763D9">
        <w:rPr>
          <w:rFonts w:asciiTheme="majorBidi" w:hAnsiTheme="majorBidi" w:cstheme="majorBidi"/>
          <w:sz w:val="24"/>
          <w:szCs w:val="24"/>
        </w:rPr>
        <w:t xml:space="preserve"> and </w:t>
      </w:r>
      <w:r w:rsidR="00192490">
        <w:rPr>
          <w:rFonts w:asciiTheme="majorBidi" w:hAnsiTheme="majorBidi" w:cstheme="majorBidi"/>
          <w:sz w:val="24"/>
          <w:szCs w:val="24"/>
        </w:rPr>
        <w:t>frontal stability</w:t>
      </w:r>
      <w:r w:rsidRPr="001763D9">
        <w:rPr>
          <w:rFonts w:asciiTheme="majorBidi" w:hAnsiTheme="majorBidi" w:cstheme="majorBidi"/>
          <w:sz w:val="24"/>
          <w:szCs w:val="24"/>
        </w:rPr>
        <w:t xml:space="preserve"> </w:t>
      </w:r>
      <w:r w:rsidR="00DB523D">
        <w:rPr>
          <w:rFonts w:asciiTheme="majorBidi" w:hAnsiTheme="majorBidi" w:cstheme="majorBidi"/>
          <w:sz w:val="24"/>
          <w:szCs w:val="24"/>
        </w:rPr>
        <w:t xml:space="preserve">margin </w:t>
      </w:r>
      <w:r w:rsidR="00D131A6">
        <w:rPr>
          <w:rFonts w:asciiTheme="majorBidi" w:hAnsiTheme="majorBidi" w:cstheme="majorBidi"/>
          <w:sz w:val="24"/>
          <w:szCs w:val="24"/>
        </w:rPr>
        <w:t xml:space="preserve">were strongly correlated </w:t>
      </w:r>
      <w:r w:rsidRPr="001763D9">
        <w:rPr>
          <w:rFonts w:asciiTheme="majorBidi" w:hAnsiTheme="majorBidi" w:cstheme="majorBidi"/>
          <w:sz w:val="24"/>
          <w:szCs w:val="24"/>
        </w:rPr>
        <w:t>with fear of fall</w:t>
      </w:r>
      <w:r>
        <w:rPr>
          <w:rFonts w:asciiTheme="majorBidi" w:hAnsiTheme="majorBidi" w:cstheme="majorBidi"/>
          <w:sz w:val="24"/>
          <w:szCs w:val="24"/>
        </w:rPr>
        <w:t xml:space="preserve"> </w:t>
      </w:r>
      <w:r w:rsidRPr="001763D9">
        <w:rPr>
          <w:rFonts w:asciiTheme="majorBidi" w:hAnsiTheme="majorBidi" w:cstheme="majorBidi"/>
          <w:sz w:val="24"/>
          <w:szCs w:val="24"/>
        </w:rPr>
        <w:t xml:space="preserve">in </w:t>
      </w:r>
      <w:r w:rsidR="00AD2259">
        <w:rPr>
          <w:rFonts w:asciiTheme="majorBidi" w:hAnsiTheme="majorBidi" w:cstheme="majorBidi"/>
          <w:sz w:val="24"/>
          <w:szCs w:val="24"/>
        </w:rPr>
        <w:t>neuropathic diabetics</w:t>
      </w:r>
      <w:r w:rsidRPr="001763D9">
        <w:rPr>
          <w:rFonts w:asciiTheme="majorBidi" w:hAnsiTheme="majorBidi" w:cstheme="majorBidi"/>
          <w:sz w:val="24"/>
          <w:szCs w:val="24"/>
        </w:rPr>
        <w:t xml:space="preserve">. </w:t>
      </w:r>
    </w:p>
    <w:p w14:paraId="41DC432F" w14:textId="76302EDA" w:rsidR="00A17EDA" w:rsidRPr="001763D9" w:rsidRDefault="000614F1" w:rsidP="00FB2A2A">
      <w:pPr>
        <w:spacing w:line="480" w:lineRule="auto"/>
        <w:jc w:val="both"/>
        <w:rPr>
          <w:rFonts w:asciiTheme="majorBidi" w:hAnsiTheme="majorBidi" w:cstheme="majorBidi"/>
          <w:sz w:val="24"/>
          <w:szCs w:val="24"/>
        </w:rPr>
      </w:pPr>
      <w:r>
        <w:rPr>
          <w:rFonts w:asciiTheme="majorBidi" w:hAnsiTheme="majorBidi" w:cstheme="majorBidi"/>
          <w:i/>
          <w:iCs/>
          <w:sz w:val="24"/>
          <w:szCs w:val="24"/>
        </w:rPr>
        <w:t>Interpretations</w:t>
      </w:r>
      <w:r w:rsidRPr="001763D9">
        <w:rPr>
          <w:rFonts w:asciiTheme="majorBidi" w:hAnsiTheme="majorBidi" w:cstheme="majorBidi"/>
          <w:i/>
          <w:iCs/>
          <w:sz w:val="24"/>
          <w:szCs w:val="24"/>
        </w:rPr>
        <w:t>:</w:t>
      </w:r>
      <w:r w:rsidRPr="001763D9">
        <w:rPr>
          <w:rFonts w:asciiTheme="majorBidi" w:hAnsiTheme="majorBidi" w:cstheme="majorBidi"/>
          <w:sz w:val="24"/>
          <w:szCs w:val="24"/>
        </w:rPr>
        <w:t xml:space="preserve"> R15 and R20 might challen</w:t>
      </w:r>
      <w:r>
        <w:rPr>
          <w:rFonts w:asciiTheme="majorBidi" w:hAnsiTheme="majorBidi" w:cstheme="majorBidi"/>
          <w:sz w:val="24"/>
          <w:szCs w:val="24"/>
        </w:rPr>
        <w:t>ge gait stability of diabetics cause them restrict cent</w:t>
      </w:r>
      <w:r w:rsidRPr="001763D9">
        <w:rPr>
          <w:rFonts w:asciiTheme="majorBidi" w:hAnsiTheme="majorBidi" w:cstheme="majorBidi"/>
          <w:sz w:val="24"/>
          <w:szCs w:val="24"/>
        </w:rPr>
        <w:t>r</w:t>
      </w:r>
      <w:r>
        <w:rPr>
          <w:rFonts w:asciiTheme="majorBidi" w:hAnsiTheme="majorBidi" w:cstheme="majorBidi"/>
          <w:sz w:val="24"/>
          <w:szCs w:val="24"/>
        </w:rPr>
        <w:t>e</w:t>
      </w:r>
      <w:r w:rsidRPr="001763D9">
        <w:rPr>
          <w:rFonts w:asciiTheme="majorBidi" w:hAnsiTheme="majorBidi" w:cstheme="majorBidi"/>
          <w:sz w:val="24"/>
          <w:szCs w:val="24"/>
        </w:rPr>
        <w:t xml:space="preserve"> of mass motion thereby imposing a tighter control </w:t>
      </w:r>
      <w:r>
        <w:rPr>
          <w:rFonts w:asciiTheme="majorBidi" w:hAnsiTheme="majorBidi" w:cstheme="majorBidi"/>
          <w:sz w:val="24"/>
          <w:szCs w:val="24"/>
        </w:rPr>
        <w:t>over</w:t>
      </w:r>
      <w:r w:rsidRPr="001763D9">
        <w:rPr>
          <w:rFonts w:asciiTheme="majorBidi" w:hAnsiTheme="majorBidi" w:cstheme="majorBidi"/>
          <w:sz w:val="24"/>
          <w:szCs w:val="24"/>
        </w:rPr>
        <w:t xml:space="preserve"> walking. However, </w:t>
      </w:r>
      <w:r w:rsidR="00AD2259">
        <w:rPr>
          <w:rFonts w:asciiTheme="majorBidi" w:hAnsiTheme="majorBidi" w:cstheme="majorBidi"/>
          <w:sz w:val="24"/>
          <w:szCs w:val="24"/>
        </w:rPr>
        <w:t>neuropathic diabetics</w:t>
      </w:r>
      <w:r w:rsidRPr="001763D9">
        <w:rPr>
          <w:rFonts w:asciiTheme="majorBidi" w:hAnsiTheme="majorBidi" w:cstheme="majorBidi"/>
          <w:sz w:val="24"/>
          <w:szCs w:val="24"/>
        </w:rPr>
        <w:t xml:space="preserve"> generally walk very cautious due to their neuropathy and higher fear of fall. F</w:t>
      </w:r>
      <w:r w:rsidR="00AD2259">
        <w:rPr>
          <w:rFonts w:asciiTheme="majorBidi" w:hAnsiTheme="majorBidi" w:cstheme="majorBidi"/>
          <w:sz w:val="24"/>
          <w:szCs w:val="24"/>
        </w:rPr>
        <w:t>rontal stability</w:t>
      </w:r>
      <w:r w:rsidR="00A10DDF" w:rsidRPr="00A10DDF">
        <w:rPr>
          <w:rFonts w:asciiTheme="majorBidi" w:hAnsiTheme="majorBidi" w:cstheme="majorBidi"/>
          <w:sz w:val="24"/>
          <w:szCs w:val="24"/>
        </w:rPr>
        <w:t xml:space="preserve"> </w:t>
      </w:r>
      <w:r w:rsidR="00A10DDF">
        <w:rPr>
          <w:rFonts w:asciiTheme="majorBidi" w:hAnsiTheme="majorBidi" w:cstheme="majorBidi"/>
          <w:sz w:val="24"/>
          <w:szCs w:val="24"/>
        </w:rPr>
        <w:t>margin</w:t>
      </w:r>
      <w:r>
        <w:rPr>
          <w:rFonts w:asciiTheme="majorBidi" w:hAnsiTheme="majorBidi" w:cstheme="majorBidi"/>
          <w:sz w:val="24"/>
          <w:szCs w:val="24"/>
        </w:rPr>
        <w:t xml:space="preserve">, </w:t>
      </w:r>
      <w:r w:rsidRPr="001763D9">
        <w:rPr>
          <w:rFonts w:asciiTheme="majorBidi" w:hAnsiTheme="majorBidi" w:cstheme="majorBidi"/>
          <w:sz w:val="24"/>
          <w:szCs w:val="24"/>
        </w:rPr>
        <w:t xml:space="preserve">highly affected by </w:t>
      </w:r>
      <w:r w:rsidR="00A7703D">
        <w:rPr>
          <w:rFonts w:asciiTheme="majorBidi" w:hAnsiTheme="majorBidi" w:cstheme="majorBidi"/>
          <w:sz w:val="24"/>
          <w:szCs w:val="24"/>
        </w:rPr>
        <w:t>health and experimental</w:t>
      </w:r>
      <w:r w:rsidR="002A6824">
        <w:rPr>
          <w:rFonts w:asciiTheme="majorBidi" w:hAnsiTheme="majorBidi" w:cstheme="majorBidi"/>
          <w:sz w:val="24"/>
          <w:szCs w:val="24"/>
        </w:rPr>
        <w:t xml:space="preserve"> condition,</w:t>
      </w:r>
      <w:r w:rsidR="00A10DDF">
        <w:rPr>
          <w:rFonts w:asciiTheme="majorBidi" w:hAnsiTheme="majorBidi" w:cstheme="majorBidi"/>
          <w:sz w:val="24"/>
          <w:szCs w:val="24"/>
        </w:rPr>
        <w:t xml:space="preserve"> </w:t>
      </w:r>
      <w:r w:rsidRPr="001763D9">
        <w:rPr>
          <w:rFonts w:asciiTheme="majorBidi" w:hAnsiTheme="majorBidi" w:cstheme="majorBidi"/>
          <w:sz w:val="24"/>
          <w:szCs w:val="24"/>
        </w:rPr>
        <w:t>is a more sensitive indicator of gait stability.</w:t>
      </w:r>
    </w:p>
    <w:p w14:paraId="3A0A41D5" w14:textId="0B8E30F7" w:rsidR="00A17EDA" w:rsidRPr="001763D9" w:rsidRDefault="00A17EDA" w:rsidP="007D027A">
      <w:pPr>
        <w:spacing w:line="480" w:lineRule="auto"/>
        <w:rPr>
          <w:rFonts w:asciiTheme="majorBidi" w:hAnsiTheme="majorBidi" w:cstheme="majorBidi"/>
          <w:sz w:val="24"/>
          <w:szCs w:val="24"/>
        </w:rPr>
      </w:pPr>
      <w:r w:rsidRPr="001763D9">
        <w:rPr>
          <w:rFonts w:asciiTheme="majorBidi" w:hAnsiTheme="majorBidi" w:cstheme="majorBidi"/>
          <w:i/>
          <w:iCs/>
          <w:sz w:val="24"/>
          <w:szCs w:val="24"/>
        </w:rPr>
        <w:t>Key words:</w:t>
      </w:r>
      <w:r w:rsidRPr="001763D9">
        <w:rPr>
          <w:rFonts w:asciiTheme="majorBidi" w:hAnsiTheme="majorBidi" w:cstheme="majorBidi"/>
          <w:sz w:val="24"/>
          <w:szCs w:val="24"/>
        </w:rPr>
        <w:t xml:space="preserve"> </w:t>
      </w:r>
      <w:r w:rsidR="00851F0F">
        <w:rPr>
          <w:rFonts w:asciiTheme="majorBidi" w:hAnsiTheme="majorBidi" w:cstheme="majorBidi"/>
          <w:sz w:val="24"/>
          <w:szCs w:val="24"/>
        </w:rPr>
        <w:t>Diabetes;</w:t>
      </w:r>
      <w:r>
        <w:rPr>
          <w:rFonts w:asciiTheme="majorBidi" w:hAnsiTheme="majorBidi" w:cstheme="majorBidi"/>
          <w:sz w:val="24"/>
          <w:szCs w:val="24"/>
        </w:rPr>
        <w:t xml:space="preserve"> N</w:t>
      </w:r>
      <w:r w:rsidR="00851F0F">
        <w:rPr>
          <w:rFonts w:asciiTheme="majorBidi" w:hAnsiTheme="majorBidi" w:cstheme="majorBidi"/>
          <w:sz w:val="24"/>
          <w:szCs w:val="24"/>
        </w:rPr>
        <w:t>europathy;</w:t>
      </w:r>
      <w:r w:rsidRPr="007D027A">
        <w:rPr>
          <w:rFonts w:asciiTheme="majorBidi" w:hAnsiTheme="majorBidi" w:cstheme="majorBidi"/>
          <w:sz w:val="24"/>
          <w:szCs w:val="24"/>
        </w:rPr>
        <w:t xml:space="preserve"> </w:t>
      </w:r>
      <w:r>
        <w:rPr>
          <w:rFonts w:asciiTheme="majorBidi" w:hAnsiTheme="majorBidi" w:cstheme="majorBidi"/>
          <w:sz w:val="24"/>
          <w:szCs w:val="24"/>
        </w:rPr>
        <w:t>R</w:t>
      </w:r>
      <w:r w:rsidR="00851F0F">
        <w:rPr>
          <w:rFonts w:asciiTheme="majorBidi" w:hAnsiTheme="majorBidi" w:cstheme="majorBidi"/>
          <w:sz w:val="24"/>
          <w:szCs w:val="24"/>
        </w:rPr>
        <w:t>ocker shoe;</w:t>
      </w:r>
      <w:r w:rsidRPr="007D027A">
        <w:rPr>
          <w:rFonts w:asciiTheme="majorBidi" w:hAnsiTheme="majorBidi" w:cstheme="majorBidi"/>
          <w:sz w:val="24"/>
          <w:szCs w:val="24"/>
        </w:rPr>
        <w:t xml:space="preserve"> </w:t>
      </w:r>
      <w:r>
        <w:rPr>
          <w:rFonts w:asciiTheme="majorBidi" w:hAnsiTheme="majorBidi" w:cstheme="majorBidi"/>
          <w:sz w:val="24"/>
          <w:szCs w:val="24"/>
        </w:rPr>
        <w:t>B</w:t>
      </w:r>
      <w:r w:rsidR="00851F0F">
        <w:rPr>
          <w:rFonts w:asciiTheme="majorBidi" w:hAnsiTheme="majorBidi" w:cstheme="majorBidi"/>
          <w:sz w:val="24"/>
          <w:szCs w:val="24"/>
        </w:rPr>
        <w:t>alance;</w:t>
      </w:r>
      <w:r w:rsidRPr="007D027A">
        <w:rPr>
          <w:rFonts w:asciiTheme="majorBidi" w:hAnsiTheme="majorBidi" w:cstheme="majorBidi"/>
          <w:sz w:val="24"/>
          <w:szCs w:val="24"/>
        </w:rPr>
        <w:t xml:space="preserve"> </w:t>
      </w:r>
      <w:r>
        <w:rPr>
          <w:rFonts w:asciiTheme="majorBidi" w:hAnsiTheme="majorBidi" w:cstheme="majorBidi"/>
          <w:sz w:val="24"/>
          <w:szCs w:val="24"/>
        </w:rPr>
        <w:t>W</w:t>
      </w:r>
      <w:r w:rsidRPr="007D027A">
        <w:rPr>
          <w:rFonts w:asciiTheme="majorBidi" w:hAnsiTheme="majorBidi" w:cstheme="majorBidi"/>
          <w:sz w:val="24"/>
          <w:szCs w:val="24"/>
        </w:rPr>
        <w:t>alking</w:t>
      </w:r>
    </w:p>
    <w:p w14:paraId="368C6777" w14:textId="77777777" w:rsidR="00A17EDA" w:rsidRPr="00002AA6" w:rsidRDefault="00A17EDA" w:rsidP="00002AA6">
      <w:pPr>
        <w:spacing w:before="240" w:line="480" w:lineRule="auto"/>
        <w:rPr>
          <w:rFonts w:asciiTheme="majorBidi" w:hAnsiTheme="majorBidi" w:cstheme="majorBidi"/>
          <w:sz w:val="24"/>
          <w:szCs w:val="24"/>
        </w:rPr>
      </w:pPr>
      <w:r w:rsidRPr="001763D9">
        <w:rPr>
          <w:rFonts w:asciiTheme="majorBidi" w:hAnsiTheme="majorBidi" w:cstheme="majorBidi"/>
          <w:b/>
          <w:bCs/>
          <w:sz w:val="24"/>
          <w:szCs w:val="24"/>
        </w:rPr>
        <w:lastRenderedPageBreak/>
        <w:t>1. Introduction</w:t>
      </w:r>
    </w:p>
    <w:p w14:paraId="436A06F7" w14:textId="77777777"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rPr>
        <w:t>Diabetes mellitus is one of the most prevalent metabolic disorders worldwide</w:t>
      </w:r>
      <w:r w:rsidRPr="001763D9">
        <w:rPr>
          <w:rFonts w:asciiTheme="majorBidi" w:hAnsiTheme="majorBidi" w:cstheme="majorBidi"/>
          <w:noProof/>
          <w:sz w:val="24"/>
          <w:szCs w:val="24"/>
        </w:rPr>
        <w:t xml:space="preserve"> </w:t>
      </w:r>
      <w:r w:rsidRPr="001763D9">
        <w:rPr>
          <w:rFonts w:asciiTheme="majorBidi" w:hAnsiTheme="majorBidi" w:cstheme="majorBidi"/>
          <w:noProof/>
          <w:sz w:val="24"/>
          <w:szCs w:val="24"/>
        </w:rPr>
        <w:fldChar w:fldCharType="begin" w:fldLock="1"/>
      </w:r>
      <w:r w:rsidRPr="001763D9">
        <w:rPr>
          <w:rFonts w:asciiTheme="majorBidi" w:hAnsiTheme="majorBidi" w:cstheme="majorBidi"/>
          <w:noProof/>
          <w:sz w:val="24"/>
          <w:szCs w:val="24"/>
        </w:rPr>
        <w:instrText>ADDIN CSL_CITATION {"citationItems":[{"id":"ITEM-1","itemData":{"DOI":"10.1016/j.diabres.2013.11.002","ISBN":"3247882677","ISSN":"18728227","PMID":"24630390","abstract":"Introduction: Diabetes is a serious and increasing global health burden and estimates of prevalence are essential for appropriate allocation of resources and monitoring of trends. Methods: We conducted a literature search of studies reporting the age-specific prevalence for diabetes and used the Analytic Hierarchy Process to systematically select studies to generate estimates for 219 countries and territories. Estimates for countries without available source data were modelled from pooled estimates of countries that were similar in regard to geography, ethnicity, and economic development. Logistic regression was applied to generate smoothed age-specific prevalence estimates for adults 20-79 years which were then applied to population estimates for 2013 and 2035. Results: A total of 744 data sources were considered and 174 included, representing 130 countries. In 2013, 382 million people had diabetes; this number is expected to rise to 592 million by 2035. Most people with diabetes live in low- and middle-income countries and these will experience the greatest increase in cases of diabetes over the next 22 years. Conclusion: The new estimates of diabetes in adults confirm the large burden of diabetes, especially in developing countries. Estimates will be updated annually including the most recent, high-quality data available. © 2013.","author":[{"dropping-particle":"","family":"Guariguata","given":"L.","non-dropping-particle":"","parse-names":false,"suffix":""},{"dropping-particle":"","family":"Whiting","given":"D. R.","non-dropping-particle":"","parse-names":false,"suffix":""},{"dropping-particle":"","family":"Hambleton","given":"I.","non-dropping-particle":"","parse-names":false,"suffix":""},{"dropping-particle":"","family":"Beagley","given":"J.","non-dropping-particle":"","parse-names":false,"suffix":""},{"dropping-particle":"","family":"Linnenkamp","given":"U.","non-dropping-particle":"","parse-names":false,"suffix":""},{"dropping-particle":"","family":"Shaw","given":"J. E.","non-dropping-particle":"","parse-names":false,"suffix":""}],"container-title":"Diabetes Research and Clinical Practice","id":"ITEM-1","issue":"2","issued":{"date-parts":[["2014"]]},"page":"137-149","title":"Global estimates of diabetes prevalence for 2013 and projections for 2035","type":"article-journal","volume":"103"},"uris":["http://www.mendeley.com/documents/?uuid=db776eca-50be-45ee-898f-43a86724203a"]}],"mendeley":{"formattedCitation":"[1]","plainTextFormattedCitation":"[1]","previouslyFormattedCitation":"[1]"},"properties":{"noteIndex":0},"schema":"https://github.com/citation-style-language/schema/raw/master/csl-citation.json"}</w:instrText>
      </w:r>
      <w:r w:rsidRPr="001763D9">
        <w:rPr>
          <w:rFonts w:asciiTheme="majorBidi" w:hAnsiTheme="majorBidi" w:cstheme="majorBidi"/>
          <w:noProof/>
          <w:sz w:val="24"/>
          <w:szCs w:val="24"/>
        </w:rPr>
        <w:fldChar w:fldCharType="separate"/>
      </w:r>
      <w:r w:rsidRPr="001763D9">
        <w:rPr>
          <w:rFonts w:asciiTheme="majorBidi" w:hAnsiTheme="majorBidi" w:cstheme="majorBidi"/>
          <w:noProof/>
          <w:sz w:val="24"/>
          <w:szCs w:val="24"/>
        </w:rPr>
        <w:t>[1]</w:t>
      </w:r>
      <w:r w:rsidRPr="001763D9">
        <w:rPr>
          <w:rFonts w:asciiTheme="majorBidi" w:hAnsiTheme="majorBidi" w:cstheme="majorBidi"/>
          <w:noProof/>
          <w:sz w:val="24"/>
          <w:szCs w:val="24"/>
        </w:rPr>
        <w:fldChar w:fldCharType="end"/>
      </w:r>
      <w:r w:rsidRPr="001763D9">
        <w:rPr>
          <w:rFonts w:asciiTheme="majorBidi" w:hAnsiTheme="majorBidi" w:cstheme="majorBidi"/>
          <w:sz w:val="24"/>
          <w:szCs w:val="24"/>
        </w:rPr>
        <w:t>, causing serious complications such as foot ulceration</w:t>
      </w:r>
      <w:r w:rsidRPr="001763D9">
        <w:rPr>
          <w:rFonts w:asciiTheme="majorBidi" w:hAnsiTheme="majorBidi" w:cstheme="majorBidi"/>
          <w:noProof/>
          <w:sz w:val="24"/>
          <w:szCs w:val="24"/>
        </w:rPr>
        <w:t xml:space="preserve"> </w:t>
      </w:r>
      <w:r w:rsidRPr="001763D9">
        <w:rPr>
          <w:rFonts w:asciiTheme="majorBidi" w:hAnsiTheme="majorBidi" w:cstheme="majorBidi"/>
          <w:noProof/>
          <w:sz w:val="24"/>
          <w:szCs w:val="24"/>
        </w:rPr>
        <w:fldChar w:fldCharType="begin" w:fldLock="1"/>
      </w:r>
      <w:r w:rsidRPr="001763D9">
        <w:rPr>
          <w:rFonts w:asciiTheme="majorBidi" w:hAnsiTheme="majorBidi" w:cstheme="majorBidi"/>
          <w:noProof/>
          <w:sz w:val="24"/>
          <w:szCs w:val="24"/>
        </w:rPr>
        <w:instrText>ADDIN CSL_CITATION {"citationItems":[{"id":"ITEM-1","itemData":{"DOI":"10.1002/(SICI)1096-9136(199807)15:7&lt;539::AID-DIA668&gt;3.0.CO;2-S","ISSN":"0742-3071","author":[{"dropping-particle":"","family":"Alberti","given":"K.G.M.M.","non-dropping-particle":"","parse-names":false,"suffix":""},{"dropping-particle":"","family":"Zimmet","given":"P.Z.","non-dropping-particle":"","parse-names":false,"suffix":""}],"container-title":"Diabetic Medicine","id":"ITEM-1","issue":"7","issued":{"date-parts":[["1998","7","1"]]},"page":"539-553","publisher":"Wiley-Blackwell","title":"Definition, diagnosis and classification of diabetes mellitus and its complications. Part 1: diagnosis and classification of diabetes mellitus. Provisional report of a WHO Consultation","type":"article-journal","volume":"15"},"uris":["http://www.mendeley.com/documents/?uuid=577f34f1-c875-3eee-98f2-771c64cb66c4"]}],"mendeley":{"formattedCitation":"[2]","plainTextFormattedCitation":"[2]","previouslyFormattedCitation":"[2]"},"properties":{"noteIndex":0},"schema":"https://github.com/citation-style-language/schema/raw/master/csl-citation.json"}</w:instrText>
      </w:r>
      <w:r w:rsidRPr="001763D9">
        <w:rPr>
          <w:rFonts w:asciiTheme="majorBidi" w:hAnsiTheme="majorBidi" w:cstheme="majorBidi"/>
          <w:noProof/>
          <w:sz w:val="24"/>
          <w:szCs w:val="24"/>
        </w:rPr>
        <w:fldChar w:fldCharType="separate"/>
      </w:r>
      <w:r w:rsidRPr="001763D9">
        <w:rPr>
          <w:rFonts w:asciiTheme="majorBidi" w:hAnsiTheme="majorBidi" w:cstheme="majorBidi"/>
          <w:noProof/>
          <w:sz w:val="24"/>
          <w:szCs w:val="24"/>
        </w:rPr>
        <w:t>[2]</w:t>
      </w:r>
      <w:r w:rsidRPr="001763D9">
        <w:rPr>
          <w:rFonts w:asciiTheme="majorBidi" w:hAnsiTheme="majorBidi" w:cstheme="majorBidi"/>
          <w:noProof/>
          <w:sz w:val="24"/>
          <w:szCs w:val="24"/>
        </w:rPr>
        <w:fldChar w:fldCharType="end"/>
      </w:r>
      <w:r w:rsidRPr="001763D9">
        <w:rPr>
          <w:rFonts w:asciiTheme="majorBidi" w:hAnsiTheme="majorBidi" w:cstheme="majorBidi"/>
          <w:sz w:val="24"/>
          <w:szCs w:val="24"/>
        </w:rPr>
        <w:t>.</w:t>
      </w:r>
      <w:r w:rsidRPr="001763D9">
        <w:rPr>
          <w:rFonts w:asciiTheme="majorBidi" w:hAnsiTheme="majorBidi" w:cstheme="majorBidi"/>
          <w:sz w:val="24"/>
          <w:szCs w:val="24"/>
          <w:lang w:bidi="fa-IR"/>
        </w:rPr>
        <w:t xml:space="preserve"> Peripheral neuropathy, prevalent in more than half of diabetic population, aggravates these complications</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10.1155/2015/189525","ISSN":"2314-6753","PMID":"26247036","author":[{"dropping-particle":"","family":"Papatheodorou","given":"Konstantinos","non-dropping-particle":"","parse-names":false,"suffix":""},{"dropping-particle":"","family":"Banach","given":"Maciej","non-dropping-particle":"","parse-names":false,"suffix":""},{"dropping-particle":"","family":"Edmonds","given":"Michael","non-dropping-particle":"","parse-names":false,"suffix":""},{"dropping-particle":"","family":"Papanas","given":"Nikolaos","non-dropping-particle":"","parse-names":false,"suffix":""},{"dropping-particle":"","family":"Papazoglou","given":"Dimitrios","non-dropping-particle":"","parse-names":false,"suffix":""}],"container-title":"Journal of diabetes research","id":"ITEM-1","issued":{"date-parts":[["2015","7","12"]]},"page":"189525","publisher":"Hindawi","title":"Complications of Diabetes.","type":"article-journal","volume":"2015"},"uris":["http://www.mendeley.com/documents/?uuid=696ee31c-4d10-38e2-b28e-9edd928b2fb8"]}],"mendeley":{"formattedCitation":"[3]","plainTextFormattedCitation":"[3]","previouslyFormattedCitation":"[3]"},"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[3]</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Diabetic peripheral neuropathy increases the risk of foot ulceration and causes two-thirds of all non-traumatic lower limb amputations</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{"citationItems":[{"id":"ITEM-1","itemData":{"DOI":"10.1016/S0140-6736(05)67698-2","ISSN":"0140-6736","abstract":"Diabetic foot problems are common throughout the world, resulting in major economic consequences for the patients, their families, and society. Foot ulcers are more likely to be of neuropathic origin, and therefore eminently preventable, in developing countries, which will experience the greatest rise in the prevalence of type 2 diabetes in the next 20 years. People at greatest risk of ulceration can easily be identified by careful clinical examination of the feet: education and frequent follow-up is indicated for these patients. When assessing the economic effects of diabetic foot disease, it is important to remember that rates of recurrence of foot ulcers are very high, being greater than 50% after 3 years. Costing should therefore include not only the immediate ulcer episode, but also social services, home care, and subsequent ulcer episodes. A broader view of total resource use should include some estimate of quality of life and the final outcome. An integrated care approach with regular screening and education of patients at risk requires low expenditure and has the potential to reduce the cost of health care.","author":[{"dropping-particle":"","family":"Boulton","given":"Andrew JM","non-dropping-particle":"","parse-names":false,"suffix":""},{"dropping-particle":"","family":"Vileikyte","given":"Loretta","non-dropping-particle":"","parse-names":false,"suffix":""},{"dropping-particle":"","family":"Ragnarson-Tennvall","given":"Gunnel","non-dropping-particle":"","parse-names":false,"suffix":""},{"dropping-particle":"","family":"Apelqvist","given":"Jan","non-dropping-particle":"","parse-names":false,"suffix":""}],"container-title":"The Lancet","id":"ITEM-1","issue":"9498","issued":{"date-parts":[["2005","11","12"]]},"page":"1719-1724","publisher":"Elsevier","title":"The global burden of diabetic foot disease","type":"article-journal","volume":"366"},"uris":["http://www.mendeley.com/documents/?uuid=5bcecffe-b234-394b-bc74-b1818bbe64c8"]}],"mendeley":{"formattedCitation":"[4]","plainTextFormattedCitation":"[4]","previouslyFormattedCitation":"[4]"},"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[4]</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Due to the heavy physical and economic burdens of diabetic complications, prevention is the treatment priority</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10.1007/s00125-008-1089-6","ISSN":"0012-186X","author":[{"dropping-particle":"","family":"Prompers","given":"L.","non-dropping-particle":"","parse-names":false,"suffix":""},{"dropping-particle":"","family":"Huijberts","given":"M.","non-dropping-particle":"","parse-names":false,"suffix":""},{"dropping-particle":"","family":"Schaper","given":"N.","non-dropping-particle":"","parse-names":false,"suffix":""},{"dropping-particle":"","family":"Apelqvist","given":"J.","non-dropping-particle":"","parse-names":false,"suffix":""},{"dropping-particle":"","family":"Bakker","given":"K.","non-dropping-particle":"","parse-names":false,"suffix":""},{"dropping-particle":"","family":"Edmonds","given":"M.","non-dropping-particle":"","parse-names":false,"suffix":""},{"dropping-particle":"","family":"Holstein","given":"P.","non-dropping-particle":"","parse-names":false,"suffix":""},{"dropping-particle":"","family":"Jude","given":"E.","non-dropping-particle":"","parse-names":false,"suffix":""},{"dropping-particle":"","family":"Jirkovska","given":"A.","non-dropping-particle":"","parse-names":false,"suffix":""},{"dropping-particle":"","family":"Mauricio","given":"D.","non-dropping-particle":"","parse-names":false,"suffix":""},{"dropping-particle":"","family":"Piaggesi","given":"A.","non-dropping-particle":"","parse-names":false,"suffix":""},{"dropping-particle":"","family":"Reike","given":"H.","non-dropping-particle":"","parse-names":false,"suffix":""},{"dropping-particle":"","family":"Spraul","given":"M.","non-dropping-particle":"","parse-names":false,"suffix":""},{"dropping-particle":"Van","family":"Acker","given":"K.","non-dropping-particle":"","parse-names":false,"suffix":""},{"dropping-particle":"Van","family":"Baal","given":"S.","non-dropping-particle":"","parse-names":false,"suffix":""},{"dropping-particle":"Van","family":"Merode","given":"F.","non-dropping-particle":"","parse-names":false,"suffix":""},{"dropping-particle":"","family":"Uccioli","given":"L.","non-dropping-particle":"","parse-names":false,"suffix":""},{"dropping-particle":"","family":"Urbancic","given":"V.","non-dropping-particle":"","parse-names":false,"suffix":""},{"dropping-particle":"","family":"Tennvall","given":"G. Ragnarson","non-dropping-particle":"","parse-names":false,"suffix":""}],"container-title":"Diabetologia","id":"ITEM-1","issue":"10","issued":{"date-parts":[["2008","10","22"]]},"page":"1826-1834","publisher":"Springer-Verlag","title":"Resource utilisation and costs associated with the treatment of diabetic foot ulcers. Prospective data from the Eurodiale Study","type":"article-journal","volume":"51"},"uris":["http://www.mendeley.com/documents/?uuid=5f14d5fd-3fba-372a-9aee-6af59b7a254b"]},{"id":"ITEM-2","itemData":{"DOI":"10.1002/dmrr.2738","ISBN":"1520-7560 (Electronic) 1520-7552 (Linking)","ISSN":"15207560","PMID":"26452160","abstract":"Diabetic foot ulceration poses a heavy burden on the patient and the healthcare system, but prevention thereof receives little attention. For every euro spent on ulcer prevention, ten are spent on ulcer healing, and for every randomized controlled trial conducted on prevention, ten are conducted on healing. In this article, we argue that a shift in priorities is needed. For the prevention of a first foot ulcer, we need more insight into the effect of interventions and practices already applied globally in many settings. This requires systematic recording of interventions and outcomes, and well-designed randomized controlled trials that include analysis of cost-effectiveness. After healing of a foot ulcer, the risk of recurrence is high. For the prevention of a recurrent foot ulcer, home monitoring of foot temperature, pressure-relieving therapeutic footwear, and certain surgical interventions prove to be effective. The median effect size found in a total of 23 studies on these interventions is large, over 60%, and further increases when patients are adherent to treatment. These interventions should be investigated for efficacy as a state-of-the-art integrated foot care approach, where attempts are made to assure treatment adherence. Effect sizes of 75-80% may be expected. If such state-of-the-art integrated foot care is implemented, the majority of problems with foot ulcer recurrence in diabetes can be resolved. It is therefore time to act and to set a new target in diabetic foot care. This target is to reduce foot ulcer incidence with at least 75%. Copyright © 2016 John Wiley &amp; Sons, Ltd.","author":[{"dropping-particle":"","family":"Bus","given":"Sicco A.","non-dropping-particle":"","parse-names":false,"suffix":""},{"dropping-particle":"","family":"Netten","given":"Jaap J.","non-dropping-particle":"van","parse-names":false,"suffix":""}],"container-title":"Diabetes/Metabolism Research and Reviews","id":"ITEM-2","issued":{"date-parts":[["2016"]]},"title":"A shift in priority in diabetic foot care and research: 75% of foot ulcers are preventable","type":"article-journal"},"uris":["http://www.mendeley.com/documents/?uuid=e788450e-643b-300c-bb97-a7670e60bcec"]}],"mendeley":{"formattedCitation":"[5,6]","plainTextFormattedCitation":"[5,6]","previouslyFormattedCitation":"[5,6]"},"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[5,6]</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w:t>
      </w:r>
    </w:p>
    <w:p w14:paraId="5599F730" w14:textId="607C117C"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To prevent plantar ulceration, offloading the critical areas such as forefoot is essential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{"citationItems":[{"id":"ITEM-1","itemData":{"DOI":"10.1002/dmrr.2702","ISBN":"1520-7552 (Print)\\r1520-7552 (Linking)","ISSN":"15207560","PMID":"20809532","abstract":"Damin and colleagues in this issue of DMRR Assessing quality of diabetes care and its variation in Aboriginal community health centres in Australia reviewed the quality of diabetes care and its variation among Aboriginal community health centres. They assessed partitioning of variation attributable to health centre and individual patient characteristics. The results demonstrated wide variation across different categories of diabetes care measures and across centres.","author":[{"dropping-particle":"","family":"Bus","given":"S. A.","non-dropping-particle":"","parse-names":false,"suffix":""},{"dropping-particle":"","family":"Deursen","given":"R. W.","non-dropping-particle":"van","parse-names":false,"suffix":""},{"dropping-particle":"","family":"Armstrong","given":"D. G.","non-dropping-particle":"","parse-names":false,"suffix":""},{"dropping-particle":"","family":"Lewis","given":"J. E.A.","non-dropping-particle":"","parse-names":false,"suffix":""},{"dropping-particle":"","family":"Caravaggi","given":"C. F.","non-dropping-particle":"","parse-names":false,"suffix":""},{"dropping-particle":"","family":"Cavanagh","given":"P. R.","non-dropping-particle":"","parse-names":false,"suffix":""}],"container-title":"Diabetes/Metabolism Research and Reviews","id":"ITEM-1","issued":{"date-parts":[["2016"]]},"title":"Footwear and offloading interventions to prevent and heal foot ulcers and reduce plantar pressure in patients with diabetes: A systematic review","type":"article-journal"},"uris":["http://www.mendeley.com/documents/?uuid=7fa5232c-f87a-3297-a6ba-a1bd3c3d7bf9"]}],"mendeley":{"formattedCitation":"[7]","plainTextFormattedCitation":"[7]","previouslyFormattedCitation":"[7]"},"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[7]</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Rigid toe-only rocker outsoles are commonly used as a footwear modification to offload the forefoot region, and are effective in reducing peak plantar pressures up to 50%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S0003-9993(03)00374-5","ISSN":"00039993","author":[{"dropping-particle":"","family":"Brown","given":"David","non-dropping-particle":"","parse-names":false,"suffix":""},{"dropping-particle":"","family":"Wertsch","given":"Jacqueline J","non-dropping-particle":"","parse-names":false,"suffix":""},{"dropping-particle":"","family":"Harris","given":"Gerald F","non-dropping-particle":"","parse-names":false,"suffix":""},{"dropping-particle":"","family":"Klein","given":"John","non-dropping-particle":"","parse-names":false,"suffix":""},{"dropping-particle":"","family":"Janisse","given":"Dennis","non-dropping-particle":"","parse-names":false,"suffix":""}],"container-title":"Archives of Physical Medicine and Rehabilitation","id":"ITEM-1","issue":"1","issued":{"date-parts":[["2004","1","1"]]},"language":"English","page":"81-86","publisher":"Elsevier","title":"Effect of rocker soles on plantar pressures","type":"article-journal","volume":"85"},"uris":["http://www.mendeley.com/documents/?uuid=b91b7fd7-7b82-41c9-b2c4-4f4a64ed341d"]}],"mendeley":{"formattedCitation":"[8]","plainTextFormattedCitation":"[8]","previouslyFormattedCitation":"[8]"},"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[8]</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Plantar pressure reduction by different designs of the toe-only rocker outsole in terms of rocker angle, apex angle and apex position has been reported in the previous literature</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{"citationItems":[{"id":"ITEM-1","itemData":{"DOI":"10.1016/j.clinbiomech.2013.05.005","ISSN":"1879-1271","PMID":"23731579","abstract":"BACKGROUND: There is no consensus on the precise rocker shoe outsole design that will optimally reduce plantar pressure in people with diabetes. This study aimed to understand how peak plantar pressure is influenced by systematically varying three design features which characterise a curved rocker shoe: apex angle, apex position and rocker angle. METHODS: A total of 12 different rocker shoe designs, spanning a range of each of the three design features, were tested in 24 people with diabetes and 24 healthy participants. Each subject also wore a flexible control shoe. Peak plantar pressure, in four anatomical regions, was recorded for each of the 13 shoes during walking at a controlled speed. FINDINGS: There were a number of significant main effects for each of the three design features, however, the precise effect of each feature varied between the different regions. The results demonstrated maximum pressure reduction in the 2nd-4th metatarsal regions (39%) but that lower rocker angles (&lt;20°) and anterior apex positions (&gt;60% shoe length) should be avoided for this region. The effect of apex angle was most pronounced in the 1st metatarsophalangeal region with a clear decrease in pressure as the apex angle was increased to 100°. INTERPRETATION: We suggest that an outsole design with a 95° apex angle, apex position at 60% of shoe length and 20° rocker angle may achieve an optimal balance for offloading different regions of the forefoot. However, future studies incorporating additional design feature combinations, on high risk patients, are required to make definitive recommendations.","author":[{"dropping-particle":"","family":"Chapman","given":"J D","non-dropping-particle":"","parse-names":false,"suffix":""},{"dropping-particle":"","family":"Preece","given":"S","non-dropping-particle":"","parse-names":false,"suffix":""},{"dropping-particle":"","family":"Braunstein","given":"B","non-dropping-particle":"","parse-names":false,"suffix":""},{"dropping-particle":"","family":"Höhne","given":"A","non-dropping-particle":"","parse-names":false,"suffix":""},{"dropping-particle":"","family":"Nester","given":"C J","non-dropping-particle":"","parse-names":false,"suffix":""},{"dropping-particle":"","family":"Brueggemann","given":"P","non-dropping-particle":"","parse-names":false,"suffix":""},{"dropping-particle":"","family":"Hutchins","given":"S","non-dropping-particle":"","parse-names":false,"suffix":""}],"container-title":"Clinical biomechanics (Bristol, Avon)","id":"ITEM-1","issue":"6","issued":{"date-parts":[["2013","7"]]},"page":"679-85","title":"Effect of rocker shoe design features on forefoot plantar pressures in people with and without diabetes.","type":"article-journal","volume":"28"},"uris":["http://www.mendeley.com/documents/?uuid=ecd0fb12-8cd2-406a-8d12-8cfc0fa534c9"]}],"mendeley":{"formattedCitation":"[9]","plainTextFormattedCitation":"[9]","previouslyFormattedCitation":"[9]"},"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[9]</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A toe-only rocker outsole with a rocker angle of 20° with an apex angle of 95° positioned at 60% of the shoe length, and a rocker angle of 15° with an apex angle of 95° positioned at 52% of the shoe length has been demonstrated to optimally offload the diabetic foot</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{"citationItems":[{"id":"ITEM-1","itemData":{"DOI":"10.1016/j.clinbiomech.2013.05.005","ISSN":"1879-1271","PMID":"23731579","abstract":"BACKGROUND: There is no consensus on the precise rocker shoe outsole design that will optimally reduce plantar pressure in people with diabetes. This study aimed to understand how peak plantar pressure is influenced by systematically varying three design features which characterise a curved rocker shoe: apex angle, apex position and rocker angle. METHODS: A total of 12 different rocker shoe designs, spanning a range of each of the three design features, were tested in 24 people with diabetes and 24 healthy participants. Each subject also wore a flexible control shoe. Peak plantar pressure, in four anatomical regions, was recorded for each of the 13 shoes during walking at a controlled speed. FINDINGS: There were a number of significant main effects for each of the three design features, however, the precise effect of each feature varied between the different regions. The results demonstrated maximum pressure reduction in the 2nd-4th metatarsal regions (39%) but that lower rocker angles (&lt;20°) and anterior apex positions (&gt;60% shoe length) should be avoided for this region. The effect of apex angle was most pronounced in the 1st metatarsophalangeal region with a clear decrease in pressure as the apex angle was increased to 100°. INTERPRETATION: We suggest that an outsole design with a 95° apex angle, apex position at 60% of shoe length and 20° rocker angle may achieve an optimal balance for offloading different regions of the forefoot. However, future studies incorporating additional design feature combinations, on high risk patients, are required to make definitive recommendations.","author":[{"dropping-particle":"","family":"Chapman","given":"J D","non-dropping-particle":"","parse-names":false,"suffix":""},{"dropping-particle":"","family":"Preece","given":"S","non-dropping-particle":"","parse-names":false,"suffix":""},{"dropping-particle":"","family":"Braunstein","given":"B","non-dropping-particle":"","parse-names":false,"suffix":""},{"dropping-particle":"","family":"Höhne","given":"A","non-dropping-particle":"","parse-names":false,"suffix":""},{"dropping-particle":"","family":"Nester","given":"C J","non-dropping-particle":"","parse-names":false,"suffix":""},{"dropping-particle":"","family":"Brueggemann","given":"P","non-dropping-particle":"","parse-names":false,"suffix":""},{"dropping-particle":"","family":"Hutchins","given":"S","non-dropping-particle":"","parse-names":false,"suffix":""}],"container-title":"Clinical biomechanics (Bristol, Avon)","id":"ITEM-1","issue":"6","issued":{"date-parts":[["2013","7"]]},"page":"679-85","title":"Effect of rocker shoe design features on forefoot plantar pressures in people with and without diabetes.","type":"article-journal","volume":"28"},"uris":["http://www.mendeley.com/documents/?uuid=ecd0fb12-8cd2-406a-8d12-8cfc0fa534c9"]},{"id":"ITEM-2","itemData":{"DOI":"10.1186/1757-1146-7-S1-A66","ISSN":"1757-1146","author":[{"dropping-particle":"","family":"Chapman","given":"Jonathan D","non-dropping-particle":"","parse-names":false,"suffix":""},{"dropping-particle":"","family":"Preece","given":"Stephen J","non-dropping-particle":"","parse-names":false,"suffix":""},{"dropping-particle":"","family":"Nester","given":"Christopher J","non-dropping-particle":"","parse-names":false,"suffix":""},{"dropping-particle":"","family":"Braunstein","given":"Bjoern","non-dropping-particle":"","parse-names":false,"suffix":""},{"dropping-particle":"","family":"Höhne","given":"Angela","non-dropping-particle":"","parse-names":false,"suffix":""},{"dropping-particle":"","family":"Brüggermann","given":"Gert-Peter","non-dropping-particle":"","parse-names":false,"suffix":""}],"container-title":"Journal of Foot and Ankle Research","id":"ITEM-2","issue":"1","issued":{"date-parts":[["2014","4"]]},"page":"A66","title":"Evaluating the effect of apex position and rocker in curved rocker shoes","type":"article-journal","volume":"7"},"uris":["http://www.mendeley.com/documents/?uuid=0deb519c-d9bf-4a52-954e-68a7d14140f4"]}],"mendeley":{"formattedCitation":"[9,10]","plainTextFormattedCitation":"[9,10]","previouslyFormattedCitation":"[9,10]"},"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[9,10]</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w:t>
      </w:r>
    </w:p>
    <w:p w14:paraId="0EACD4E4" w14:textId="2BCCA3A5" w:rsidR="00A17EDA" w:rsidRPr="001763D9" w:rsidRDefault="00A17EDA" w:rsidP="00950DCD">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The</w:t>
      </w:r>
      <w:r>
        <w:rPr>
          <w:rFonts w:asciiTheme="majorBidi" w:hAnsiTheme="majorBidi" w:cstheme="majorBidi"/>
          <w:sz w:val="24"/>
          <w:szCs w:val="24"/>
          <w:lang w:bidi="fa-IR"/>
        </w:rPr>
        <w:t xml:space="preserve"> </w:t>
      </w:r>
      <w:r w:rsidR="00933DC3">
        <w:rPr>
          <w:rFonts w:asciiTheme="majorBidi" w:hAnsiTheme="majorBidi" w:cstheme="majorBidi"/>
          <w:sz w:val="24"/>
          <w:szCs w:val="24"/>
          <w:lang w:bidi="fa-IR"/>
        </w:rPr>
        <w:t>Rigid rocker shoe (</w:t>
      </w:r>
      <w:r>
        <w:rPr>
          <w:rFonts w:asciiTheme="majorBidi" w:hAnsiTheme="majorBidi" w:cstheme="majorBidi"/>
          <w:sz w:val="24"/>
          <w:szCs w:val="24"/>
          <w:lang w:bidi="fa-IR"/>
        </w:rPr>
        <w:t>RRS</w:t>
      </w:r>
      <w:r w:rsidR="00933DC3">
        <w:rPr>
          <w:rFonts w:asciiTheme="majorBidi" w:hAnsiTheme="majorBidi" w:cstheme="majorBidi"/>
          <w:sz w:val="24"/>
          <w:szCs w:val="24"/>
          <w:lang w:bidi="fa-IR"/>
        </w:rPr>
        <w:t>)</w:t>
      </w:r>
      <w:r w:rsidRPr="001763D9">
        <w:rPr>
          <w:rFonts w:asciiTheme="majorBidi" w:hAnsiTheme="majorBidi" w:cstheme="majorBidi"/>
          <w:sz w:val="24"/>
          <w:szCs w:val="24"/>
          <w:lang w:bidi="fa-IR"/>
        </w:rPr>
        <w:t xml:space="preserve"> is clinically efficient in diabetics, however, the compliance in wearing is remarkably low</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{"citationItems":[{"id":"ITEM-1","itemData":{"DOI":"10.2337/dc12-1330","ISBN":"1935-5548 (Electronic)\\r0149-5992 (Linking)","ISSN":"01495992","PMID":"23321218","abstract":"OBJECTIVE: Prescription custom-made footwear can only be effective in preventing diabetic foot ulcers if worn by the patient. Particularly, the high prevalence of recurrent foot ulcers focuses the attention on adherence, for which objective data are nonexisting. We objectively assessed adherence in patients with high risk of ulcer recurrence and evaluated what determines adherence.RESEARCH DESIGN AND METHODS: In 107 patients with diabetes, neuropathy, a recently healed plantar foot ulcer, and custom-made footwear, footwear use was measured during 7 consecutive days using a shoe-worn, temperature-based monitor. Daily step count was measured simultaneously using an ankle-worn activity monitor. Patients logged time away from home. Adherence was calculated as the percentage of steps that prescription footwear was worn. Determinants of adherence were evaluated in multivariate linear regression analysis.RESULTS: Mean ± SD adherence was 71 ± 25%. Adherence at home was 61 ± 32%, over 3,959 ± 2,594 steps, and away from home 87 ± 26%, over 2,604 ± 2,507 steps. In 35 patients with low adherence (&lt;60%), adherence at home was 28 ± 24%. Lower BMI, more severe foot deformity, and more appealing footwear were significantly associated with higher adherence.CONCLUSIONS: The results show that adherence to wearing custom-made footwear is insufficient, particularly at home where patients exhibit their largest walking activity. This low adherence is a major threat for reulceration. These objective findings provide directions for improvement in adherence, which could include prescribing specific off-loading footwear for indoors, and they set a reference for future comparative research on footwear adherence in diabetes.","author":[{"dropping-particle":"","family":"Waaijman","given":"Roelof","non-dropping-particle":"","parse-names":false,"suffix":""},{"dropping-particle":"","family":"Keukenkamp","given":"Renske","non-dropping-particle":"","parse-names":false,"suffix":""},{"dropping-particle":"","family":"Haart","given":"Mirjam","non-dropping-particle":"De","parse-names":false,"suffix":""},{"dropping-particle":"","family":"Polomski","given":"Wojtek P.","non-dropping-particle":"","parse-names":false,"suffix":""},{"dropping-particle":"","family":"Nollet","given":"Frans","non-dropping-particle":"","parse-names":false,"suffix":""},{"dropping-particle":"","family":"Bus","given":"Sicco A.","non-dropping-particle":"","parse-names":false,"suffix":""}],"container-title":"Diabetes Care","id":"ITEM-1","issued":{"date-parts":[["2013"]]},"title":"Adherence to wearing prescription custom-made footwear in patients with diabetes at high risk for plantar foot ulceration","type":"article-journal"},"uris":["http://www.mendeley.com/documents/?uuid=45e3f2ad-f9a9-382d-b88e-2e97eec15b48"]}],"mendeley":{"formattedCitation":"[11]","plainTextFormattedCitation":"[11]","previouslyFormattedCitation":"[11]"},"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[11]</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Despite the proved clinical benefits of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in offloading</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{"citationItems":[{"id":"ITEM-1","itemData":{"DOI":"10.1016/j.foot.2009.01.001","ISSN":"1532-2963","PMID":"20307470","abstract":"BACKGROUND: Rocker profiles are the most commonly prescribed external therapeutic shoe modification. However, the prescription criteria for rocker profiles have historically been based on theoretical considerations with minimal scientific study and validation.\n\nOBJECTIVE: Rocker profiles are used to afford pressure relief for the plantar surface of the foot, to limit the need for sagittal plane motion in the joints of the foot and to alter gait kinetics and kinematics in proximal joints. This paper reviews the literature relating to biomechanical and clinical efficacy.\n\nMETHOD: A literature search was undertaken in Medline, PubMed, Recal, Cochrane database and Scopus.\n\nRESULTS AND CONCLUSIONS: Efficacy is demonstrated with regards to relief of forefoot plantar pressures. However, the definitive profile shape has not been demonstrated. The effectiveness of rocker-soled shoes in restricting sagittal plane motion in individual joints of the foot is unclear. Rocker profiles have minimal effect on the kinetics and kinematics of the more proximal joints of the lower limb, but more significant effects are seen at the ankle. Further research is warranted on the effects of rocker profiles on individual joints of the foot and the manner in which they effect lower limb muscle activity and gait patterns.","author":[{"dropping-particle":"","family":"Hutchins","given":"S","non-dropping-particle":"","parse-names":false,"suffix":""},{"dropping-particle":"","family":"Bowker","given":"P","non-dropping-particle":"","parse-names":false,"suffix":""},{"dropping-particle":"","family":"Geary","given":"N","non-dropping-particle":"","parse-names":false,"suffix":""},{"dropping-particle":"","family":"Richards","given":"J","non-dropping-particle":"","parse-names":false,"suffix":""}],"container-title":"Foot (Edinburgh, Scotland)","id":"ITEM-1","issue":"3","issued":{"date-parts":[["2009","9"]]},"page":"165-70","title":"The biomechanics and clinical efficacy of footwear adapted with rocker profiles--evidence in the literature.","type":"article-journal","volume":"19"},"uris":["http://www.mendeley.com/documents/?uuid=fe7123cb-4e1d-46c0-bc8b-934faa9abcf3"]}],"mendeley":{"formattedCitation":"[12]","plainTextFormattedCitation":"[12]","previouslyFormattedCitation":"[12]"},"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[12]</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there are evidence of destabili</w:t>
      </w:r>
      <w:r w:rsidR="00E04EFE">
        <w:rPr>
          <w:rFonts w:asciiTheme="majorBidi" w:hAnsiTheme="majorBidi" w:cstheme="majorBidi"/>
          <w:sz w:val="24"/>
          <w:szCs w:val="24"/>
          <w:lang w:bidi="fa-IR"/>
        </w:rPr>
        <w:t>s</w:t>
      </w:r>
      <w:r w:rsidRPr="001763D9">
        <w:rPr>
          <w:rFonts w:asciiTheme="majorBidi" w:hAnsiTheme="majorBidi" w:cstheme="majorBidi"/>
          <w:sz w:val="24"/>
          <w:szCs w:val="24"/>
          <w:lang w:bidi="fa-IR"/>
        </w:rPr>
        <w:t xml:space="preserve">ing potentials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{"citationItems":[{"id":"ITEM-1","itemData":{"DOI":"10.1002/dmrr.827","ISSN":"15207552","PMID":"18357582","abstract":"Diabetic neuropathy is related to plantar ulceration through a variety of factors of which increased plantar pressures and loss of protective sensation are the most important. Loss of sensation in the lower limbs is also related to postural instability and an increased risk of falling. Ankle and foot proprioception play an important role in postural control and this sensory function is also affected by neuropathy. It is conceivable that footwear, orthotics, casts and braces used for treatment or prevention of plantar ulceration through offloading of the injured or at-risk foot area can exacerbate the postural instability and risk of falling. This has, however, received very limited attention in the literature. There are studies that have demonstrated that footwear adjustments can influence balance and stability in healthy, elderly subjects. The adjustments made to footwear for the diabetic foot are generally more dramatic and, therefore, are expected to have a greater influence on postural stability. Furthermore, casts and braces tend to deviate even more from normal footwear. This may seriously interfere with normal gait and posture and, therefore, stability. So far the evidence suggests that patients wearing such devices demonstrate markedly reduced activity levels. This reduced activity could add to the effect of offloading. This could also be interpreted to indicate problems with stability. This presentation will review the different types of offloading interventions frequently used for ulcer treatment and prevention and will consider the mechanical effect of these interventions on stability.","author":[{"dropping-particle":"","family":"Deursen","given":"Robert","non-dropping-particle":"van","parse-names":false,"suffix":""}],"container-title":"Diabetes/Metabolism Research and Reviews","id":"ITEM-1","issue":"S1","issued":{"date-parts":[["2008","5"]]},"page":"S96-S100","title":"Footwear for the neuropathic patient: offloading and stability","type":"article-journal","volume":"24"},"uris":["http://www.mendeley.com/documents/?uuid=32a40d0e-fee5-3555-b005-80e36af9cd27"]},{"id":"ITEM-2","itemData":{"abstract":"There is a direct relationship between reduction in pressure to the wound area and healing potential. A common practice in conservative care for diabetic foot ulceration is offloading the wound area through footwear. However, recent literature suggests general offloading footwear reduce activity levels of patients due to decreased postural stability and reduced walking speeds. Hence, the current study investigates two basic offloaders, negative-heel and rocker-bottom shoes, and their effects on gait and balance through innovative body worn sensors. Postural stability assessments through center of mass (COM) sway area were performed on 18 healthy and 9 diabetic peripheral neuropathy (DPN) subjects. Walking assessments were performed for 40 feet at habitual speed in randomized order using the three footwear types. Gait and balance parameters were evaluated with repeated measures ANOVA at alpha value of 0.05. In the eyes open and eyes closed tasks, offloading footwear impacted postural stability (p=0.00, ANOVA) in healthy subjects. Rocker-bottom shoes suggest to have increased COM sway area by 65% during eyes open and 86% during eyes closed compared to standard-shoes, especially in the anterior-posterior direction. Negative-heel shoes increased sway by 10% but surprisingly improved postural stability in healthy by 20% during the eyes closed setting. Offloading footwear, especially rocker bottom shoes, seem to negatively affect static balance and dynamic walking. This ongoing study requires additional recrutiment and analyses to ascertain the effects of offloading footwear in DPN patients.","author":[{"dropping-particle":"","family":"Ahmed","given":"Rashid","non-dropping-particle":"","parse-names":false,"suffix":""}],"container-title":"142nd APHA Annual Meeting and Exposition (November 15 - November 19, 2014)","id":"ITEM-2","issued":{"date-parts":[["2014","11","18"]]},"language":"English","publisher":"APHA","title":"Effect of offloading footwear on postural stability and walking in healthy and diabetics with peripheral neuropathy","type":"paper-conference"},"uris":["http://www.mendeley.com/documents/?uuid=96de181e-48ee-43c8-81f4-f6758a58ef08"]}],"mendeley":{"formattedCitation":"[13,14]","plainTextFormattedCitation":"[13,14]","previouslyFormattedCitation":"[13,14]"},"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[13,14]</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Postural stability with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has been investigated in terms of postural reactions to a perturbed stance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{"citationItems":[{"id":"ITEM-1","itemData":{"DOI":"10.1016/j.gaitpost.2009.02.012","ISSN":"1879-2219","PMID":"19329317","abstract":"Shoes with rocker bottom soles are utilized by persons with diabetic peripheral neuropathy to reduce plantar pressures during gait. This population also has a high risk for falls. This study analyzed the effects of shoes with rocker bottom soles on the postural response during perturbed stance. Participants were 20 healthy subjects (16 women, 4 men) ages 22-25 years. Canvas shoes were modified by the addition of crepe sole material to represent two forms of rocker bottom shoes and a control shoe. Subjects stood on a dynamic force plate programmed to move backward at a velocity that produced an automatic postural response without stepping. Force plate data were collected for five trials per shoe type. Sway variables for center of pressure (COP) and center of mass (COM) included: mean sway amplitude, sway variance, time to peak, anterior and posterior peak velocities, functional stability margin, and peak duration time. Compared to control, both the experimental shoes had significantly larger COP and COM values for mean sway amplitude, sway variance and peak duration. The functional stability margins were significantly smaller for the experimental shoes while their anterior and posterior peak velocities were slower and time to peaks were significantly longer. In young healthy adults, shoes with rocker bottom soles had a destabilizing effect to perturbed stance, thereby increasing the potential for imbalance. These results raise concerns that footwear with rocker bottom sole modifications to accommodate an insensate foot may increase the risk of falls.","author":[{"dropping-particle":"","family":"Albright","given":"Bruce C","non-dropping-particle":"","parse-names":false,"suffix":""},{"dropping-particle":"","family":"Woodhull-Smith","given":"Whitney M","non-dropping-particle":"","parse-names":false,"suffix":""}],"container-title":"Gait &amp; posture","id":"ITEM-1","issue":"1","issued":{"date-parts":[["2009","7"]]},"page":"45-9","title":"Rocker bottom soles alter the postural response to backward translation during stance.","type":"article-journal","volume":"30"},"uris":["http://www.mendeley.com/documents/?uuid=ca0520c6-e72b-4c80-b501-b810dcecea63"]},{"id":"ITEM-2","itemData":{"DOI":"10.1016/j.gaitpost.2013.06.002","ISSN":"1879-2219","PMID":"23871319","abstract":"Shoes with rocker bottom soles are utilized by persons with diabetic peripheral neuropathy to reduce plantar pressures during gait. The risk of falls increases with age and is compounded by diabetic neuropathy. The purpose of this study was to analyze how rocker bottom shoes affect posture control of older adults (50-75 years old) and younger adults (20-35 years old) in response to posterior slide perturbations. The postural response to a posterior platform translation was normalized among subjects by applying the below threshold stepping velocity (BTSV) for each subject. The BTSV was the fastest velocity of platform translation that did not cause a stepping response while wearing the rocker bottom shoes. Joint excursion, time to first response, response time, and variability of mean peak joint angles were analyzed at the ankle, knee, hip, trunk, and head in the sagittal plane. The statistical analysis was a 2-factor mixed repeated measures design to determine interactions between and within shoe types and age groups. While wearing rocker bottom shoes, both age groups exhibited increased joint excursion, differences in time to initial response, and longer response time. The older group demonstrated decreased joint excursion and increased time to initial response compared to the younger group, as well as a significantly slower mean BTSV. These findings support the conclusion that in healthy older adults and in populations at risk for falls, the use of rocker bottom or other unstable shoes may increase the potential of falls when confronted with a standing perturbation such as a forceful slip or trip.","author":[{"dropping-particle":"","family":"Kimel-Scott","given":"Dorothy R","non-dropping-particle":"","parse-names":false,"suffix":""},{"dropping-particle":"","family":"Gulledge","given":"Elisha N","non-dropping-particle":"","parse-names":false,"suffix":""},{"dropping-particle":"","family":"Bolena","given":"Ryan E","non-dropping-particle":"","parse-names":false,"suffix":""},{"dropping-particle":"","family":"Albright","given":"Bruce C","non-dropping-particle":"","parse-names":false,"suffix":""}],"container-title":"Gait &amp; posture","id":"ITEM-2","issue":"1","issued":{"date-parts":[["2014","1"]]},"page":"86-90","title":"Kinematic analysis of postural reactions to a posterior translation in rocker bottom shoes in younger and older adults.","type":"article-journal","volume":"39"},"uris":["http://www.mendeley.com/documents/?uuid=b310b35d-4b58-4439-91ba-e1a8c1f78ec1"]},{"id":"ITEM-3","itemData":{"DOI":"10.1177/0309364614543549","ISSN":"17461553","abstract":"Background: Rocker outsole shoes are commonly prescribed to patients with diabetic neuropathy to offload a particular area of the foot sole, thereby decreasing the risk of foot ulceration. Contrary to this, some evidence has reported a postural destabilising effect of these shoes in healthy adults. Objective: To explore the postural stability of patients with diabetic neuropathy who wear a rocker outsole shoe. Study design: Quasi-experimental. Method: In total, 17 patients with diabetic neuropathy (aged 49.29 ± 7.48 years; 7 female, 10 males) participated in this study. A Motor Control Test measuring centre of force displacement, response strength scale and response latency in medium and large perturbations was conducted using the EquiTest system to evaluate postural stability while wearing a baseline shoe (without a rocker outsole) or a rocker outsole shoe (with a toe-only rocker sole). Results: No significant difference was observed between the shoe conditions in centre of force displacement and response latency of the participants (p &gt; 0.05). The results indicated a significant increase in the response strength scale of participants by the rocker outsole, for medium forward and backward and large forward perturbations (p = 0.014, p = 0.001 and p = 0.027, respectively). Conclusion: When the immediate effect is a concern, the rocker outsole shoe did not negatively affect postural stability in patients with diabetic neuropathy. Clinical relevance This article will provide objective evidence about the effect of rocker outsole on postural balance in diabetic patients. In prescription of rocker outsole to prevent plantar ulceration of diabetic foot, immediate postural destabilising is not a concern.","author":[{"dropping-particle":"","family":"Ghomian","given":"B.","non-dropping-particle":"","parse-names":false,"suffix":""},{"dropping-particle":"","family":"Kamyab","given":"M.","non-dropping-particle":"","parse-names":false,"suffix":""},{"dropping-particle":"","family":"Jafari","given":"H.","non-dropping-particle":"","parse-names":false,"suffix":""},{"dropping-particle":"","family":"Khamseh","given":"M.","non-dropping-particle":"","parse-names":false,"suffix":""},{"dropping-particle":"","family":"Healy","given":"A.","non-dropping-particle":"","parse-names":false,"suffix":""}],"container-title":"Prosthetics and Orthotics International","id":"ITEM-3","issue":"2","issued":{"date-parts":[["2016"]]},"title":"Rocker outsole shoe is not a threat to postural stability in patients with diabetic neuropathy","type":"article-journal","volume":"40"},"uris":["http://www.mendeley.com/documents/?uuid=d1622b7b-b8a9-3c1e-9e6f-acf5d64ec38f"]}],"mendeley":{"formattedCitation":"[15–17]","plainTextFormattedCitation":"[15–17]","previouslyFormattedCitation":"[15–17]"},"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[15–17]</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static stance stability</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10.1080/10255842.2015.1070588","author":[{"dropping-particle":"","family":"Lumeau","given":"M.","non-dropping-particle":"","parse-names":false,"suffix":""},{"dropping-particle":"","family":"Lempereur","given":"M.","non-dropping-particle":"","parse-names":false,"suffix":""},{"dropping-particle":"","family":"Remy-Neris","given":"O.","non-dropping-particle":"","parse-names":false,"suffix":""}],"container-title":"Computer Methods in Biomechanics and Biomedical Engineering","id":"ITEM-1","issued":{"date-parts":[["2015"]]},"title":"Assessment of the rocker sole shoes on postural stability in diabetic patients with distal sensory neuropathy.","type":"article-journal"},"uris":["http://www.mendeley.com/documents/?uuid=73556e5a-74cd-437d-8290-1e8cbf9d2f18"]}],"mendeley":{"formattedCitation":"[18]","plainTextFormattedCitation":"[18]","previouslyFormattedCitation":"[18]"},"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[18]</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and gait stability</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{"citationItems":[{"id":"ITEM-1","itemData":{"DOI":"10.1016/J.REHAB.2016.07.278","ISSN":"1877-0657","abstract":"OBJECTIVE\nDistal sensorimotor polyneuropathy (DPN) is a leading risk factor of developing ulcer, including increased pressures at the forefoot. The rocker sole shoes are prescribed to decrease pressures but could induce instability [1]. The aim of this study was to compare the postural stability between normal shoes (NS) and rocker sole shoes (RSS) in patients with type 2 diabetes and DPN. \n\nMATERIAL/PATIENTS AND METHODS\nIn this preliminary, randomized, controlled study, NS and RSS were compared during static standing and gait. The primary outcome was the biomechanical variable COP-COM (corresponding to the mean distance between the center of pressure and the center of mass) [2]. The center of mass (COM) was calculated with the anthropometric table [3] using the motion analysis system Vicon, when the ground reaction forces and moments were recorded by 2 AMTI force platforms allowing to compute the center of pressure (COP). The root mean square (RMS) amplitudes were calculated in both anterior/posterior (AP) and medial/lateral (ML) directions, eyes open (EO) and closed (EC). The secondary outcomes were the clinical variables “Berg Balance Scale” (BBS) and “Dynamic Gait Index” (DGI) and a score determinated from 9 spatiotemporal parameters: the “Gait Variability Index” (GVI). \n\nRESULTS\nEighteen patients with type 2 diabetes were included with a mean age 63.3±8.6years, and BMI 30.3±5.1. There was no statistically difference between NS and RSS for the COP-COM variable in all conditions (AP: P=0.96 EO and P=0.68 EC; ML: P=0.75 EO and P=0.13 EC), and also for the other variables BBS, DGI and GVI (P&gt;0.05). However, the stance time was significantly reduced (P=0.01) and the swing time was significantly increased (P=0.02). \n\nDISCUSSION–CONCLUSION\nThe rocker sole shoes seem to induce postural change during gait, without significant differences in quiet standing. For future studies, more sensitive assessment must be used and the number of subjects has to be increased to confirm these results.","author":[{"dropping-particle":"","family":"Lumeau","given":"Marie","non-dropping-particle":"","parse-names":false,"suffix":""},{"dropping-particle":"","family":"Lempereur","given":"Mathieu","non-dropping-particle":"","parse-names":false,"suffix":""},{"dropping-particle":"","family":"Sonnet","given":"Emmanuel","non-dropping-particle":"","parse-names":false,"suffix":""},{"dropping-particle":"","family":"Remy Neris","given":"Olivier","non-dropping-particle":"","parse-names":false,"suffix":""}],"container-title":"Annals of Physical and Rehabilitation Medicine","id":"ITEM-1","issued":{"date-parts":[["2016","9","1"]]},"page":"e123-e124","publisher":"Elsevier Masson","title":"Assessment of the rocker sole shoes on postural stability in patients with type 2 diabetes and distal sensorimotor polyneuropathy","type":"article-journal","volume":"59"},"uris":["http://www.mendeley.com/documents/?uuid=9d2a3106-d2d8-3f11-bea0-ce9aa76a9cfa"]},{"id":"ITEM-2","itemData":{"DOI":"10.1016/J.CLINBIOMECH.2017.10.003","ISSN":"0268-0033","abstract":"BACKGROUND A forefoot-offloading shoes has a negative-heel rocker outsole and is used to treat diabetic plantar forefoot ulcers, but its mechanisms of action and their association with offloading and gait stability are not sufficiently clear. METHODS Ten neuropathic diabetic patients were tested in a forefoot-offloading shoe and subsequently in a control shoe with no specific offloading construction, both worn on the right foot (control shoe on left), while walking at 1.2m/s. 3D-instrumented gait analysis and simultaneous in-shoe plantar pressure measurements were used to explain the shoe's offloading efficacy and to define centre-of-pressure profiles and left-to-right symmetry in ankle joint dynamics (0–1, 1:maximum symmetry), as indicators for gait stability. FINDINGS Compared to the control shoe, peak forefoot pressures, vertical ground reaction force, plantar flexion angle, and ankle joint moment, all in terminal stance, and the proximal-to-distal centre-of-pressure trajectory were significantly reduced in the forefoot-offloading shoe (P&lt;0.01). Peak ankle joint power was 51% lower in the forefoot-offloading shoe compared to the control shoe: 1.61 (0.35) versus 3.30 (0.84) W/kg (mean (SD), P&lt;0.001), and was significantly associated with forefoot peak pressure (R2=0.72, P&lt;0.001). Left-to-right symmetry in the forefoot-offloading shoe was 0.39 for peak ankle joint power. INTERPRETATION By virtue to their negative-heel rocker-outsole design, forefoot-offloading shoes significantly alter a neuropathic diabetic patient's gait towards a reduced push-off power that explains the shoe's offloading efficacy. However, gait symmetry and stability are compromised, and may be factors in the low perceived walking discomfort and limited use of these shoes in clinical practice. Shoe modifications (e.g. less negative heel, a more cushioning insole) may resolve this trade-off between efficacy and usability.","author":[{"dropping-particle":"","family":"Bus","given":"Sicco A.","non-dropping-particle":"","parse-names":false,"suffix":""},{"dropping-particle":"","family":"Maas","given":"Josina C.","non-dropping-particle":"","parse-names":false,"suffix":""},{"dropping-particle":"","family":"Otterman","given":"Nicoline M.","non-dropping-particle":"","parse-names":false,"suffix":""}],"container-title":"Clinical Biomechanics","id":"ITEM-2","issued":{"date-parts":[["2017","12","1"]]},"page":"21-26","publisher":"Elsevier","title":"Lower-extremity dynamics of walking in neuropathic diabetic patients who wear a forefoot-offloading shoe","type":"article-journal","volume":"50"},"uris":["http://www.mendeley.com/documents/?uuid=82fd3805-8010-3544-8d58-f512a4847db3"]}],"mendeley":{"formattedCitation":"[19,20]","plainTextFormattedCitation":"[19,20]","previouslyFormattedCitation":"[19,20]"},"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[19,20]</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with few studies on people with diabetes</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{"citationItems":[{"id":"ITEM-1","itemData":{"DOI":"10.1177/0309364614543549","ISSN":"17461553","abstract":"Background: Rocker outsole shoes are commonly prescribed to patients with diabetic neuropathy to offload a particular area of the foot sole, thereby decreasing the risk of foot ulceration. Contrary to this, some evidence has reported a postural destabilising effect of these shoes in healthy adults. Objective: To explore the postural stability of patients with diabetic neuropathy who wear a rocker outsole shoe. Study design: Quasi-experimental. Method: In total, 17 patients with diabetic neuropathy (aged 49.29 ± 7.48 years; 7 female, 10 males) participated in this study. A Motor Control Test measuring centre of force displacement, response strength scale and response latency in medium and large perturbations was conducted using the EquiTest system to evaluate postural stability while wearing a baseline shoe (without a rocker outsole) or a rocker outsole shoe (with a toe-only rocker sole). Results: No significant difference was observed between the shoe conditions in centre of force displacement and response latency of the participants (p &gt; 0.05). The results indicated a significant increase in the response strength scale of participants by the rocker outsole, for medium forward and backward and large forward perturbations (p = 0.014, p = 0.001 and p = 0.027, respectively). Conclusion: When the immediate effect is a concern, the rocker outsole shoe did not negatively affect postural stability in patients with diabetic neuropathy. Clinical relevance This article will provide objective evidence about the effect of rocker outsole on postural balance in diabetic patients. In prescription of rocker outsole to prevent plantar ulceration of diabetic foot, immediate postural destabilising is not a concern.","author":[{"dropping-particle":"","family":"Ghomian","given":"B.","non-dropping-particle":"","parse-names":false,"suffix":""},{"dropping-particle":"","family":"Kamyab","given":"M.","non-dropping-particle":"","parse-names":false,"suffix":""},{"dropping-particle":"","family":"Jafari","given":"H.","non-dropping-particle":"","parse-names":false,"suffix":""},{"dropping-particle":"","family":"Khamseh","given":"M.","non-dropping-particle":"","parse-names":false,"suffix":""},{"dropping-particle":"","family":"Healy","given":"A.","non-dropping-particle":"","parse-names":false,"suffix":""}],"container-title":"Prosthetics and Orthotics International","id":"ITEM-1","issue":"2","issued":{"date-parts":[["2016"]]},"title":"Rocker outsole shoe is not a threat to postural stability in patients with diabetic neuropathy","type":"article-journal","volume":"40"},"uris":["http://www.mendeley.com/documents/?uuid=d1622b7b-b8a9-3c1e-9e6f-acf5d64ec38f"]},{"id":"ITEM-2","itemData":{"DOI":"10.1080/10255842.2015.1070588","author":[{"dropping-particle":"","family":"Lumeau","given":"M.","non-dropping-particle":"","parse-names":false,"suffix":""},{"dropping-particle":"","family":"Lempereur","given":"M.","non-dropping-particle":"","parse-names":false,"suffix":""},{"dropping-particle":"","family":"Remy-Neris","given":"O.","non-dropping-particle":"","parse-names":false,"suffix":""}],"container-title":"Computer Methods in Biomechanics and Biomedical Engineering","id":"ITEM-2","issued":{"date-parts":[["2015"]]},"title":"Assessment of the rocker sole shoes on postural stability in diabetic patients with distal sensory neuropathy.","type":"article-journal"},"uris":["http://www.mendeley.com/documents/?uuid=73556e5a-74cd-437d-8290-1e8cbf9d2f18"]},{"id":"ITEM-3","itemData":{"DOI":"10.1016/J.REHAB.2016.07.278","ISSN":"1877-0657","abstract":"OBJECTIVE\nDistal sensorimotor polyneuropathy (DPN) is a leading risk factor of developing ulcer, including increased pressures at the forefoot. The rocker sole shoes are prescribed to decrease pressures but could induce instability [1]. The aim of this study was to compare the postural stability between normal shoes (NS) and rocker sole shoes (RSS) in patients with type 2 diabetes and DPN. \n\nMATERIAL/PATIENTS AND METHODS\nIn this preliminary, randomized, controlled study, NS and RSS were compared during static standing and gait. The primary outcome was the biomechanical variable COP-COM (corresponding to the mean distance between the center of pressure and the center of mass) [2]. The center of mass (COM) was calculated with the anthropometric table [3] using the motion analysis system Vicon, when the ground reaction forces and moments were recorded by 2 AMTI force platforms allowing to compute the center of pressure (COP). The root mean square (RMS) amplitudes were calculated in both anterior/posterior (AP) and medial/lateral (ML) directions, eyes open (EO) and closed (EC). The secondary outcomes were the clinical variables “Berg Balance Scale” (BBS) and “Dynamic Gait Index” (DGI) and a score determinated from 9 spatiotemporal parameters: the “Gait Variability Index” (GVI). \n\nRESULTS\nEighteen patients with type 2 diabetes were included with a mean age 63.3±8.6years, and BMI 30.3±5.1. There was no statistically difference between NS and RSS for the COP-COM variable in all conditions (AP: P=0.96 EO and P=0.68 EC; ML: P=0.75 EO and P=0.13 EC), and also for the other variables BBS, DGI and GVI (P&gt;0.05). However, the stance time was significantly reduced (P=0.01) and the swing time was significantly increased (P=0.02). \n\nDISCUSSION–CONCLUSION\nThe rocker sole shoes seem to induce postural change during gait, without significant differences in quiet standing. For future studies, more sensitive assessment must be used and the number of subjects has to be increased to confirm these results.","author":[{"dropping-particle":"","family":"Lumeau","given":"Marie","non-dropping-particle":"","parse-names":false,"suffix":""},{"dropping-particle":"","family":"Lempereur","given":"Mathieu","non-dropping-particle":"","parse-names":false,"suffix":""},{"dropping-particle":"","family":"Sonnet","given":"Emmanuel","non-dropping-particle":"","parse-names":false,"suffix":""},{"dropping-particle":"","family":"Remy Neris","given":"Olivier","non-dropping-particle":"","parse-names":false,"suffix":""}],"container-title":"Annals of Physical and Rehabilitation Medicine","id":"ITEM-3","issued":{"date-parts":[["2016","9","1"]]},"page":"e123-e124","publisher":"Elsevier Masson","title":"Assessment of the rocker sole shoes on postural stability in patients with type 2 diabetes and distal sensorimotor polyneuropathy","type":"article-journal","volume":"59"},"uris":["http://www.mendeley.com/documents/?uuid=9d2a3106-d2d8-3f11-bea0-ce9aa76a9cfa"]},{"id":"ITEM-4","itemData":{"DOI":"10.1016/J.CLINBIOMECH.2017.10.003","ISSN":"0268-0033","abstract":"BACKGROUND A forefoot-offloading shoes has a negative-heel rocker outsole and is used to treat diabetic plantar forefoot ulcers, but its mechanisms of action and their association with offloading and gait stability are not sufficiently clear. METHODS Ten neuropathic diabetic patients were tested in a forefoot-offloading shoe and subsequently in a control shoe with no specific offloading construction, both worn on the right foot (control shoe on left), while walking at 1.2m/s. 3D-instrumented gait analysis and simultaneous in-shoe plantar pressure measurements were used to explain the shoe's offloading efficacy and to define centre-of-pressure profiles and left-to-right symmetry in ankle joint dynamics (0–1, 1:maximum symmetry), as indicators for gait stability. FINDINGS Compared to the control shoe, peak forefoot pressures, vertical ground reaction force, plantar flexion angle, and ankle joint moment, all in terminal stance, and the proximal-to-distal centre-of-pressure trajectory were significantly reduced in the forefoot-offloading shoe (P&lt;0.01). Peak ankle joint power was 51% lower in the forefoot-offloading shoe compared to the control shoe: 1.61 (0.35) versus 3.30 (0.84) W/kg (mean (SD), P&lt;0.001), and was significantly associated with forefoot peak pressure (R2=0.72, P&lt;0.001). Left-to-right symmetry in the forefoot-offloading shoe was 0.39 for peak ankle joint power. INTERPRETATION By virtue to their negative-heel rocker-outsole design, forefoot-offloading shoes significantly alter a neuropathic diabetic patient's gait towards a reduced push-off power that explains the shoe's offloading efficacy. However, gait symmetry and stability are compromised, and may be factors in the low perceived walking discomfort and limited use of these shoes in clinical practice. Shoe modifications (e.g. less negative heel, a more cushioning insole) may resolve this trade-off between efficacy and usability.","author":[{"dropping-particle":"","family":"Bus","given":"Sicco A.","non-dropping-particle":"","parse-names":false,"suffix":""},{"dropping-particle":"","family":"Maas","given":"Josina C.","non-dropping-particle":"","parse-names":false,"suffix":""},{"dropping-particle":"","family":"Otterman","given":"Nicoline M.","non-dropping-particle":"","parse-names":false,"suffix":""}],"container-title":"Clinical Biomechanics","id":"ITEM-4","issued":{"date-parts":[["2017","12","1"]]},"page":"21-26","publisher":"Elsevier","title":"Lower-extremity dynamics of walking in neuropathic diabetic patients who wear a forefoot-offloading shoe","type":"article-journal","volume":"50"},"uris":["http://www.mendeley.com/documents/?uuid=82fd3805-8010-3544-8d58-f512a4847db3"]}],"mendeley":{"formattedCitation":"[17–20]","plainTextFormattedCitation":"[17–20]","previouslyFormattedCitation":"[17–20]"},"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[17–20]</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Gait stability in diabetics wearing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was measured in two studies using dynamic gait index, gait variability index, and left-to-right ankle power asymmetry</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{"citationItems":[{"id":"ITEM-1","itemData":{"DOI":"10.1016/J.REHAB.2016.07.278","ISSN":"1877-0657","abstract":"OBJECTIVE\nDistal sensorimotor polyneuropathy (DPN) is a leading risk factor of developing ulcer, including increased pressures at the forefoot. The rocker sole shoes are prescribed to decrease pressures but could induce instability [1]. The aim of this study was to compare the postural stability between normal shoes (NS) and rocker sole shoes (RSS) in patients with type 2 diabetes and DPN. \n\nMATERIAL/PATIENTS AND METHODS\nIn this preliminary, randomized, controlled study, NS and RSS were compared during static standing and gait. The primary outcome was the biomechanical variable COP-COM (corresponding to the mean distance between the center of pressure and the center of mass) [2]. The center of mass (COM) was calculated with the anthropometric table [3] using the motion analysis system Vicon, when the ground reaction forces and moments were recorded by 2 AMTI force platforms allowing to compute the center of pressure (COP). The root mean square (RMS) amplitudes were calculated in both anterior/posterior (AP) and medial/lateral (ML) directions, eyes open (EO) and closed (EC). The secondary outcomes were the clinical variables “Berg Balance Scale” (BBS) and “Dynamic Gait Index” (DGI) and a score determinated from 9 spatiotemporal parameters: the “Gait Variability Index” (GVI). \n\nRESULTS\nEighteen patients with type 2 diabetes were included with a mean age 63.3±8.6years, and BMI 30.3±5.1. There was no statistically difference between NS and RSS for the COP-COM variable in all conditions (AP: P=0.96 EO and P=0.68 EC; ML: P=0.75 EO and P=0.13 EC), and also for the other variables BBS, DGI and GVI (P&gt;0.05). However, the stance time was significantly reduced (P=0.01) and the swing time was significantly increased (P=0.02). \n\nDISCUSSION–CONCLUSION\nThe rocker sole shoes seem to induce postural change during gait, without significant differences in quiet standing. For future studies, more sensitive assessment must be used and the number of subjects has to be increased to confirm these results.","author":[{"dropping-particle":"","family":"Lumeau","given":"Marie","non-dropping-particle":"","parse-names":false,"suffix":""},{"dropping-particle":"","family":"Lempereur","given":"Mathieu","non-dropping-particle":"","parse-names":false,"suffix":""},{"dropping-particle":"","family":"Sonnet","given":"Emmanuel","non-dropping-particle":"","parse-names":false,"suffix":""},{"dropping-particle":"","family":"Remy Neris","given":"Olivier","non-dropping-particle":"","parse-names":false,"suffix":""}],"container-title":"Annals of Physical and Rehabilitation Medicine","id":"ITEM-1","issued":{"date-parts":[["2016","9","1"]]},"page":"e123-e124","publisher":"Elsevier Masson","title":"Assessment of the rocker sole shoes on postural stability in patients with type 2 diabetes and distal sensorimotor polyneuropathy","type":"article-journal","volume":"59"},"uris":["http://www.mendeley.com/documents/?uuid=9d2a3106-d2d8-3f11-bea0-ce9aa76a9cfa"]},{"id":"ITEM-2","itemData":{"DOI":"10.1016/J.CLINBIOMECH.2017.10.003","ISSN":"0268-0033","abstract":"BACKGROUND A forefoot-offloading shoes has a negative-heel rocker outsole and is used to treat diabetic plantar forefoot ulcers, but its mechanisms of action and their association with offloading and gait stability are not sufficiently clear. METHODS Ten neuropathic diabetic patients were tested in a forefoot-offloading shoe and subsequently in a control shoe with no specific offloading construction, both worn on the right foot (control shoe on left), while walking at 1.2m/s. 3D-instrumented gait analysis and simultaneous in-shoe plantar pressure measurements were used to explain the shoe's offloading efficacy and to define centre-of-pressure profiles and left-to-right symmetry in ankle joint dynamics (0–1, 1:maximum symmetry), as indicators for gait stability. FINDINGS Compared to the control shoe, peak forefoot pressures, vertical ground reaction force, plantar flexion angle, and ankle joint moment, all in terminal stance, and the proximal-to-distal centre-of-pressure trajectory were significantly reduced in the forefoot-offloading shoe (P&lt;0.01). Peak ankle joint power was 51% lower in the forefoot-offloading shoe compared to the control shoe: 1.61 (0.35) versus 3.30 (0.84) W/kg (mean (SD), P&lt;0.001), and was significantly associated with forefoot peak pressure (R2=0.72, P&lt;0.001). Left-to-right symmetry in the forefoot-offloading shoe was 0.39 for peak ankle joint power. INTERPRETATION By virtue to their negative-heel rocker-outsole design, forefoot-offloading shoes significantly alter a neuropathic diabetic patient's gait towards a reduced push-off power that explains the shoe's offloading efficacy. However, gait symmetry and stability are compromised, and may be factors in the low perceived walking discomfort and limited use of these shoes in clinical practice. Shoe modifications (e.g. less negative heel, a more cushioning insole) may resolve this trade-off between efficacy and usability.","author":[{"dropping-particle":"","family":"Bus","given":"Sicco A.","non-dropping-particle":"","parse-names":false,"suffix":""},{"dropping-particle":"","family":"Maas","given":"Josina C.","non-dropping-particle":"","parse-names":false,"suffix":""},{"dropping-particle":"","family":"Otterman","given":"Nicoline M.","non-dropping-particle":"","parse-names":false,"suffix":""}],"container-title":"Clinical Biomechanics","id":"ITEM-2","issued":{"date-parts":[["2017","12","1"]]},"page":"21-26","publisher":"Elsevier","title":"Lower-extremity dynamics of walking in neuropathic diabetic patients who wear a forefoot-offloading shoe","type":"article-journal","volume":"50"},"uris":["http://www.mendeley.com/documents/?uuid=82fd3805-8010-3544-8d58-f512a4847db3"]}],"mendeley":{"formattedCitation":"[19,20]","plainTextFormattedCitation":"[19,20]","previouslyFormattedCitation":"[19,20]"},"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[19,20]</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Yet, no study has directly inspected gait stability of diabetics with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Quantifying the instantaneous interaction between body</w:t>
      </w:r>
      <w:r>
        <w:rPr>
          <w:rFonts w:asciiTheme="majorBidi" w:hAnsiTheme="majorBidi" w:cstheme="majorBidi"/>
          <w:sz w:val="24"/>
          <w:szCs w:val="24"/>
          <w:lang w:bidi="fa-IR"/>
        </w:rPr>
        <w:t xml:space="preserve"> </w:t>
      </w:r>
      <w:r w:rsidR="00950DCD">
        <w:rPr>
          <w:rFonts w:asciiTheme="majorBidi" w:hAnsiTheme="majorBidi" w:cstheme="majorBidi"/>
          <w:sz w:val="24"/>
          <w:szCs w:val="24"/>
          <w:lang w:bidi="fa-IR"/>
        </w:rPr>
        <w:t xml:space="preserve">centre </w:t>
      </w:r>
      <w:r w:rsidR="00950DCD">
        <w:rPr>
          <w:rFonts w:asciiTheme="majorBidi" w:hAnsiTheme="majorBidi" w:cstheme="majorBidi"/>
          <w:sz w:val="24"/>
          <w:szCs w:val="24"/>
          <w:lang w:bidi="fa-IR"/>
        </w:rPr>
        <w:lastRenderedPageBreak/>
        <w:t>of mass (</w:t>
      </w:r>
      <w:r w:rsidR="002B4E00">
        <w:rPr>
          <w:rFonts w:asciiTheme="majorBidi" w:hAnsiTheme="majorBidi" w:cstheme="majorBidi"/>
          <w:sz w:val="24"/>
          <w:szCs w:val="24"/>
          <w:lang w:bidi="fa-IR"/>
        </w:rPr>
        <w:t>Co</w:t>
      </w:r>
      <w:r>
        <w:rPr>
          <w:rFonts w:asciiTheme="majorBidi" w:hAnsiTheme="majorBidi" w:cstheme="majorBidi"/>
          <w:sz w:val="24"/>
          <w:szCs w:val="24"/>
          <w:lang w:bidi="fa-IR"/>
        </w:rPr>
        <w:t>M</w:t>
      </w:r>
      <w:r w:rsidR="00950DCD">
        <w:rPr>
          <w:rFonts w:asciiTheme="majorBidi" w:hAnsiTheme="majorBidi" w:cstheme="majorBidi"/>
          <w:sz w:val="24"/>
          <w:szCs w:val="24"/>
          <w:lang w:bidi="fa-IR"/>
        </w:rPr>
        <w:t>)</w:t>
      </w:r>
      <w:r w:rsidRPr="001763D9">
        <w:rPr>
          <w:rFonts w:asciiTheme="majorBidi" w:hAnsiTheme="majorBidi" w:cstheme="majorBidi"/>
          <w:sz w:val="24"/>
          <w:szCs w:val="24"/>
          <w:lang w:bidi="fa-IR"/>
        </w:rPr>
        <w:t xml:space="preserve"> movement and dynamic</w:t>
      </w:r>
      <w:r>
        <w:rPr>
          <w:rFonts w:asciiTheme="majorBidi" w:hAnsiTheme="majorBidi" w:cstheme="majorBidi"/>
          <w:sz w:val="24"/>
          <w:szCs w:val="24"/>
          <w:lang w:bidi="fa-IR"/>
        </w:rPr>
        <w:t xml:space="preserve"> </w:t>
      </w:r>
      <w:r w:rsidR="00950DCD">
        <w:rPr>
          <w:rFonts w:asciiTheme="majorBidi" w:hAnsiTheme="majorBidi" w:cstheme="majorBidi"/>
          <w:sz w:val="24"/>
          <w:szCs w:val="24"/>
          <w:lang w:bidi="fa-IR"/>
        </w:rPr>
        <w:t>base of support (</w:t>
      </w:r>
      <w:r w:rsidR="002B4E00">
        <w:rPr>
          <w:rFonts w:asciiTheme="majorBidi" w:hAnsiTheme="majorBidi" w:cstheme="majorBidi"/>
          <w:sz w:val="24"/>
          <w:szCs w:val="24"/>
          <w:lang w:bidi="fa-IR"/>
        </w:rPr>
        <w:t>Bo</w:t>
      </w:r>
      <w:r>
        <w:rPr>
          <w:rFonts w:asciiTheme="majorBidi" w:hAnsiTheme="majorBidi" w:cstheme="majorBidi"/>
          <w:sz w:val="24"/>
          <w:szCs w:val="24"/>
          <w:lang w:bidi="fa-IR"/>
        </w:rPr>
        <w:t>S</w:t>
      </w:r>
      <w:r w:rsidR="00950DCD">
        <w:rPr>
          <w:rFonts w:asciiTheme="majorBidi" w:hAnsiTheme="majorBidi" w:cstheme="majorBidi"/>
          <w:sz w:val="24"/>
          <w:szCs w:val="24"/>
          <w:lang w:bidi="fa-IR"/>
        </w:rPr>
        <w:t>)</w:t>
      </w:r>
      <w:r w:rsidRPr="001763D9">
        <w:rPr>
          <w:rFonts w:asciiTheme="majorBidi" w:hAnsiTheme="majorBidi" w:cstheme="majorBidi"/>
          <w:sz w:val="24"/>
          <w:szCs w:val="24"/>
          <w:lang w:bidi="fa-IR"/>
        </w:rPr>
        <w:t xml:space="preserve"> during walking by adopting the</w:t>
      </w:r>
      <w:r>
        <w:rPr>
          <w:rFonts w:asciiTheme="majorBidi" w:hAnsiTheme="majorBidi" w:cstheme="majorBidi"/>
          <w:sz w:val="24"/>
          <w:szCs w:val="24"/>
          <w:lang w:bidi="fa-IR"/>
        </w:rPr>
        <w:t xml:space="preserve"> </w:t>
      </w:r>
      <w:r w:rsidR="004F4EE9">
        <w:rPr>
          <w:rFonts w:asciiTheme="majorBidi" w:hAnsiTheme="majorBidi" w:cstheme="majorBidi"/>
          <w:sz w:val="24"/>
          <w:szCs w:val="24"/>
          <w:lang w:bidi="fa-IR"/>
        </w:rPr>
        <w:t>margin</w:t>
      </w:r>
      <w:r w:rsidR="000614F1">
        <w:rPr>
          <w:rFonts w:asciiTheme="majorBidi" w:hAnsiTheme="majorBidi" w:cstheme="majorBidi"/>
          <w:sz w:val="24"/>
          <w:szCs w:val="24"/>
          <w:lang w:bidi="fa-IR"/>
        </w:rPr>
        <w:t xml:space="preserve"> of stability (Mo</w:t>
      </w:r>
      <w:r w:rsidR="00950DCD">
        <w:rPr>
          <w:rFonts w:asciiTheme="majorBidi" w:hAnsiTheme="majorBidi" w:cstheme="majorBidi"/>
          <w:sz w:val="24"/>
          <w:szCs w:val="24"/>
          <w:lang w:bidi="fa-IR"/>
        </w:rPr>
        <w:t>S)</w:t>
      </w:r>
      <w:r w:rsidRPr="001763D9">
        <w:rPr>
          <w:rFonts w:asciiTheme="majorBidi" w:hAnsiTheme="majorBidi" w:cstheme="majorBidi"/>
          <w:sz w:val="24"/>
          <w:szCs w:val="24"/>
          <w:lang w:bidi="fa-IR"/>
        </w:rPr>
        <w:t xml:space="preserve"> method, has been proved to be a valid measure of </w:t>
      </w:r>
      <w:r w:rsidRPr="001763D9">
        <w:rPr>
          <w:rFonts w:asciiTheme="majorBidi" w:hAnsiTheme="majorBidi" w:cstheme="majorBidi"/>
          <w:sz w:val="24"/>
          <w:szCs w:val="24"/>
        </w:rPr>
        <w:t>gait stability</w:t>
      </w:r>
      <w:r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{"citationItems":[{"id":"ITEM-1","itemData":{"DOI":"10.1016/j.humov.2007.08.003","ISSN":"0167-9457","PMID":"17935808","abstract":"Next to position x and velocity v of the whole body center of mass (CoM) the 'extrapolated center of mass' (XcoM) can be introduced: xi = chi + nu/omega 0, where omega 0 is a constant related to stature. Based on the inverted pendulum model of balance, the XcoM enables to formulate the requirements for stable walking in a relatively simple form. In a very simple walking model, with the effects of foot roll-over neglected, the trajectory of the XcoM is a succession of straight lines, directed in the line from center of pressure (CoP) to the XcoM at the time of foot contact. The CoM follows the XcoM in a more sinusoidal trajectory. A simple rule is sufficient for stable walking: at foot placement the CoP should be placed at a certain distance behind and outward of the XcoM at the time of foot contact. In practice this means that a disturbance which results in a CoM velocity change Deltav can be compensated by a change in foot position (CoP) equal to Deltav/omega 0 in the same direction. Similar simple rules could be formulated for starting and stopping and for making a turn.","author":[{"dropping-particle":"","family":"Hof","given":"At L","non-dropping-particle":"","parse-names":false,"suffix":""}],"container-title":"Human movement science","id":"ITEM-1","issue":"1","issued":{"date-parts":[["2008","2"]]},"page":"112-25","title":"The 'extrapolated center of mass' concept suggests a simple control of balance in walking.","type":"article-journal","volume":"27"},"uris":["http://www.mendeley.com/documents/?uuid=7b9a1fe9-46fc-496e-9670-8be645bc9de8"]}],"mendeley":{"formattedCitation":"[21]","plainTextFormattedCitation":"[21]","previouslyFormattedCitation":"[21]"},"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[21]</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w:t>
      </w:r>
    </w:p>
    <w:p w14:paraId="176FEA40" w14:textId="64AEAAC9" w:rsidR="00A17EDA" w:rsidRPr="001763D9" w:rsidRDefault="00A17EDA" w:rsidP="006B1F4B">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Previous studies have shown that diabetics walk with shorter and wider steps, and slower speed compared to healthy individuals</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{"citationItems":[{"id":"ITEM-1","itemData":{"DOI":"10.1155/2016/9305025","ISSN":"2314-6133","abstract":"Purpose . The aim of this paper is to review the published studies on the characteristics of impairments in the postural control and gait performance in diabetic peripheral neuropathy (DPN). Methods . A review was performed by obtaining publication of all papers reporting on the postural control and gait performance in DPN from Google Scholar, Ovid, SAGE, Springerlink, Science Direct (SD), EBSCO Discovery Service, and Web of Science databases. The keywords used for searching were “postural control,” “balance,” “gait performance,” “diabetes mellitus,” and “diabetic peripheral neuropathy.” Results . Total of 4,337 studies were hit in the search. 1,524 studies were screened on their titles and citations. Then, 79 studies were screened on their abstract. Only 38 studies were eligible to be selected: 17 studies on postural control and 21 studies on the gait performance. Most previous researches were found to have strong evidence of postural control impairments and noticeable gait deficits in DPN. Deterioration of somatosensory, visual, and vestibular systems with the pathologic condition of diabetes on cognitive impairment causes further instability of postural and gait performance in DPN. Conclusions . Postural instability and gait imbalance in DPN may contribute to high risk of fall incidence, especially in the geriatric population. Thus, further works are crucial to highlight this fact in the hospital based and community adults.","author":[{"dropping-particle":"","family":"Mustapa","given":"Amirah","non-dropping-particle":"","parse-names":false,"suffix":""},{"dropping-particle":"","family":"Justine","given":"Maria","non-dropping-particle":"","parse-names":false,"suffix":""},{"dropping-particle":"","family":"Mohd Mustafah","given":"Nadia","non-dropping-particle":"","parse-names":false,"suffix":""},{"dropping-particle":"","family":"Jamil","given":"Nursuriati","non-dropping-particle":"","parse-names":false,"suffix":""},{"dropping-particle":"","family":"Manaf","given":"Haidzir","non-dropping-particle":"","parse-names":false,"suffix":""}],"container-title":"BioMed Research International","id":"ITEM-1","issued":{"date-parts":[["2016"]]},"page":"1-14","title":"Postural Control and Gait Performance in the Diabetic Peripheral Neuropathy: A Systematic Review","type":"article-journal","volume":"2016"},"uris":["http://www.mendeley.com/documents/?uuid=f55ed939-754c-38f9-a55d-3be57a5b9d9a"]},{"id":"ITEM-2","itemData":{"DOI":"10.1007/s13300-017-0295-y","ISSN":"1869-6953","author":[{"dropping-particle":"","family":"Alam","given":"Uazman","non-dropping-particle":"","parse-names":false,"suffix":""},{"dropping-particle":"","family":"Riley","given":"David R.","non-dropping-particle":"","parse-names":false,"suffix":""},{"dropping-particle":"","family":"Jugdey","given":"Ravinder S.","non-dropping-particle":"","parse-names":false,"suffix":""},{"dropping-particle":"","family":"Azmi","given":"Shazli","non-dropping-particle":"","parse-names":false,"suffix":""},{"dropping-particle":"","family":"Rajbhandari","given":"Satyan","non-dropping-particle":"","parse-names":false,"suffix":""},{"dropping-particle":"","family":"D’Août","given":"Kristiaan","non-dropping-particle":"","parse-names":false,"suffix":""},{"dropping-particle":"","family":"Malik","given":"Rayaz A.","non-dropping-particle":"","parse-names":false,"suffix":""}],"container-title":"Diabetes Therapy","id":"ITEM-2","issued":{"date-parts":[["2017","9","1"]]},"page":"1-12","publisher":"Springer Healthcare","title":"Diabetic Neuropathy and Gait: A Review","type":"article-journal"},"uris":["http://www.mendeley.com/documents/?uuid=b4401410-9890-3307-bf2a-6d5f6dba1e9e"]}],"mendeley":{"formattedCitation":"[22,23]","plainTextFormattedCitation":"[22,23]","previouslyFormattedCitation":"[22,23]"},"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[22,23]</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Additionally, control of balance is impaired in diabetics with or without neuropathy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{"citationItems":[{"id":"ITEM-1","itemData":{"DOI":"10.1155/2016/9305025","ISSN":"2314-6133","abstract":"Purpose . The aim of this paper is to review the published studies on the characteristics of impairments in the postural control and gait performance in diabetic peripheral neuropathy (DPN). Methods . A review was performed by obtaining publication of all papers reporting on the postural control and gait performance in DPN from Google Scholar, Ovid, SAGE, Springerlink, Science Direct (SD), EBSCO Discovery Service, and Web of Science databases. The keywords used for searching were “postural control,” “balance,” “gait performance,” “diabetes mellitus,” and “diabetic peripheral neuropathy.” Results . Total of 4,337 studies were hit in the search. 1,524 studies were screened on their titles and citations. Then, 79 studies were screened on their abstract. Only 38 studies were eligible to be selected: 17 studies on postural control and 21 studies on the gait performance. Most previous researches were found to have strong evidence of postural control impairments and noticeable gait deficits in DPN. Deterioration of somatosensory, visual, and vestibular systems with the pathologic condition of diabetes on cognitive impairment causes further instability of postural and gait performance in DPN. Conclusions . Postural instability and gait imbalance in DPN may contribute to high risk of fall incidence, especially in the geriatric population. Thus, further works are crucial to highlight this fact in the hospital based and community adults.","author":[{"dropping-particle":"","family":"Mustapa","given":"Amirah","non-dropping-particle":"","parse-names":false,"suffix":""},{"dropping-particle":"","family":"Justine","given":"Maria","non-dropping-particle":"","parse-names":false,"suffix":""},{"dropping-particle":"","family":"Mohd Mustafah","given":"Nadia","non-dropping-particle":"","parse-names":false,"suffix":""},{"dropping-particle":"","family":"Jamil","given":"Nursuriati","non-dropping-particle":"","parse-names":false,"suffix":""},{"dropping-particle":"","family":"Manaf","given":"Haidzir","non-dropping-particle":"","parse-names":false,"suffix":""}],"container-title":"BioMed Research International","id":"ITEM-1","issued":{"date-parts":[["2016"]]},"page":"1-14","title":"Postural Control and Gait Performance in the Diabetic Peripheral Neuropathy: A Systematic Review","type":"article-journal","volume":"2016"},"uris":["http://www.mendeley.com/documents/?uuid=f55ed939-754c-38f9-a55d-3be57a5b9d9a"]},{"id":"ITEM-2","itemData":{"DOI":"10.1016/j.jcjd.2015.08.005","ISBN":"1499-2671","ISSN":"23523840","PMID":"26778679","abstract":"Older adults with type 2 diabetes have significantly higher incidence of falls than those without type 2 diabetes. The devastating consequences of falls include declines in mobility, activity avoidance, institutionalization and mortality. One of the most commonly identified risk factors associated with falls is impaired balance. Balance impairments and subsequent increased fall risk in older adults with type 2 diabetes are most commonly associated with diabetic peripheral neuropathy (DPN). Consequently, DPN has been the central focus of falls prevention research and interventions for older adults with type 2 diabetes. However, isolated studies have identified adults with type 2 diabetes without overt complications of DPN to also be at increased fall risk. It is known that the ability to maintain balance is a complex skill that requires the integration of multiple sensorimotor and cognitive processes. Emerging evidence suggests that diabetes-related subtle declines in sensory functions (somatosensory, visual and vestibular), metabolic muscle function and executive functions may also contribute to increased fall risk in older adults with type 2 diabetes. Knowledge of these type 2 diabetes-related sensorimotor and cognitive deficits may help to broaden approaches to falls prevention in older adults with type 2 diabetes. Therefore, the purpose of this mini review is to describe the impact of type 2 diabetes on sensorimotor and cognitive systems that may contribute to increased fall risk in older adults with type 2 diabetes.","author":[{"dropping-particle":"","family":"Hewston","given":"Patricia","non-dropping-particle":"","parse-names":false,"suffix":""},{"dropping-particle":"","family":"Deshpande","given":"Nandini","non-dropping-particle":"","parse-names":false,"suffix":""}],"container-title":"Canadian Journal of Diabetes","id":"ITEM-2","issue":"1","issued":{"date-parts":[["2016"]]},"page":"6-9","title":"Falls and Balance Impairments in Older Adults with Type 2 Diabetes: Thinking Beyond Diabetic Peripheral Neuropathy","type":"article-journal","volume":"40"},"uris":["http://www.mendeley.com/documents/?uuid=4ba4ef45-9532-311f-b2bf-0a4555aacf33"]},{"id":"ITEM-3","itemData":{"DOI":"10.1007/s13300-017-0295-y","ISSN":"1869-6953","author":[{"dropping-particle":"","family":"Alam","given":"Uazman","non-dropping-particle":"","parse-names":false,"suffix":""},{"dropping-particle":"","family":"Riley","given":"David R.","non-dropping-particle":"","parse-names":false,"suffix":""},{"dropping-particle":"","family":"Jugdey","given":"Ravinder S.","non-dropping-particle":"","parse-names":false,"suffix":""},{"dropping-particle":"","family":"Azmi","given":"Shazli","non-dropping-particle":"","parse-names":false,"suffix":""},{"dropping-particle":"","family":"Rajbhandari","given":"Satyan","non-dropping-particle":"","parse-names":false,"suffix":""},{"dropping-particle":"","family":"D’Août","given":"Kristiaan","non-dropping-particle":"","parse-names":false,"suffix":""},{"dropping-particle":"","family":"Malik","given":"Rayaz A.","non-dropping-particle":"","parse-names":false,"suffix":""}],"container-title":"Diabetes Therapy","id":"ITEM-3","issued":{"date-parts":[["2017","9","1"]]},"page":"1-12","publisher":"Springer Healthcare","title":"Diabetic Neuropathy and Gait: A Review","type":"article-journal"},"uris":["http://www.mendeley.com/documents/?uuid=b4401410-9890-3307-bf2a-6d5f6dba1e9e"]}],"mendeley":{"formattedCitation":"[22–24]","plainTextFormattedCitation":"[22–24]","previouslyFormattedCitation":"[22–24]"},"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[22–24]</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which is associated to their inherent fear of fall</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{"citationItems":[{"id":"ITEM-1","itemData":{"ISSN":"1930-8264","PMID":"24297984","abstract":"BACKGROUND: Patients with diabetic peripheral neuropathy (DPN) demonstrate gait alterations compared with their nonneuropathic counterparts, which may place them at increased risk for falling. However, it is uncertain whether patients with DPN also have a greater fear of falling. METHODS: A voluntary group of older adults with diabetes was asked to complete a validated fear of falling questionnaire (Falls Efficacy Scale International [FES-I]) and instructed to walk 20 m in their habitual shoes at their habitual speed. Spatiotemporal parameters of gait (eg, stride velocity and gait speed variability) were collected using a validated body-worn sensor technology. Balance during walking was also assessed using sacral motion in the mediolateral and anteroposterior directions. The level of DPN was quantified using vibration perception threshold from the great toe. RESULTS: Thirty-four diabetic patients (mean ± SD: age, 67.6 ± 9.2 years; body mass index, 30.9 ± 5.7; hemoglobin A1c, 7.9% ± 2.3%) with varying levels of neuropathy (mean ± SD vibration perception threshold, 34.6 ± 22.9 V) were recruited. Most participants (28 of 34, 82%) demonstrated moderate to high concern about falling based on their FES-I score. Age (r = 0.6), hemoglobin A1c level (r = 0.39), number of steps required to reach steady-state walking (ie, gait initiation) (r = 0.4), and duration of double support (r = 0.44) were each positively correlated with neuropathy severity (P &lt; .05). Participants with a greater fear of falling also walked with slower stride velocities and shorter stride lengths (r = -0.3 for both, P &lt; .05). However, no correlation was observed between level of DPN and the participant's actual concern about falling. CONCLUSIONS: Fear of falling is prevalent in older adults with diabetes mellitus but is unrelated to level of neuropathy.","author":[{"dropping-particle":"","family":"Kelly","given":"Carolyn","non-dropping-particle":"","parse-names":false,"suffix":""},{"dropping-particle":"","family":"Fleischer","given":"Adam","non-dropping-particle":"","parse-names":false,"suffix":""},{"dropping-particle":"","family":"Yalla","given":"Sai","non-dropping-particle":"","parse-names":false,"suffix":""},{"dropping-particle":"","family":"Grewal","given":"Gurtej S","non-dropping-particle":"","parse-names":false,"suffix":""},{"dropping-particle":"","family":"Albright","given":"Rachel","non-dropping-particle":"","parse-names":false,"suffix":""},{"dropping-particle":"","family":"Berns","given":"Dana","non-dropping-particle":"","parse-names":false,"suffix":""},{"dropping-particle":"","family":"Crews","given":"Ryan","non-dropping-particle":"","parse-names":false,"suffix":""},{"dropping-particle":"","family":"Najafi","given":"Bijan","non-dropping-particle":"","parse-names":false,"suffix":""}],"container-title":"Journal of the American Podiatric Medical Association","id":"ITEM-1","issue":"6","issued":{"date-parts":[["2013"]]},"page":"480-8","title":"Fear of falling is prevalent in older adults with diabetes mellitus but is unrelated to level of neuropathy.","type":"article-journal","volume":"103"},"uris":["http://www.mendeley.com/documents/?uuid=00c5058c-3daa-44eb-9dcf-7419777a7886"]}],"mendeley":{"formattedCitation":"[25]","plainTextFormattedCitation":"[25]","previouslyFormattedCitation":"[25]"},"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[25]</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might impose more challenges to </w:t>
      </w:r>
      <w:r w:rsidRPr="001763D9">
        <w:rPr>
          <w:rFonts w:asciiTheme="majorBidi" w:hAnsiTheme="majorBidi" w:cstheme="majorBidi"/>
          <w:sz w:val="24"/>
          <w:szCs w:val="24"/>
        </w:rPr>
        <w:t>gait stability</w:t>
      </w:r>
      <w:r w:rsidRPr="001763D9">
        <w:rPr>
          <w:rFonts w:asciiTheme="majorBidi" w:hAnsiTheme="majorBidi" w:cstheme="majorBidi"/>
          <w:sz w:val="24"/>
          <w:szCs w:val="24"/>
          <w:lang w:bidi="fa-IR"/>
        </w:rPr>
        <w:t xml:space="preserve"> of diabetics whose postural control is substantially impaired. As most falls occur during walking, investigating the effect of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on stability in  walking seems essential</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{"citationItems":[{"id":"ITEM-1","itemData":{"DOI":"10.2337/dc14-1982","ISSN":"1935-5548","PMID":"25765355","abstract":"OBJECTIVE: Patients with diabetes with peripheral neuropathy have a well-recognized increased risk of falls that may result in hospitalization. Therefore this study aimed to assess balance during the dynamic daily activities of walking on level ground and stair negotiation, where falls are most likely to occur.\n\nRESEARCH DESIGN AND METHODS: Gait analysis during level walking and stair negotiation was performed in 22 patients with diabetic neuropathy (DPN), 39 patients with diabetes without neuropathy (D), and 28 nondiabetic control subjects (C) using a motion analysis system and embedded force plates in a staircase and level walkway. Balance was assessed by measuring the separation between the body center of mass and center of pressure during level walking, stair ascent, and stair descent.\n\nRESULTS: DPN patients demonstrated greater (P &lt; 0.05) maximum and range of separations of their center of mass from their center of pressure in the medial-lateral plane during stair descent, stair ascent, and level walking compared with the C group, as well as increased (P &lt; 0.05) mean separation during level walking and stair ascent. The same group also demonstrated greater (P &lt; 0.05) maximum anterior separations (toward the staircase) during stair ascent. No differences were observed in D patients.\n\nCONCLUSIONS: Greater separations of the center of mass from the center of pressure present a greater challenge to balance. Therefore, the higher medial-lateral separations found in patients with DPN will require greater muscular demands to control upright posture. This may contribute to explaining why patients with DPN are more likely to fall, with the higher separations placing them at a higher risk of experiencing a sideways fall than nondiabetic control subjects.","author":[{"dropping-particle":"","family":"Brown","given":"Steven J","non-dropping-particle":"","parse-names":false,"suffix":""},{"dropping-particle":"","family":"Handsaker","given":"Joseph C","non-dropping-particle":"","parse-names":false,"suffix":""},{"dropping-particle":"","family":"Bowling","given":"Frank L","non-dropping-particle":"","parse-names":false,"suffix":""},{"dropping-particle":"","family":"Boulton","given":"Andrew J M","non-dropping-particle":"","parse-names":false,"suffix":""},{"dropping-particle":"","family":"Reeves","given":"Neil D","non-dropping-particle":"","parse-names":false,"suffix":""}],"container-title":"Diabetes care","id":"ITEM-1","issue":"6","issued":{"date-parts":[["2015","6"]]},"page":"1116-22","title":"Diabetic peripheral neuropathy compromises balance during daily activities.","type":"article-journal","volume":"38"},"uris":["http://www.mendeley.com/documents/?uuid=b52eaf9e-04e5-4396-8000-6b0dadb8dbee"]}],"mendeley":{"formattedCitation":"[26]","plainTextFormattedCitation":"[26]","previouslyFormattedCitation":"[26]"},"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[26]</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However, adaptive walking strategies of people with diabetes </w:t>
      </w:r>
      <w:r w:rsidRPr="001763D9">
        <w:rPr>
          <w:rFonts w:asciiTheme="majorBidi" w:hAnsiTheme="majorBidi" w:cstheme="majorBidi"/>
          <w:sz w:val="24"/>
          <w:szCs w:val="24"/>
        </w:rPr>
        <w:t xml:space="preserve">might be substantially enough to cover the potential </w:t>
      </w:r>
      <w:r w:rsidR="006B1F4B" w:rsidRPr="001763D9">
        <w:rPr>
          <w:rFonts w:asciiTheme="majorBidi" w:hAnsiTheme="majorBidi" w:cstheme="majorBidi"/>
          <w:sz w:val="24"/>
          <w:szCs w:val="24"/>
        </w:rPr>
        <w:t>destabili</w:t>
      </w:r>
      <w:r w:rsidR="006B1F4B">
        <w:rPr>
          <w:rFonts w:asciiTheme="majorBidi" w:hAnsiTheme="majorBidi" w:cstheme="majorBidi"/>
          <w:sz w:val="24"/>
          <w:szCs w:val="24"/>
        </w:rPr>
        <w:t>s</w:t>
      </w:r>
      <w:r w:rsidR="006B1F4B" w:rsidRPr="001763D9">
        <w:rPr>
          <w:rFonts w:asciiTheme="majorBidi" w:hAnsiTheme="majorBidi" w:cstheme="majorBidi"/>
          <w:sz w:val="24"/>
          <w:szCs w:val="24"/>
        </w:rPr>
        <w:t xml:space="preserve">ing </w:t>
      </w:r>
      <w:r w:rsidRPr="001763D9">
        <w:rPr>
          <w:rFonts w:asciiTheme="majorBidi" w:hAnsiTheme="majorBidi" w:cstheme="majorBidi"/>
          <w:sz w:val="24"/>
          <w:szCs w:val="24"/>
        </w:rPr>
        <w:t>effects of the RRSs</w:t>
      </w:r>
      <w:r w:rsidRPr="001763D9">
        <w:rPr>
          <w:rFonts w:asciiTheme="majorBidi" w:hAnsiTheme="majorBidi" w:cstheme="majorBidi"/>
          <w:sz w:val="24"/>
          <w:szCs w:val="24"/>
          <w:lang w:bidi="fa-IR"/>
        </w:rPr>
        <w:t xml:space="preserve">. Therefore, measuring dynamic stability during walking while wearing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and its difference to barefoot in diabetics, along with healthy individuals could be informative in understanding the mechanisms of controlling stability in this population.</w:t>
      </w:r>
    </w:p>
    <w:p w14:paraId="3B7A4E4D" w14:textId="63A6DA85" w:rsidR="00A17EDA" w:rsidRPr="001763D9" w:rsidRDefault="00A17EDA"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 xml:space="preserve">The present study thus aimed to investigate gait stability of diabetics with and without neuropathy, </w:t>
      </w:r>
      <w:r w:rsidR="002B4E00">
        <w:rPr>
          <w:rFonts w:asciiTheme="majorBidi" w:hAnsiTheme="majorBidi" w:cstheme="majorBidi"/>
          <w:sz w:val="24"/>
          <w:szCs w:val="24"/>
        </w:rPr>
        <w:t>and healthy individuals using Mo</w:t>
      </w:r>
      <w:r w:rsidRPr="001763D9">
        <w:rPr>
          <w:rFonts w:asciiTheme="majorBidi" w:hAnsiTheme="majorBidi" w:cstheme="majorBidi"/>
          <w:sz w:val="24"/>
          <w:szCs w:val="24"/>
        </w:rPr>
        <w:t xml:space="preserve">S in four experimental conditions including </w:t>
      </w:r>
      <w:r w:rsidRPr="001763D9">
        <w:rPr>
          <w:rFonts w:asciiTheme="majorBidi" w:hAnsiTheme="majorBidi" w:cstheme="majorBidi"/>
          <w:sz w:val="24"/>
          <w:szCs w:val="24"/>
          <w:lang w:bidi="fa-IR"/>
        </w:rPr>
        <w:t>barefoot</w:t>
      </w:r>
      <w:r w:rsidRPr="001763D9">
        <w:rPr>
          <w:rFonts w:asciiTheme="majorBidi" w:hAnsiTheme="majorBidi" w:cstheme="majorBidi"/>
          <w:sz w:val="24"/>
          <w:szCs w:val="24"/>
        </w:rPr>
        <w:t xml:space="preserve"> and three designs of</w:t>
      </w:r>
      <w:r w:rsidRPr="001763D9" w:rsidDel="00254BA0">
        <w:rPr>
          <w:rFonts w:asciiTheme="majorBidi" w:hAnsiTheme="majorBidi" w:cstheme="majorBidi"/>
          <w:sz w:val="24"/>
          <w:szCs w:val="24"/>
        </w:rPr>
        <w:t xml:space="preserve"> </w:t>
      </w:r>
      <w:r w:rsidRPr="001763D9">
        <w:rPr>
          <w:rFonts w:asciiTheme="majorBidi" w:hAnsiTheme="majorBidi" w:cstheme="majorBidi"/>
          <w:sz w:val="24"/>
          <w:szCs w:val="24"/>
        </w:rPr>
        <w:t>RRSs. More specifically, this study investigat</w:t>
      </w:r>
      <w:r w:rsidR="002B4E00">
        <w:rPr>
          <w:rFonts w:asciiTheme="majorBidi" w:hAnsiTheme="majorBidi" w:cstheme="majorBidi"/>
          <w:sz w:val="24"/>
          <w:szCs w:val="24"/>
        </w:rPr>
        <w:t>ed if mean and variability of Mo</w:t>
      </w:r>
      <w:r w:rsidRPr="001763D9">
        <w:rPr>
          <w:rFonts w:asciiTheme="majorBidi" w:hAnsiTheme="majorBidi" w:cstheme="majorBidi"/>
          <w:sz w:val="24"/>
          <w:szCs w:val="24"/>
        </w:rPr>
        <w:t>S in sagittal and frontal planes of movement are altered by the experimental conditions or groups, and whether fear of fall has any relationship with these stability measures. Mean and variability of step length and step width, gait speed and cadence were additionally measured to understand possible gait adaptations.</w:t>
      </w:r>
    </w:p>
    <w:p w14:paraId="5E1AAA86" w14:textId="315130C2" w:rsidR="00A17EDA" w:rsidRPr="001763D9" w:rsidRDefault="00F8693D" w:rsidP="00626B98">
      <w:pPr>
        <w:tabs>
          <w:tab w:val="left" w:pos="1402"/>
        </w:tabs>
        <w:spacing w:line="480" w:lineRule="auto"/>
        <w:rPr>
          <w:rFonts w:asciiTheme="majorBidi" w:hAnsiTheme="majorBidi" w:cstheme="majorBidi"/>
          <w:b/>
          <w:bCs/>
          <w:sz w:val="24"/>
          <w:szCs w:val="24"/>
        </w:rPr>
      </w:pPr>
      <w:r>
        <w:rPr>
          <w:rFonts w:asciiTheme="majorBidi" w:hAnsiTheme="majorBidi" w:cstheme="majorBidi"/>
          <w:b/>
          <w:bCs/>
          <w:sz w:val="24"/>
          <w:szCs w:val="24"/>
        </w:rPr>
        <w:t>2. M</w:t>
      </w:r>
      <w:r w:rsidR="00A17EDA" w:rsidRPr="001763D9">
        <w:rPr>
          <w:rFonts w:asciiTheme="majorBidi" w:hAnsiTheme="majorBidi" w:cstheme="majorBidi"/>
          <w:b/>
          <w:bCs/>
          <w:sz w:val="24"/>
          <w:szCs w:val="24"/>
        </w:rPr>
        <w:t>ethods</w:t>
      </w:r>
      <w:r w:rsidR="00A17EDA" w:rsidRPr="001763D9">
        <w:rPr>
          <w:rFonts w:asciiTheme="majorBidi" w:hAnsiTheme="majorBidi" w:cstheme="majorBidi"/>
          <w:b/>
          <w:bCs/>
          <w:sz w:val="24"/>
          <w:szCs w:val="24"/>
        </w:rPr>
        <w:tab/>
      </w:r>
    </w:p>
    <w:p w14:paraId="400CCC9E" w14:textId="77777777" w:rsidR="00A17EDA" w:rsidRPr="00DC7CDE" w:rsidRDefault="00A17EDA" w:rsidP="00DC7CDE">
      <w:pPr>
        <w:spacing w:line="480" w:lineRule="auto"/>
        <w:rPr>
          <w:rFonts w:asciiTheme="majorBidi" w:hAnsiTheme="majorBidi" w:cstheme="majorBidi"/>
          <w:i/>
          <w:iCs/>
          <w:sz w:val="24"/>
          <w:szCs w:val="24"/>
        </w:rPr>
      </w:pPr>
      <w:r w:rsidRPr="001763D9">
        <w:rPr>
          <w:rFonts w:asciiTheme="majorBidi" w:hAnsiTheme="majorBidi" w:cstheme="majorBidi"/>
          <w:i/>
          <w:iCs/>
          <w:sz w:val="24"/>
          <w:szCs w:val="24"/>
        </w:rPr>
        <w:t>2.1. Participants</w:t>
      </w:r>
    </w:p>
    <w:p w14:paraId="46129F7E" w14:textId="77777777" w:rsidR="00A17EDA" w:rsidRPr="001763D9" w:rsidRDefault="00A17EDA" w:rsidP="00200B3C">
      <w:pPr>
        <w:spacing w:line="480" w:lineRule="auto"/>
        <w:rPr>
          <w:rFonts w:asciiTheme="majorBidi" w:hAnsiTheme="majorBidi" w:cstheme="majorBidi"/>
          <w:sz w:val="24"/>
          <w:szCs w:val="24"/>
        </w:rPr>
      </w:pPr>
      <w:r w:rsidRPr="001763D9">
        <w:rPr>
          <w:rFonts w:asciiTheme="majorBidi" w:hAnsiTheme="majorBidi" w:cstheme="majorBidi"/>
          <w:sz w:val="24"/>
          <w:szCs w:val="24"/>
        </w:rPr>
        <w:lastRenderedPageBreak/>
        <w:t>Ethical approval was obtained from ethical review committee of the local university. A convenient sample of fourteen (78% females)</w:t>
      </w:r>
      <w:r>
        <w:rPr>
          <w:rFonts w:asciiTheme="majorBidi" w:hAnsiTheme="majorBidi" w:cstheme="majorBidi"/>
          <w:sz w:val="24"/>
          <w:szCs w:val="24"/>
        </w:rPr>
        <w:t xml:space="preserve"> </w:t>
      </w:r>
      <w:r w:rsidR="009F668C">
        <w:rPr>
          <w:rFonts w:asciiTheme="majorBidi" w:hAnsiTheme="majorBidi" w:cstheme="majorBidi"/>
          <w:sz w:val="24"/>
          <w:szCs w:val="24"/>
        </w:rPr>
        <w:t>diabetic patients without neuropathy (</w:t>
      </w:r>
      <w:r>
        <w:rPr>
          <w:rFonts w:asciiTheme="majorBidi" w:hAnsiTheme="majorBidi" w:cstheme="majorBidi"/>
          <w:sz w:val="24"/>
          <w:szCs w:val="24"/>
        </w:rPr>
        <w:t>Non-NDPs</w:t>
      </w:r>
      <w:r w:rsidR="009F668C">
        <w:rPr>
          <w:rFonts w:asciiTheme="majorBidi" w:hAnsiTheme="majorBidi" w:cstheme="majorBidi"/>
          <w:sz w:val="24"/>
          <w:szCs w:val="24"/>
        </w:rPr>
        <w:t>)</w:t>
      </w:r>
      <w:r w:rsidRPr="001763D9">
        <w:rPr>
          <w:rFonts w:asciiTheme="majorBidi" w:hAnsiTheme="majorBidi" w:cstheme="majorBidi"/>
          <w:sz w:val="24"/>
          <w:szCs w:val="24"/>
        </w:rPr>
        <w:t xml:space="preserve"> and nine (44% females)</w:t>
      </w:r>
      <w:r>
        <w:rPr>
          <w:rFonts w:asciiTheme="majorBidi" w:hAnsiTheme="majorBidi" w:cstheme="majorBidi"/>
          <w:sz w:val="24"/>
          <w:szCs w:val="24"/>
        </w:rPr>
        <w:t xml:space="preserve"> </w:t>
      </w:r>
      <w:r w:rsidR="009F668C">
        <w:rPr>
          <w:rFonts w:asciiTheme="majorBidi" w:hAnsiTheme="majorBidi" w:cstheme="majorBidi"/>
          <w:sz w:val="24"/>
          <w:szCs w:val="24"/>
        </w:rPr>
        <w:t>diabetic patients with neuropathy (</w:t>
      </w:r>
      <w:r>
        <w:rPr>
          <w:rFonts w:asciiTheme="majorBidi" w:hAnsiTheme="majorBidi" w:cstheme="majorBidi"/>
          <w:sz w:val="24"/>
          <w:szCs w:val="24"/>
        </w:rPr>
        <w:t>NDPs</w:t>
      </w:r>
      <w:r w:rsidR="009F668C">
        <w:rPr>
          <w:rFonts w:asciiTheme="majorBidi" w:hAnsiTheme="majorBidi" w:cstheme="majorBidi"/>
          <w:sz w:val="24"/>
          <w:szCs w:val="24"/>
        </w:rPr>
        <w:t>)</w:t>
      </w:r>
      <w:r w:rsidRPr="001763D9">
        <w:rPr>
          <w:rFonts w:asciiTheme="majorBidi" w:hAnsiTheme="majorBidi" w:cstheme="majorBidi"/>
          <w:sz w:val="24"/>
          <w:szCs w:val="24"/>
        </w:rPr>
        <w:t xml:space="preserve"> were recruited. Eleven healthy young-adults (63% females) were further experimented to provide a basis for comparisons. All participants voluntarily signed the written informed consent. Participant characteristics are presented in </w:t>
      </w:r>
      <w:r w:rsidR="00200B3C">
        <w:rPr>
          <w:rFonts w:asciiTheme="majorBidi" w:hAnsiTheme="majorBidi" w:cstheme="majorBidi"/>
          <w:sz w:val="24"/>
          <w:szCs w:val="24"/>
          <w:highlight w:val="yellow"/>
        </w:rPr>
        <w:fldChar w:fldCharType="begin"/>
      </w:r>
      <w:r w:rsidR="00200B3C">
        <w:rPr>
          <w:rFonts w:asciiTheme="majorBidi" w:hAnsiTheme="majorBidi" w:cstheme="majorBidi"/>
          <w:sz w:val="24"/>
          <w:szCs w:val="24"/>
        </w:rPr>
        <w:instrText xml:space="preserve"> REF _Ref798448 \h </w:instrText>
      </w:r>
      <w:r w:rsidR="00200B3C">
        <w:rPr>
          <w:rFonts w:asciiTheme="majorBidi" w:hAnsiTheme="majorBidi" w:cstheme="majorBidi"/>
          <w:sz w:val="24"/>
          <w:szCs w:val="24"/>
          <w:highlight w:val="yellow"/>
        </w:rPr>
      </w:r>
      <w:r w:rsidR="00200B3C">
        <w:rPr>
          <w:rFonts w:asciiTheme="majorBidi" w:hAnsiTheme="majorBidi" w:cstheme="majorBidi"/>
          <w:sz w:val="24"/>
          <w:szCs w:val="24"/>
          <w:highlight w:val="yellow"/>
        </w:rPr>
        <w:fldChar w:fldCharType="separate"/>
      </w:r>
      <w:r w:rsidR="00200B3C" w:rsidRPr="001763D9">
        <w:rPr>
          <w:rFonts w:asciiTheme="majorBidi" w:hAnsiTheme="majorBidi" w:cstheme="majorBidi"/>
          <w:b/>
          <w:bCs/>
          <w:i/>
          <w:iCs/>
        </w:rPr>
        <w:t xml:space="preserve">Table </w:t>
      </w:r>
      <w:r w:rsidR="00200B3C">
        <w:rPr>
          <w:rFonts w:asciiTheme="majorBidi" w:hAnsiTheme="majorBidi" w:cstheme="majorBidi"/>
          <w:b/>
          <w:bCs/>
          <w:i/>
          <w:iCs/>
          <w:noProof/>
        </w:rPr>
        <w:t>1</w:t>
      </w:r>
      <w:r w:rsidR="00200B3C">
        <w:rPr>
          <w:rFonts w:asciiTheme="majorBidi" w:hAnsiTheme="majorBidi" w:cstheme="majorBidi"/>
          <w:sz w:val="24"/>
          <w:szCs w:val="24"/>
          <w:highlight w:val="yellow"/>
        </w:rPr>
        <w:fldChar w:fldCharType="end"/>
      </w:r>
      <w:r w:rsidR="00200B3C">
        <w:rPr>
          <w:rFonts w:asciiTheme="majorBidi" w:hAnsiTheme="majorBidi" w:cstheme="majorBidi"/>
          <w:sz w:val="24"/>
          <w:szCs w:val="24"/>
        </w:rPr>
        <w:t>.</w:t>
      </w:r>
    </w:p>
    <w:p w14:paraId="537D734C" w14:textId="77777777" w:rsidR="00A17EDA" w:rsidRPr="001763D9" w:rsidRDefault="00A17EDA" w:rsidP="0011514A">
      <w:pPr>
        <w:spacing w:line="480" w:lineRule="auto"/>
        <w:rPr>
          <w:rFonts w:asciiTheme="majorBidi" w:hAnsiTheme="majorBidi" w:cstheme="majorBidi"/>
          <w:sz w:val="24"/>
          <w:szCs w:val="24"/>
        </w:rPr>
      </w:pPr>
      <w:r w:rsidRPr="001763D9">
        <w:rPr>
          <w:rFonts w:asciiTheme="majorBidi" w:hAnsiTheme="majorBidi" w:cstheme="majorBidi"/>
          <w:sz w:val="24"/>
          <w:szCs w:val="24"/>
        </w:rPr>
        <w:t>Inclusion criteria were medically diagnosed type I or II diabetes with a maximum value of 10 for HbA1c (indicator of the average level of blood sugar over the past 3 months), aged between 35 and 65 years, and 5-years history of the disease. Exclu</w:t>
      </w:r>
      <w:r>
        <w:rPr>
          <w:rFonts w:asciiTheme="majorBidi" w:hAnsiTheme="majorBidi" w:cstheme="majorBidi"/>
          <w:sz w:val="24"/>
          <w:szCs w:val="24"/>
        </w:rPr>
        <w:t xml:space="preserve">sion criteria were a </w:t>
      </w:r>
      <w:r w:rsidR="00865C31">
        <w:rPr>
          <w:rFonts w:asciiTheme="majorBidi" w:hAnsiTheme="majorBidi" w:cstheme="majorBidi"/>
          <w:sz w:val="24"/>
          <w:szCs w:val="24"/>
        </w:rPr>
        <w:t>body mass index (</w:t>
      </w:r>
      <w:r>
        <w:rPr>
          <w:rFonts w:asciiTheme="majorBidi" w:hAnsiTheme="majorBidi" w:cstheme="majorBidi"/>
          <w:sz w:val="24"/>
          <w:szCs w:val="24"/>
        </w:rPr>
        <w:t>BMI</w:t>
      </w:r>
      <w:r w:rsidR="00865C31">
        <w:rPr>
          <w:rFonts w:asciiTheme="majorBidi" w:hAnsiTheme="majorBidi" w:cstheme="majorBidi"/>
          <w:sz w:val="24"/>
          <w:szCs w:val="24"/>
        </w:rPr>
        <w:t>)</w:t>
      </w:r>
      <w:r>
        <w:rPr>
          <w:rFonts w:asciiTheme="majorBidi" w:hAnsiTheme="majorBidi" w:cstheme="majorBidi"/>
          <w:sz w:val="24"/>
          <w:szCs w:val="24"/>
        </w:rPr>
        <w:t xml:space="preserve"> of</w:t>
      </w:r>
      <w:r w:rsidRPr="00C87648">
        <w:rPr>
          <w:rFonts w:asciiTheme="majorBidi" w:hAnsiTheme="majorBidi" w:cstheme="majorBidi"/>
          <w:sz w:val="24"/>
          <w:szCs w:val="24"/>
        </w:rPr>
        <w:t xml:space="preserve"> </w:t>
      </w:r>
      <w:r w:rsidRPr="001763D9">
        <w:rPr>
          <w:rFonts w:asciiTheme="majorBidi" w:hAnsiTheme="majorBidi" w:cstheme="majorBidi"/>
          <w:sz w:val="24"/>
          <w:szCs w:val="24"/>
        </w:rPr>
        <w:t>higher than 35 Kg/m</w:t>
      </w:r>
      <w:r w:rsidRPr="001763D9">
        <w:rPr>
          <w:rFonts w:asciiTheme="majorBidi" w:hAnsiTheme="majorBidi" w:cstheme="majorBidi"/>
          <w:sz w:val="24"/>
          <w:szCs w:val="24"/>
          <w:vertAlign w:val="superscript"/>
        </w:rPr>
        <w:t>2</w:t>
      </w:r>
      <w:r w:rsidRPr="001763D9">
        <w:rPr>
          <w:rFonts w:asciiTheme="majorBidi" w:hAnsiTheme="majorBidi" w:cstheme="majorBidi"/>
          <w:sz w:val="24"/>
          <w:szCs w:val="24"/>
        </w:rPr>
        <w:t>,</w:t>
      </w:r>
      <w:r>
        <w:rPr>
          <w:rFonts w:asciiTheme="majorBidi" w:hAnsiTheme="majorBidi" w:cstheme="majorBidi"/>
          <w:sz w:val="24"/>
          <w:szCs w:val="24"/>
        </w:rPr>
        <w:t xml:space="preserve"> </w:t>
      </w:r>
      <w:r w:rsidRPr="001763D9">
        <w:rPr>
          <w:rFonts w:asciiTheme="majorBidi" w:hAnsiTheme="majorBidi" w:cstheme="majorBidi"/>
          <w:sz w:val="24"/>
          <w:szCs w:val="24"/>
        </w:rPr>
        <w:t>gross foot deformity, a history of foot ulceration/amputation,</w:t>
      </w:r>
      <w:r>
        <w:rPr>
          <w:rFonts w:asciiTheme="majorBidi" w:hAnsiTheme="majorBidi" w:cstheme="majorBidi"/>
          <w:sz w:val="24"/>
          <w:szCs w:val="24"/>
        </w:rPr>
        <w:t xml:space="preserve"> </w:t>
      </w:r>
      <w:r w:rsidRPr="001763D9">
        <w:rPr>
          <w:rFonts w:asciiTheme="majorBidi" w:hAnsiTheme="majorBidi" w:cstheme="majorBidi"/>
          <w:sz w:val="24"/>
          <w:szCs w:val="24"/>
        </w:rPr>
        <w:t>a</w:t>
      </w:r>
      <w:r>
        <w:rPr>
          <w:rFonts w:asciiTheme="majorBidi" w:hAnsiTheme="majorBidi" w:cstheme="majorBidi"/>
          <w:sz w:val="24"/>
          <w:szCs w:val="24"/>
        </w:rPr>
        <w:t xml:space="preserve">ny </w:t>
      </w:r>
      <w:r w:rsidRPr="001763D9">
        <w:rPr>
          <w:rFonts w:asciiTheme="majorBidi" w:hAnsiTheme="majorBidi" w:cstheme="majorBidi"/>
          <w:sz w:val="24"/>
          <w:szCs w:val="24"/>
        </w:rPr>
        <w:t xml:space="preserve">musculoskeletal/neuromuscular disease, and back or lower limb surgery. Diabetic </w:t>
      </w:r>
      <w:r w:rsidRPr="001763D9">
        <w:rPr>
          <w:rFonts w:asciiTheme="majorBidi" w:hAnsiTheme="majorBidi" w:cstheme="majorBidi"/>
          <w:sz w:val="24"/>
          <w:szCs w:val="24"/>
          <w:lang w:bidi="fa-IR"/>
        </w:rPr>
        <w:t xml:space="preserve">peripheral neuropathy was assessed by </w:t>
      </w:r>
      <w:r w:rsidR="00865C31">
        <w:rPr>
          <w:rFonts w:asciiTheme="majorBidi" w:hAnsiTheme="majorBidi" w:cstheme="majorBidi"/>
          <w:sz w:val="24"/>
          <w:szCs w:val="24"/>
          <w:lang w:bidi="fa-IR"/>
        </w:rPr>
        <w:t>Michigan Neuropathy Screening Instrument (</w:t>
      </w:r>
      <w:r w:rsidRPr="001763D9">
        <w:rPr>
          <w:rFonts w:asciiTheme="majorBidi" w:hAnsiTheme="majorBidi" w:cstheme="majorBidi"/>
          <w:sz w:val="24"/>
          <w:szCs w:val="24"/>
          <w:lang w:bidi="fa-IR"/>
        </w:rPr>
        <w:t>MNSI</w:t>
      </w:r>
      <w:r w:rsidR="0011514A">
        <w:rPr>
          <w:rFonts w:asciiTheme="majorBidi" w:hAnsiTheme="majorBidi" w:cstheme="majorBidi"/>
          <w:sz w:val="24"/>
          <w:szCs w:val="24"/>
          <w:lang w:bidi="fa-IR"/>
        </w:rPr>
        <w:t>)</w:t>
      </w:r>
      <w:r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{"citationItems":[{"id":"ITEM-1","itemData":{"DOI":"10.1016/J.CLINEURO.2005.08.003","ISSN":"0303-8467","abstract":"OBJECTIVE The reliability and accuracy of the Michigan neuropathy screening instrument (MNSI) have been discussed recently. As a result of the difficulties of performing and analyzing nerve biopsy as a standard diagnostic test, electromyography and neuronography is used as the best alternative diagnostic procedure. The objective of this study was to determine the diagnostic performance of the test characteristics and cut-off point of MNSI scoring for the diagnosis of diabetic peripheral neuropathy. METHOD Over a 2-year period, a cross-sectional study was conducted on 176 type 2 diabetic patients. An internist carried out the MNSI and the sum of scores varying from 0 to 1 for each abnormality as revealed in foot appearance, ulceration, ankle reflexes and vibratory perception has been recorded. A neurologist, who was blind to the MNSI scores, performed all neurophysiological studies. The test performance characteristics of the MNSI procedure were measured for different cut-off values. RESULTS MNSI scores of 1.5, 2.0, 2.5 and 3.0 were assessed as cut-off values. Sensitivities were 79%, 65%, 50% and 35% and specificities were 65%, 83%, 91% and 94%, respectively. Positive predictive values increased and negative predictive values decreased for each score. Accuracies, likelihood ratios and post-test probabilities were measured. CONCLUSION The accuracy of MNSI scoring makes it a useful screening test for diabetic neuropathy in taking a decision regarding which patients should be referred to a neurologist for electrophysiological studies. High specificity, likelihood ratios over 5 and a moderate to good post-test probability give a high diagnostic impact for MNSI scoring. We suggest a cut-off point of 2 for the MNSI procedure. However, electrophysiological studies should be considered when the patient has signs and symptoms other than those rated by the MNSI, suggesting peripheral nerve involvement, and also because the MNSI is still just a screening test.","author":[{"dropping-particle":"","family":"Moghtaderi","given":"Ali","non-dropping-particle":"","parse-names":false,"suffix":""},{"dropping-particle":"","family":"Bakhshipour","given":"Alireza","non-dropping-particle":"","parse-names":false,"suffix":""},{"dropping-particle":"","family":"Rashidi","given":"Homayra","non-dropping-particle":"","parse-names":false,"suffix":""}],"container-title":"Clinical Neurology and Neurosurgery","id":"ITEM-1","issue":"5","issued":{"date-parts":[["2006","7","1"]]},"page":"477-481","publisher":"Elsevier","title":"Validation of Michigan neuropathy screening instrument for diabetic peripheral neuropathy","type":"article-journal","volume":"108"},"uris":["http://www.mendeley.com/documents/?uuid=76c7d10f-cbaf-3ff9-ad27-8adce9e1bd01"]}],"mendeley":{"formattedCitation":"[27]","plainTextFormattedCitation":"[27]","previouslyFormattedCitation":"[27]"},"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[27]</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along with </w:t>
      </w:r>
      <w:r w:rsidR="0011514A">
        <w:rPr>
          <w:rFonts w:asciiTheme="majorBidi" w:hAnsiTheme="majorBidi" w:cstheme="majorBidi"/>
          <w:sz w:val="24"/>
          <w:szCs w:val="24"/>
          <w:lang w:bidi="fa-IR"/>
        </w:rPr>
        <w:t>nerve conduction velocity (NCV)</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{"citationItems":[{"id":"ITEM-1","itemData":{"DOI":"10.2337/dc10-1303","ISSN":"1935-5548","PMID":"20876709","abstract":"Preceding the joint meeting of the 19th annual Diabetic Neuropathy Study Group of the European Association for the Study of Diabetes (NEURODIAB) and the 8th International Symposium on Diabetic Neuropathy in Toronto, Canada, 13-18 October 2009, expert panels were convened to provide updates on classification, definitions, diagnostic criteria, and treatments of diabetic peripheral neuropathies (DPNs), autonomic neuropathy, painful DPNs, and structural alterations in DPNs.","author":[{"dropping-particle":"","family":"Tesfaye","given":"Solomon","non-dropping-particle":"","parse-names":false,"suffix":""},{"dropping-particle":"","family":"Boulton","given":"Andrew J M","non-dropping-particle":"","parse-names":false,"suffix":""},{"dropping-particle":"","family":"Dyck","given":"Peter J","non-dropping-particle":"","parse-names":false,"suffix":""},{"dropping-particle":"","family":"Freeman","given":"Roy","non-dropping-particle":"","parse-names":false,"suffix":""},{"dropping-particle":"","family":"Horowitz","given":"Michael","non-dropping-particle":"","parse-names":false,"suffix":""},{"dropping-particle":"","family":"Kempler","given":"Peter","non-dropping-particle":"","parse-names":false,"suffix":""},{"dropping-particle":"","family":"Lauria","given":"Giuseppe","non-dropping-particle":"","parse-names":false,"suffix":""},{"dropping-particle":"","family":"Malik","given":"Rayaz A","non-dropping-particle":"","parse-names":false,"suffix":""},{"dropping-particle":"","family":"Spallone","given":"Vincenza","non-dropping-particle":"","parse-names":false,"suffix":""},{"dropping-particle":"","family":"Vinik","given":"Aaron","non-dropping-particle":"","parse-names":false,"suffix":""},{"dropping-particle":"","family":"Bernardi","given":"Luciano","non-dropping-particle":"","parse-names":false,"suffix":""},{"dropping-particle":"","family":"Valensi","given":"Paul","non-dropping-particle":"","parse-names":false,"suffix":""},{"dropping-particle":"","family":"Toronto Diabetic Neuropathy Expert Group","given":"on behalf of the Toronto Diabetic Neuropathy Expert","non-dropping-particle":"","parse-names":false,"suffix":""}],"container-title":"Diabetes care","id":"ITEM-1","issue":"10","issued":{"date-parts":[["2010","10","1"]]},"page":"2285-93","publisher":"American Diabetes Association","title":"Diabetic neuropathies: update on definitions, diagnostic criteria, estimation of severity, and treatments.","type":"article-journal","volume":"33"},"uris":["http://www.mendeley.com/documents/?uuid=d65fb315-eeaa-3b07-8117-94c5ffaa1fb0"]}],"mendeley":{"formattedCitation":"[28]","plainTextFormattedCitation":"[28]","previouslyFormattedCitation":"[28]"},"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[28]</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rPr>
        <w:t>Fasting blood glucose of less than 100 mg/dl</w:t>
      </w:r>
      <w:r w:rsidRPr="001763D9">
        <w:rPr>
          <w:rFonts w:asciiTheme="majorBidi" w:hAnsiTheme="majorBidi" w:cstheme="majorBidi"/>
          <w:sz w:val="24"/>
          <w:szCs w:val="24"/>
          <w:lang w:bidi="fa-IR"/>
        </w:rPr>
        <w:t xml:space="preserve"> was confirmed in healthy participants. The intact peripheral sensation of healthy participants was confirmed using a 10 g monofilament on six locations of each foot, receiving at least five verbal positive responses</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{"citationItems":[{"id":"ITEM-1","itemData":{"DOI":"10.1016/j.jvs.2009.05.017","ISSN":"07415214","abstract":"&lt;h3&gt;Objective&lt;/h3&gt;&lt;p&gt;The purpose of this systematic review is to evaluate current evidence in the literature on the efficacy of Semmes Weinstein monofilament examination (SWME) in diagnosing diabetic peripheral neuropathy (DPN).&lt;/p&gt;&lt;h3&gt;Methods&lt;/h3&gt;&lt;p&gt;The PubMed database was searched through August 2008 for articles pertaining to DPN and SWME with no language or publication date restrictions. Studies with original data comparing the diagnostic value of SWME with that of one or more other modalities for DPN in patients with diabetes mellitus were analyzed. Data were extracted by two independent investigators. Diagnostic values were calculated after classifying data by reference test, SWME methodology, and diagnostic threshold.&lt;/p&gt;&lt;h3&gt;Results&lt;/h3&gt;&lt;p&gt;Of the 764 studies identified, 30 articles were selected, involving 8365 patients. There was great variation in both the reference test and the methodology of SWME. However, current literature suggests that nerve conduction study (NCS) is the gold standard for diagnosing DPN. Four studies were identified which directly compared SWME with NCS and encompassed 1065 patients with, and 52 patients without diabetes mellitus. SWME had a sensitivity ranging from 57% (95% confidence interval [CI], 44% to 68%) to 93% (95% CI, 77% to 99%), specificity ranging from 75% (95% CI, 64% to 84%) to 100% (95% CI, 63% to 100%), positive predictive value (PPV) ranging from 84% (95% CI, 74% to 90%) to 100% (95% CI, 87% to 100%), and negative predictive value (NPV) ranging from 36% (95% CI, 29% to 43%) to 94% (95% CI, 91% to 96%).&lt;/p&gt;&lt;h3&gt;Conclusions&lt;/h3&gt;&lt;p&gt;There is great variation in the current literature regarding the diagnostic value of SWME as a result of different methodologies. To maximize the diagnostic value of SWME, a three site test involving the plantar aspects of the great toe, the third metatarsal, and the fifth metatarsals should be used. Screening is vital in identifying DPN early, enabling earlier intervention and management to reduce the risk of ulceration and lower extremity amputation.&lt;/p&gt;","author":[{"dropping-particle":"","family":"Feng","given":"Yuzhe","non-dropping-particle":"","parse-names":false,"suffix":""},{"dropping-particle":"","family":"Schlösser","given":"Felix J.","non-dropping-particle":"","parse-names":false,"suffix":""},{"dropping-particle":"","family":"Sumpio","given":"Bauer E.","non-dropping-particle":"","parse-names":false,"suffix":""}],"container-title":"Journal of Vascular Surgery","id":"ITEM-1","issue":"3","issued":{"date-parts":[["2009","9","1"]]},"page":"675-682.e1","publisher":"Elsevier","title":"The Semmes Weinstein monofilament examination as a screening tool for diabetic peripheral neuropathy","type":"article-journal","volume":"50"},"uris":["http://www.mendeley.com/documents/?uuid=8bf449a0-fa83-3545-a2cf-2f296cc8a1ad"]}],"mendeley":{"formattedCitation":"[29]","plainTextFormattedCitation":"[29]","previouslyFormattedCitation":"[29]"},"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[29]</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w:t>
      </w:r>
    </w:p>
    <w:p w14:paraId="0EBD123D" w14:textId="77777777" w:rsidR="00A17EDA" w:rsidRPr="001763D9" w:rsidRDefault="00A17EDA"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t>2.2. Footwear</w:t>
      </w:r>
    </w:p>
    <w:p w14:paraId="067169A8" w14:textId="77777777"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A set of converse-style canvas shoes of various sizes from 36 to 44 was used. Canvas shoes allow precisely placement of reflective markers over bony prominences of interest, have a straight last with a firmed counter and a smoothly rounded toe box providing a sufficient toe space, and a stiff rubber sole with a nearly flat configuration. A 3-mm soft-foam layer was additionally inserted in shoes.</w:t>
      </w:r>
    </w:p>
    <w:p w14:paraId="47EF0E0C" w14:textId="77777777" w:rsidR="00A17EDA" w:rsidRPr="001763D9" w:rsidRDefault="00A17EDA" w:rsidP="001A6439">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lastRenderedPageBreak/>
        <w:t xml:space="preserve">Toe-only rocker outsoles were made of micro-cellular rubber with measured standard hardness of 53 based on the shore A durometer scale. Three designs of the rocker outsole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{"citationItems":[{"id":"ITEM-1","itemData":{"DOI":"10.1016/j.clinbiomech.2013.05.005","ISSN":"1879-1271","PMID":"23731579","abstract":"BACKGROUND: There is no consensus on the precise rocker shoe outsole design that will optimally reduce plantar pressure in people with diabetes. This study aimed to understand how peak plantar pressure is influenced by systematically varying three design features which characterise a curved rocker shoe: apex angle, apex position and rocker angle. METHODS: A total of 12 different rocker shoe designs, spanning a range of each of the three design features, were tested in 24 people with diabetes and 24 healthy participants. Each subject also wore a flexible control shoe. Peak plantar pressure, in four anatomical regions, was recorded for each of the 13 shoes during walking at a controlled speed. FINDINGS: There were a number of significant main effects for each of the three design features, however, the precise effect of each feature varied between the different regions. The results demonstrated maximum pressure reduction in the 2nd-4th metatarsal regions (39%) but that lower rocker angles (&lt;20°) and anterior apex positions (&gt;60% shoe length) should be avoided for this region. The effect of apex angle was most pronounced in the 1st metatarsophalangeal region with a clear decrease in pressure as the apex angle was increased to 100°. INTERPRETATION: We suggest that an outsole design with a 95° apex angle, apex position at 60% of shoe length and 20° rocker angle may achieve an optimal balance for offloading different regions of the forefoot. However, future studies incorporating additional design feature combinations, on high risk patients, are required to make definitive recommendations.","author":[{"dropping-particle":"","family":"Chapman","given":"J D","non-dropping-particle":"","parse-names":false,"suffix":""},{"dropping-particle":"","family":"Preece","given":"S","non-dropping-particle":"","parse-names":false,"suffix":""},{"dropping-particle":"","family":"Braunstein","given":"B","non-dropping-particle":"","parse-names":false,"suffix":""},{"dropping-particle":"","family":"Höhne","given":"A","non-dropping-particle":"","parse-names":false,"suffix":""},{"dropping-particle":"","family":"Nester","given":"C J","non-dropping-particle":"","parse-names":false,"suffix":""},{"dropping-particle":"","family":"Brueggemann","given":"P","non-dropping-particle":"","parse-names":false,"suffix":""},{"dropping-particle":"","family":"Hutchins","given":"S","non-dropping-particle":"","parse-names":false,"suffix":""}],"container-title":"Clinical biomechanics (Bristol, Avon)","id":"ITEM-1","issue":"6","issued":{"date-parts":[["2013","7"]]},"page":"679-85","title":"Effect of rocker shoe design features on forefoot plantar pressures in people with and without diabetes.","type":"article-journal","volume":"28"},"uris":["http://www.mendeley.com/documents/?uuid=ecd0fb12-8cd2-406a-8d12-8cfc0fa534c9"]},{"id":"ITEM-2","itemData":{"DOI":"10.1186/s13047-017-0208-3","ISSN":"1757-1146","PMID":"28694849","abstract":"© 2017 The Author(s). Background: Appropriate footwear for individuals with diabetes but no ulceration history could reduce the risk of first ulceration. However, individuals who deem themselves at low risk are unlikely to seek out bespoke footwear which is personalised. Therefore, our primary aim was to investigate whether group-optimised footwear designs, which could be prefabricated and delivered in a retail setting, could achieve appropriate pressure reduction, or whether footwear selection must be on a patient-by-patient basis. A second aim was to compare responses to footwear design between healthy participants and people with diabetes in order to understand the transferability of previous footwear research, performed in healthy populations. Methods: Plantar pressures were recorded from 102 individuals with diabetes, considered at low risk of ulceration. This cohort included 17 individuals with peripheral neuropathy. We also collected data from 66 healthy controls. Each participant walked in 8 rocker shoe designs (4 apex positions × 2 rocker angles). ANOVA analysis was then used to understand the effect of two design features and descriptive statistics used to identify the group-optimised design. Using 200 kPa as a target, this group-optimised design was then compared to the design identified as the best for each participant (using plantar pressure data). Results: Peak plantar pressure increased significantly as apex position was moved distally and rocker angle reduced (p  &lt;  0.001). The group-optimised design incorporated an apex at 52% of shoe length, a 20° rocker angle and an apex angle of 95°. With this design 71-81% of peak pressures were below the 200 kPa threshold, both in the full cohort of individuals with diabetes and also in the neuropathic subgroup. Importantly, only small increases ( &lt; 5%) in this proportion were observed when participants wore footwear which was individually selected. In terms of optimised footwear designs, healthy participants demonstrated the same response as participants with diabetes, despite having lower plantar pressures. Conclusions: This is the first study demonstrating that a group-optimised, generic rocker shoe might perform almost as well as footwear selected on a patient by patient basis in a low risk patient group. This work provides a starting point for clinical evaluation of generic versus personalised pressure reducing footwear.","author":[{"dropping-particle":"","family":"Preece","given":"Stephen J.","non-dropping-particle":"","parse-names":false,"suffix":""},{"dropping-particle":"","family":"Chapman","given":"Jonathan D.","non-dropping-particle":"","parse-names":false,"suffix":""},{"dropping-particle":"","family":"Braunstein","given":"Bjoern","non-dropping-particle":"","parse-names":false,"suffix":""},{"dropping-particle":"","family":"Brüggemann","given":"Gert-Peter","non-dropping-particle":"","parse-names":false,"suffix":""},{"dropping-particle":"","family":"Nester","given":"Christopher J.","non-dropping-particle":"","parse-names":false,"suffix":""}],"container-title":"Journal of Foot and Ankle Research","id":"ITEM-2","issued":{"date-parts":[["2017"]]},"title":"Optimisation of rocker sole footwear for prevention of first plantar ulcer: comparison of group-optimised and individually-selected footwear designs","type":"article-journal"},"uris":["http://www.mendeley.com/documents/?uuid=d0f5d917-149f-3cb5-862e-2f6f62c43242"]}],"mendeley":{"formattedCitation":"[9,30]","plainTextFormattedCitation":"[9,30]","previouslyFormattedCitation":"[9,30]"},"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[9,30]</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were considered for the present study: R10, a rocker angle of 10° located at 60% of the shoe length with the apex angle of 80°; R15, a rocker angle of 15° located at 52% of the shoe length with the apex angle of 95°; and, R20, a rocker angle of 20° located at 60% of the shoe length with the apex angle of 95°. A 1-mm stainless steel shank with 25 mm width and a length normalized to each shoe size was embedded between the rubber sole and the rocker outsole in R15 and R20, to assure rocker angle consistency during walking. Steel shank was not applied for R10, which was supposed to resemble a typical shoe outsole. All the experimental rocker outsoles were manufactured manually by a nationally certified orthotist (</w:t>
      </w:r>
      <w:r w:rsidR="001A6439">
        <w:rPr>
          <w:rFonts w:asciiTheme="majorBidi" w:hAnsiTheme="majorBidi" w:cstheme="majorBidi"/>
          <w:b/>
          <w:bCs/>
          <w:i/>
          <w:iCs/>
        </w:rPr>
        <w:fldChar w:fldCharType="begin"/>
      </w:r>
      <w:r w:rsidR="001A6439">
        <w:rPr>
          <w:rFonts w:asciiTheme="majorBidi" w:hAnsiTheme="majorBidi" w:cstheme="majorBidi"/>
          <w:sz w:val="24"/>
          <w:szCs w:val="24"/>
          <w:lang w:bidi="fa-IR"/>
        </w:rPr>
        <w:instrText xml:space="preserve"> REF _Ref798860 \h </w:instrText>
      </w:r>
      <w:r w:rsidR="001A6439">
        <w:rPr>
          <w:rFonts w:asciiTheme="majorBidi" w:hAnsiTheme="majorBidi" w:cstheme="majorBidi"/>
          <w:b/>
          <w:bCs/>
          <w:i/>
          <w:iCs/>
        </w:rPr>
      </w:r>
      <w:r w:rsidR="001A6439">
        <w:rPr>
          <w:rFonts w:asciiTheme="majorBidi" w:hAnsiTheme="majorBidi" w:cstheme="majorBidi"/>
          <w:b/>
          <w:bCs/>
          <w:i/>
          <w:iCs/>
        </w:rPr>
        <w:fldChar w:fldCharType="separate"/>
      </w:r>
      <w:r w:rsidR="001A6439" w:rsidRPr="001A6439">
        <w:rPr>
          <w:rFonts w:asciiTheme="majorBidi" w:hAnsiTheme="majorBidi" w:cstheme="majorBidi"/>
          <w:b/>
          <w:bCs/>
          <w:i/>
          <w:iCs/>
        </w:rPr>
        <w:t xml:space="preserve">Fig. </w:t>
      </w:r>
      <w:r w:rsidR="001A6439" w:rsidRPr="001A6439">
        <w:rPr>
          <w:rFonts w:asciiTheme="majorBidi" w:hAnsiTheme="majorBidi" w:cstheme="majorBidi"/>
          <w:b/>
          <w:bCs/>
          <w:i/>
          <w:iCs/>
          <w:noProof/>
        </w:rPr>
        <w:t>1</w:t>
      </w:r>
      <w:r w:rsidR="001A6439">
        <w:rPr>
          <w:rFonts w:asciiTheme="majorBidi" w:hAnsiTheme="majorBidi" w:cstheme="majorBidi"/>
          <w:b/>
          <w:bCs/>
          <w:i/>
          <w:iCs/>
        </w:rPr>
        <w:fldChar w:fldCharType="end"/>
      </w:r>
      <w:r w:rsidRPr="001763D9">
        <w:rPr>
          <w:rFonts w:asciiTheme="majorBidi" w:hAnsiTheme="majorBidi" w:cstheme="majorBidi"/>
          <w:sz w:val="24"/>
          <w:szCs w:val="24"/>
          <w:lang w:bidi="fa-IR"/>
        </w:rPr>
        <w:t>).</w:t>
      </w:r>
    </w:p>
    <w:p w14:paraId="38FACF28" w14:textId="77777777" w:rsidR="00A17EDA" w:rsidRPr="001763D9" w:rsidRDefault="00A17EDA"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t>2.3. Data collection</w:t>
      </w:r>
    </w:p>
    <w:p w14:paraId="08EA017C" w14:textId="77777777" w:rsidR="00A17EDA" w:rsidRPr="001763D9" w:rsidRDefault="00A17EDA" w:rsidP="0011514A">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Participants filled out </w:t>
      </w:r>
      <w:r w:rsidR="0011514A">
        <w:rPr>
          <w:rFonts w:asciiTheme="majorBidi" w:hAnsiTheme="majorBidi" w:cstheme="majorBidi"/>
          <w:sz w:val="24"/>
          <w:szCs w:val="24"/>
          <w:lang w:bidi="fa-IR"/>
        </w:rPr>
        <w:t>Fall Efficacy Scale International (</w:t>
      </w:r>
      <w:r w:rsidRPr="001763D9">
        <w:rPr>
          <w:rFonts w:asciiTheme="majorBidi" w:hAnsiTheme="majorBidi" w:cstheme="majorBidi"/>
          <w:sz w:val="24"/>
          <w:szCs w:val="24"/>
          <w:lang w:bidi="fa-IR"/>
        </w:rPr>
        <w:t>FES-I</w:t>
      </w:r>
      <w:r w:rsidR="0011514A">
        <w:rPr>
          <w:rFonts w:asciiTheme="majorBidi" w:hAnsiTheme="majorBidi" w:cstheme="majorBidi"/>
          <w:sz w:val="24"/>
          <w:szCs w:val="24"/>
          <w:lang w:bidi="fa-IR"/>
        </w:rPr>
        <w:t>)</w:t>
      </w:r>
      <w:r w:rsidRPr="001763D9">
        <w:rPr>
          <w:rFonts w:asciiTheme="majorBidi" w:hAnsiTheme="majorBidi" w:cstheme="majorBidi"/>
          <w:sz w:val="24"/>
          <w:szCs w:val="24"/>
          <w:lang w:bidi="fa-IR"/>
        </w:rPr>
        <w:t xml:space="preserve"> questionnaire prior to kinematic data-collection, as a measure of fear of falling</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{"citationItems":[{"id":"ITEM-1","itemData":{"DOI":"10.1093/ageing/afi196","ISSN":"1468-2834","PMID":"16267188","abstract":"BACKGROUND There is a need for a measure of fear of falling that assesses both easy and difficult physical activities and social activities and is suitable for use in a range of languages and cultural contexts, permitting direct comparison between studies and populations in different countries and settings. OBJECTIVE To develop a modified version of the Falls Efficacy Scale to satisfy this need, and to establish its psychometric properties, reliability, and concurrent validity (i.e. that it demonstrates the expected relationship with age, falls history and falls risk factors). DESIGN Cross-sectional survey. SETTING Community sample. METHOD 704 people aged between 60 and 95 years completed The Falls Efficacy Scale-International (FES-I) either in postal self-completion format or by structured interview. RESULTS The FES-I had excellent internal and test-retest reliability (Cronbach's alpha=0.96, ICC=0.96). Factor analysis suggested a unitary underlying factor, with two dimensions assessing concern about less demanding physical activities mainly in the home, and concern about more demanding physical activities mainly outside the home. The FES-I had slightly better power than the original FES items to discriminate differences in concern about falling between groups differentiated by sex, age, occupation, falls in the past year, and falls risk factors (chronic illness, taking multiple or psychoactive medications, dizziness). CONCLUSIONS The FES-I has close continuity with the best existing measure of fear of falling, excellent psychometric properties, and assesses concerns relating to basic and more demanding activities, both physical and social. Further research is required to confirm cross-cultural and predictive validity.","author":[{"dropping-particle":"","family":"Yardley","given":"Lucy","non-dropping-particle":"","parse-names":false,"suffix":""},{"dropping-particle":"","family":"Beyer","given":"Nina","non-dropping-particle":"","parse-names":false,"suffix":""},{"dropping-particle":"","family":"Hauer","given":"Klaus","non-dropping-particle":"","parse-names":false,"suffix":""},{"dropping-particle":"","family":"Kempen","given":"Gertrudis","non-dropping-particle":"","parse-names":false,"suffix":""},{"dropping-particle":"","family":"Piot-Ziegler","given":"Chantal","non-dropping-particle":"","parse-names":false,"suffix":""},{"dropping-particle":"","family":"Todd","given":"Chris","non-dropping-particle":"","parse-names":false,"suffix":""}],"container-title":"Age and Ageing","id":"ITEM-1","issue":"6","issued":{"date-parts":[["2005","11","1"]]},"page":"614-619","title":"Development and initial validation of the Falls Efficacy Scale-International (FES-I)","type":"article-journal","volume":"34"},"uris":["http://www.mendeley.com/documents/?uuid=adca29eb-507f-302b-81f0-732e7dec2f04"]}],"mendeley":{"formattedCitation":"[31]","plainTextFormattedCitation":"[31]","previouslyFormattedCitation":"[31]"},"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[31]</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w:t>
      </w:r>
    </w:p>
    <w:p w14:paraId="14479E42" w14:textId="1BDAC38E"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Forty-four reflective markers (the plugin gait model</w:t>
      </w:r>
      <w:r w:rsidRPr="001763D9">
        <w:rPr>
          <w:rFonts w:asciiTheme="majorBidi" w:hAnsiTheme="majorBidi" w:cstheme="majorBidi"/>
          <w:noProof/>
          <w:sz w:val="24"/>
          <w:szCs w:val="24"/>
          <w:lang w:bidi="fa-IR"/>
        </w:rPr>
        <w:t xml:space="preserve"> </w:t>
      </w:r>
      <w:r w:rsidRPr="001763D9">
        <w:rPr>
          <w:rFonts w:asciiTheme="majorBidi" w:hAnsiTheme="majorBidi" w:cstheme="majorBidi"/>
          <w:noProof/>
          <w:sz w:val="24"/>
          <w:szCs w:val="24"/>
          <w:lang w:bidi="fa-IR"/>
        </w:rPr>
        <w:fldChar w:fldCharType="begin" w:fldLock="1"/>
      </w:r>
      <w:r w:rsidRPr="001763D9">
        <w:rPr>
          <w:rFonts w:asciiTheme="majorBidi" w:hAnsiTheme="majorBidi" w:cstheme="majorBidi"/>
          <w:noProof/>
          <w:sz w:val="24"/>
          <w:szCs w:val="24"/>
          <w:lang w:bidi="fa-IR"/>
        </w:rPr>
        <w:instrText>ADDIN CSL_CITATION {"citationItems":[{"id":"ITEM-1","itemData":{"abstract":"The following describes in detail where the Plug-in-Gait markers should be placed on the subject. Where left side markers only are listed, the positioning is identical for the right side.","author":[{"dropping-particle":"","family":"Vicon®","given":"","non-dropping-particle":"","parse-names":false,"suffix":""}],"container-title":"Mocap","id":"ITEM-1","issued":{"date-parts":[["2006"]]},"page":"1-4","title":"Plug-in-Gait Marker Placement","type":"article-journal"},"uris":["http://www.mendeley.com/documents/?uuid=e9d3dafa-0dd4-46f9-b75b-231cc906b13e"]}],"mendeley":{"formattedCitation":"[32]","plainTextFormattedCitation":"[32]","previouslyFormattedCitation":"[32]"},"properties":{"noteIndex":0},"schema":"https://github.com/citation-style-language/schema/raw/master/csl-citation.json"}</w:instrText>
      </w:r>
      <w:r w:rsidRPr="001763D9">
        <w:rPr>
          <w:rFonts w:asciiTheme="majorBidi" w:hAnsiTheme="majorBidi" w:cstheme="majorBidi"/>
          <w:noProof/>
          <w:sz w:val="24"/>
          <w:szCs w:val="24"/>
          <w:lang w:bidi="fa-IR"/>
        </w:rPr>
        <w:fldChar w:fldCharType="separate"/>
      </w:r>
      <w:r w:rsidRPr="001763D9">
        <w:rPr>
          <w:rFonts w:asciiTheme="majorBidi" w:hAnsiTheme="majorBidi" w:cstheme="majorBidi"/>
          <w:noProof/>
          <w:sz w:val="24"/>
          <w:szCs w:val="24"/>
          <w:lang w:bidi="fa-IR"/>
        </w:rPr>
        <w:t>[32]</w:t>
      </w:r>
      <w:r w:rsidRPr="001763D9">
        <w:rPr>
          <w:rFonts w:asciiTheme="majorBidi" w:hAnsiTheme="majorBidi" w:cstheme="majorBidi"/>
          <w:noProof/>
          <w:sz w:val="24"/>
          <w:szCs w:val="24"/>
          <w:lang w:bidi="fa-IR"/>
        </w:rPr>
        <w:fldChar w:fldCharType="end"/>
      </w:r>
      <w:r w:rsidRPr="001763D9">
        <w:rPr>
          <w:rFonts w:asciiTheme="majorBidi" w:hAnsiTheme="majorBidi" w:cstheme="majorBidi"/>
          <w:sz w:val="24"/>
          <w:szCs w:val="24"/>
          <w:lang w:bidi="fa-IR"/>
        </w:rPr>
        <w:t>) were used to record full-body kinematics by a motion capture system with six calibrated infrared cameras at sampling frequency of 100 Hz (Qualisys Track Manager, QTM, Gothenburg, Sweden). Barefoot walking trials were recorded initially followed by walking with the three experimental shoes in a random order. For familiari</w:t>
      </w:r>
      <w:r w:rsidR="006B1F4B">
        <w:rPr>
          <w:rFonts w:asciiTheme="majorBidi" w:hAnsiTheme="majorBidi" w:cstheme="majorBidi"/>
          <w:sz w:val="24"/>
          <w:szCs w:val="24"/>
          <w:lang w:bidi="fa-IR"/>
        </w:rPr>
        <w:t>s</w:t>
      </w:r>
      <w:r w:rsidRPr="001763D9">
        <w:rPr>
          <w:rFonts w:asciiTheme="majorBidi" w:hAnsiTheme="majorBidi" w:cstheme="majorBidi"/>
          <w:sz w:val="24"/>
          <w:szCs w:val="24"/>
          <w:lang w:bidi="fa-IR"/>
        </w:rPr>
        <w:t xml:space="preserve">ation, participants walked in a hand-railed walkway for 5 minutes per shoes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{"citationItems":[{"id":"ITEM-1","itemData":{"DOI":"10.1016/j.gaitpost.2014.07.026","ISSN":"1879-2219","PMID":"25161007","abstract":"Many researchers investigate how footwear design affects plantar pressure (PP) and ask participants to walk in unfamiliar footwear as part of their studies. However, there are no clear guidelines for the required period of time or number of steps a healthy participant requires to acclimatise to unfamiliar footwear. Nor are there clear guidelines for how many steps should be collected to produce data that is representative of gait in each particular shoe being tested. There were therefore two aims to this study: (1) to investigate the number of steps required to produce an average step that is representative of normal gait; (2) to investigate the number of steps required for a participant to acclimatise to a range of footwear types. PP data were collected in 20 healthy participants whilst they walked for 400 m in a range of footwear. The results showed that the number of steps required for both acclimatisation and to ensure data quality are dependent on shoe type and the foot region being investigated. It is recommended that 30 steps from one foot are collected during data collection and an acclimatisation period of at least 166 steps is given for each shoe condition. The former recommendation is not met by most studies in the literature.","author":[{"dropping-particle":"","family":"Melvin","given":"J M A","non-dropping-particle":"","parse-names":false,"suffix":""},{"dropping-particle":"","family":"Preece","given":"S","non-dropping-particle":"","parse-names":false,"suffix":""},{"dropping-particle":"","family":"Nester","given":"C J","non-dropping-particle":"","parse-names":false,"suffix":""},{"dropping-particle":"","family":"Howard","given":"D","non-dropping-particle":"","parse-names":false,"suffix":""}],"container-title":"Gait &amp; posture","id":"ITEM-1","issue":"4","issued":{"date-parts":[["2014","9"]]},"page":"682-7","title":"An investigation into plantar pressure measurement protocols for footwear research.","type":"article-journal","volume":"40"},"uris":["http://www.mendeley.com/documents/?uuid=89268243-7460-46f3-a43f-b6e2aa7169bd"]}],"mendeley":{"formattedCitation":"[33]","plainTextFormattedCitation":"[33]","previouslyFormattedCitation":"[33]"},"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[33]</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For all experimental conditions (barefoot, R10, R15, and R20), participants were instructed to walk with their comfortable self-selected speed over a 10-meter walkway with </w:t>
      </w:r>
      <w:r w:rsidR="000E5AA2">
        <w:rPr>
          <w:rFonts w:asciiTheme="majorBidi" w:hAnsiTheme="majorBidi" w:cstheme="majorBidi"/>
          <w:sz w:val="24"/>
          <w:szCs w:val="24"/>
          <w:lang w:bidi="fa-IR"/>
        </w:rPr>
        <w:t xml:space="preserve">a </w:t>
      </w:r>
      <w:r w:rsidRPr="001763D9">
        <w:rPr>
          <w:rFonts w:asciiTheme="majorBidi" w:hAnsiTheme="majorBidi" w:cstheme="majorBidi"/>
          <w:sz w:val="24"/>
          <w:szCs w:val="24"/>
          <w:lang w:bidi="fa-IR"/>
        </w:rPr>
        <w:t>constant pace while looking forward. Overall, 18-30 steps were recorded over six consecutive trials per condition and per participant.</w:t>
      </w:r>
    </w:p>
    <w:p w14:paraId="1A8F03E6" w14:textId="77777777" w:rsidR="00A17EDA" w:rsidRPr="001763D9" w:rsidRDefault="00A17EDA"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lastRenderedPageBreak/>
        <w:t>2.4. Outcome measures and data processing</w:t>
      </w:r>
    </w:p>
    <w:p w14:paraId="7B9551B0" w14:textId="12081BC6" w:rsidR="00A17EDA" w:rsidRPr="001763D9" w:rsidRDefault="00A17EDA" w:rsidP="0042185C">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Gai</w:t>
      </w:r>
      <w:r w:rsidR="00D57EA0">
        <w:rPr>
          <w:rFonts w:asciiTheme="majorBidi" w:hAnsiTheme="majorBidi" w:cstheme="majorBidi"/>
          <w:sz w:val="24"/>
          <w:szCs w:val="24"/>
          <w:lang w:bidi="fa-IR"/>
        </w:rPr>
        <w:t>t stability was quantified by Mo</w:t>
      </w:r>
      <w:r w:rsidRPr="001763D9">
        <w:rPr>
          <w:rFonts w:asciiTheme="majorBidi" w:hAnsiTheme="majorBidi" w:cstheme="majorBidi"/>
          <w:sz w:val="24"/>
          <w:szCs w:val="24"/>
          <w:lang w:bidi="fa-IR"/>
        </w:rPr>
        <w:t>S method which is defined as the instantaneous interac</w:t>
      </w:r>
      <w:r w:rsidR="00D57EA0">
        <w:rPr>
          <w:rFonts w:asciiTheme="majorBidi" w:hAnsiTheme="majorBidi" w:cstheme="majorBidi"/>
          <w:sz w:val="24"/>
          <w:szCs w:val="24"/>
          <w:lang w:bidi="fa-IR"/>
        </w:rPr>
        <w:t>tion of the velocity-adjusted Co</w:t>
      </w:r>
      <w:r w:rsidRPr="001763D9">
        <w:rPr>
          <w:rFonts w:asciiTheme="majorBidi" w:hAnsiTheme="majorBidi" w:cstheme="majorBidi"/>
          <w:sz w:val="24"/>
          <w:szCs w:val="24"/>
          <w:lang w:bidi="fa-IR"/>
        </w:rPr>
        <w:t>M, termed as t</w:t>
      </w:r>
      <w:r w:rsidR="00D57EA0">
        <w:rPr>
          <w:rFonts w:asciiTheme="majorBidi" w:hAnsiTheme="majorBidi" w:cstheme="majorBidi"/>
          <w:sz w:val="24"/>
          <w:szCs w:val="24"/>
          <w:lang w:bidi="fa-IR"/>
        </w:rPr>
        <w:t>he extrapolated Co</w:t>
      </w:r>
      <w:r w:rsidRPr="001763D9">
        <w:rPr>
          <w:rFonts w:asciiTheme="majorBidi" w:hAnsiTheme="majorBidi" w:cstheme="majorBidi"/>
          <w:sz w:val="24"/>
          <w:szCs w:val="24"/>
          <w:lang w:bidi="fa-IR"/>
        </w:rPr>
        <w:t xml:space="preserve">M </w:t>
      </w:r>
      <w:r w:rsidR="00D57EA0">
        <w:rPr>
          <w:rFonts w:asciiTheme="majorBidi" w:hAnsiTheme="majorBidi" w:cstheme="majorBidi"/>
          <w:sz w:val="24"/>
          <w:szCs w:val="24"/>
          <w:lang w:bidi="fa-IR"/>
        </w:rPr>
        <w:t>(XcoM), and the boundaries of Bo</w:t>
      </w:r>
      <w:r w:rsidRPr="001763D9">
        <w:rPr>
          <w:rFonts w:asciiTheme="majorBidi" w:hAnsiTheme="majorBidi" w:cstheme="majorBidi"/>
          <w:sz w:val="24"/>
          <w:szCs w:val="24"/>
          <w:lang w:bidi="fa-IR"/>
        </w:rPr>
        <w:t xml:space="preserve">S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{"citationItems":[{"id":"ITEM-1","itemData":{"DOI":"10.1016/j.humov.2007.08.003","ISSN":"0167-9457","PMID":"17935808","abstract":"Next to position x and velocity v of the whole body center of mass (CoM) the 'extrapolated center of mass' (XcoM) can be introduced: xi = chi + nu/omega 0, where omega 0 is a constant related to stature. Based on the inverted pendulum model of balance, the XcoM enables to formulate the requirements for stable walking in a relatively simple form. In a very simple walking model, with the effects of foot roll-over neglected, the trajectory of the XcoM is a succession of straight lines, directed in the line from center of pressure (CoP) to the XcoM at the time of foot contact. The CoM follows the XcoM in a more sinusoidal trajectory. A simple rule is sufficient for stable walking: at foot placement the CoP should be placed at a certain distance behind and outward of the XcoM at the time of foot contact. In practice this means that a disturbance which results in a CoM velocity change Deltav can be compensated by a change in foot position (CoP) equal to Deltav/omega 0 in the same direction. Similar simple rules could be formulated for starting and stopping and for making a turn.","author":[{"dropping-particle":"","family":"Hof","given":"At L","non-dropping-particle":"","parse-names":false,"suffix":""}],"container-title":"Human movement science","id":"ITEM-1","issue":"1","issued":{"date-parts":[["2008","2"]]},"page":"112-25","title":"The 'extrapolated center of mass' concept suggests a simple control of balance in walking.","type":"article-journal","volume":"27"},"uris":["http://www.mendeley.com/documents/?uuid=7b9a1fe9-46fc-496e-9670-8be645bc9de8"]}],"mendeley":{"formattedCitation":"[21]","plainTextFormattedCitation":"[21]","previouslyFormattedCitation":"[21]"},"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[21]</w:t>
      </w:r>
      <w:r w:rsidRPr="001763D9">
        <w:rPr>
          <w:rFonts w:asciiTheme="majorBidi" w:hAnsiTheme="majorBidi" w:cstheme="majorBidi"/>
          <w:sz w:val="24"/>
          <w:szCs w:val="24"/>
          <w:lang w:bidi="fa-IR"/>
        </w:rPr>
        <w:fldChar w:fldCharType="end"/>
      </w:r>
      <w:r w:rsidR="00D57EA0">
        <w:rPr>
          <w:rFonts w:asciiTheme="majorBidi" w:hAnsiTheme="majorBidi" w:cstheme="majorBidi"/>
          <w:sz w:val="24"/>
          <w:szCs w:val="24"/>
          <w:lang w:bidi="fa-IR"/>
        </w:rPr>
        <w:t>. Both the Mo</w:t>
      </w:r>
      <w:r w:rsidRPr="001763D9">
        <w:rPr>
          <w:rFonts w:asciiTheme="majorBidi" w:hAnsiTheme="majorBidi" w:cstheme="majorBidi"/>
          <w:sz w:val="24"/>
          <w:szCs w:val="24"/>
          <w:lang w:bidi="fa-IR"/>
        </w:rPr>
        <w:t>S mean which indicates the status of th</w:t>
      </w:r>
      <w:r w:rsidR="00D57EA0">
        <w:rPr>
          <w:rFonts w:asciiTheme="majorBidi" w:hAnsiTheme="majorBidi" w:cstheme="majorBidi"/>
          <w:sz w:val="24"/>
          <w:szCs w:val="24"/>
          <w:lang w:bidi="fa-IR"/>
        </w:rPr>
        <w:t>e overall gait stability, and Mo</w:t>
      </w:r>
      <w:r w:rsidRPr="001763D9">
        <w:rPr>
          <w:rFonts w:asciiTheme="majorBidi" w:hAnsiTheme="majorBidi" w:cstheme="majorBidi"/>
          <w:sz w:val="24"/>
          <w:szCs w:val="24"/>
          <w:lang w:bidi="fa-IR"/>
        </w:rPr>
        <w:t xml:space="preserve">S variability which reveals step-to-step anticipatory changes during walking were calculated to quantify gait stability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{"citationItems":[{"id":"ITEM-1","itemData":{"DOI":"10.1016/j.gaitpost.2012.02.020","ISSN":"1879-2219","PMID":"22472707","abstract":"\"Cautious\" gait is generally characterized by wider and shorter steps. However, we do not clearly understand the relationship between step characteristics and individuals' stability. Here, we examined the effects of voluntarily altering step width (SW) and step length (SL) on individuals' margins of stability. Fourteen participants completed three 3-min treadmill walking trials during three SL (short, normal with metronome, and long) and three SW (narrow, normal and wide) manipulation conditions. SL manipulations yielded significant changes in mean anterior-posterior (AP) margins of stability (MOS(ap)) (p&lt;0.0005) but not mediolateral (ML) margins of stability (MOS(ml)) (p≥0.0579). Taking wider steps increased mean MOS(ml) while decreasing MOS(ap) (p&lt;0.0005). Walking with either wider or long steps, each of which increases the base of support, yielded increased AP and ML MOS variability (p≤0.0468). Step-to-step analysis of MOS(ml) indicated that subjects took stable steps followed immediately by stable steps. Overall, short-term, voluntary adoption of wider steps may help increase instantaneous lateral stability but shorter steps did not change lateral stability during unperturbed walking. We suggest that the observed changes in stability margins be considered in gait training programs which recommend short-term changes in step characteristics to improve stability.","author":[{"dropping-particle":"","family":"McAndrew Young","given":"Patricia M","non-dropping-particle":"","parse-names":false,"suffix":""},{"dropping-particle":"","family":"Dingwell","given":"Jonathan B","non-dropping-particle":"","parse-names":false,"suffix":""}],"container-title":"Gait &amp; posture","id":"ITEM-1","issue":"2","issued":{"date-parts":[["2012","6","1"]]},"page":"219-24","publisher":"Elsevier","title":"Voluntary changes in step width and step length during human walking affect dynamic margins of stability.","type":"article-journal","volume":"36"},"uris":["http://www.mendeley.com/documents/?uuid=7e420dc5-3fdb-3c44-a79f-6a75377d63b9"]}],"mendeley":{"formattedCitation":"[34]","plainTextFormattedCitation":"[34]","previouslyFormattedCitation":"[34]"},"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noProof/>
          <w:sz w:val="24"/>
          <w:szCs w:val="24"/>
          <w:lang w:bidi="fa-IR"/>
        </w:rPr>
        <w:t>[34]</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xml:space="preserve">. </w:t>
      </w:r>
    </w:p>
    <w:p w14:paraId="2A6BC38D" w14:textId="7343A8BE" w:rsidR="00A17EDA" w:rsidRPr="001763D9" w:rsidRDefault="00D57EA0" w:rsidP="00626B98">
      <w:pPr>
        <w:spacing w:line="480" w:lineRule="auto"/>
        <w:rPr>
          <w:rFonts w:asciiTheme="majorBidi" w:hAnsiTheme="majorBidi" w:cstheme="majorBidi"/>
          <w:sz w:val="24"/>
          <w:szCs w:val="24"/>
          <w:lang w:bidi="fa-IR"/>
        </w:rPr>
      </w:pPr>
      <w:r>
        <w:rPr>
          <w:rFonts w:asciiTheme="majorBidi" w:hAnsiTheme="majorBidi" w:cstheme="majorBidi"/>
          <w:sz w:val="24"/>
          <w:szCs w:val="24"/>
          <w:lang w:bidi="fa-IR"/>
        </w:rPr>
        <w:t>A whole body Co</w:t>
      </w:r>
      <w:r w:rsidR="00A17EDA" w:rsidRPr="001763D9">
        <w:rPr>
          <w:rFonts w:asciiTheme="majorBidi" w:hAnsiTheme="majorBidi" w:cstheme="majorBidi"/>
          <w:sz w:val="24"/>
          <w:szCs w:val="24"/>
          <w:lang w:bidi="fa-IR"/>
        </w:rPr>
        <w:t xml:space="preserve">M was computed based on a 15-segment model in Visual 3D software (C-motion Inc., USA). Heel-strike and toe-off time points were determined through the kinematic method developed by Zeni et. al (2008) </w:t>
      </w:r>
      <w:r w:rsidR="00A17EDA" w:rsidRPr="001763D9">
        <w:rPr>
          <w:rFonts w:asciiTheme="majorBidi" w:hAnsiTheme="majorBidi" w:cstheme="majorBidi"/>
          <w:sz w:val="24"/>
          <w:szCs w:val="24"/>
          <w:lang w:bidi="fa-IR"/>
        </w:rPr>
        <w:fldChar w:fldCharType="begin" w:fldLock="1"/>
      </w:r>
      <w:r w:rsidR="00A17EDA" w:rsidRPr="001763D9">
        <w:rPr>
          <w:rFonts w:asciiTheme="majorBidi" w:hAnsiTheme="majorBidi" w:cstheme="majorBidi"/>
          <w:sz w:val="24"/>
          <w:szCs w:val="24"/>
          <w:lang w:bidi="fa-IR"/>
        </w:rPr>
        <w:instrText>ADDIN CSL_CITATION {"citationItems":[{"id":"ITEM-1","itemData":{"DOI":"10.1016/j.gaitpost.2012.02.020","ISSN":"1879-2219","PMID":"22472707","abstract":"\"Cautious\" gait is generally characterized by wider and shorter steps. However, we do not clearly understand the relationship between step characteristics and individuals' stability. Here, we examined the effects of voluntarily altering step width (SW) and step length (SL) on individuals' margins of stability. Fourteen participants completed three 3-min treadmill walking trials during three SL (short, normal with metronome, and long) and three SW (narrow, normal and wide) manipulation conditions. SL manipulations yielded significant changes in mean anterior-posterior (AP) margins of stability (MOS(ap)) (p&lt;0.0005) but not mediolateral (ML) margins of stability (MOS(ml)) (p≥0.0579). Taking wider steps increased mean MOS(ml) while decreasing MOS(ap) (p&lt;0.0005). Walking with either wider or long steps, each of which increases the base of support, yielded increased AP and ML MOS variability (p≤0.0468). Step-to-step analysis of MOS(ml) indicated that subjects took stable steps followed immediately by stable steps. Overall, short-term, voluntary adoption of wider steps may help increase instantaneous lateral stability but shorter steps did not change lateral stability during unperturbed walking. We suggest that the observed changes in stability margins be considered in gait training programs which recommend short-term changes in step characteristics to improve stability.","author":[{"dropping-particle":"","family":"McAndrew Young","given":"Patricia M","non-dropping-particle":"","parse-names":false,"suffix":""},{"dropping-particle":"","family":"Dingwell","given":"Jonathan B","non-dropping-particle":"","parse-names":false,"suffix":""}],"container-title":"Gait &amp; posture","id":"ITEM-1","issue":"2","issued":{"date-parts":[["2012","6","1"]]},"page":"219-24","publisher":"Elsevier","title":"Voluntary changes in step width and step length during human walking affect dynamic margins of stability.","type":"article-journal","volume":"36"},"uris":["http://www.mendeley.com/documents/?uuid=7e420dc5-3fdb-3c44-a79f-6a75377d63b9"]}],"mendeley":{"formattedCitation":"[34]","plainTextFormattedCitation":"[34]","previouslyFormattedCitation":"[34]"},"properties":{"noteIndex":0},"schema":"https://github.com/citation-style-language/schema/raw/master/csl-citation.json"}</w:instrText>
      </w:r>
      <w:r w:rsidR="00A17EDA" w:rsidRPr="001763D9">
        <w:rPr>
          <w:rFonts w:asciiTheme="majorBidi" w:hAnsiTheme="majorBidi" w:cstheme="majorBidi"/>
          <w:sz w:val="24"/>
          <w:szCs w:val="24"/>
          <w:lang w:bidi="fa-IR"/>
        </w:rPr>
        <w:fldChar w:fldCharType="separate"/>
      </w:r>
      <w:r w:rsidR="00A17EDA" w:rsidRPr="001763D9">
        <w:rPr>
          <w:rFonts w:asciiTheme="majorBidi" w:hAnsiTheme="majorBidi" w:cstheme="majorBidi"/>
          <w:noProof/>
          <w:sz w:val="24"/>
          <w:szCs w:val="24"/>
          <w:lang w:bidi="fa-IR"/>
        </w:rPr>
        <w:t>[34]</w:t>
      </w:r>
      <w:r w:rsidR="00A17EDA" w:rsidRPr="001763D9">
        <w:rPr>
          <w:rFonts w:asciiTheme="majorBidi" w:hAnsiTheme="majorBidi" w:cstheme="majorBidi"/>
          <w:sz w:val="24"/>
          <w:szCs w:val="24"/>
          <w:lang w:bidi="fa-IR"/>
        </w:rPr>
        <w:fldChar w:fldCharType="end"/>
      </w:r>
      <w:r>
        <w:rPr>
          <w:rFonts w:asciiTheme="majorBidi" w:hAnsiTheme="majorBidi" w:cstheme="majorBidi"/>
          <w:sz w:val="24"/>
          <w:szCs w:val="24"/>
          <w:lang w:bidi="fa-IR"/>
        </w:rPr>
        <w:t>. Mo</w:t>
      </w:r>
      <w:r w:rsidR="00A17EDA" w:rsidRPr="001763D9">
        <w:rPr>
          <w:rFonts w:asciiTheme="majorBidi" w:hAnsiTheme="majorBidi" w:cstheme="majorBidi"/>
          <w:sz w:val="24"/>
          <w:szCs w:val="24"/>
          <w:lang w:bidi="fa-IR"/>
        </w:rPr>
        <w:t xml:space="preserve">S was calculated as </w:t>
      </w:r>
      <w:r w:rsidR="00A17EDA" w:rsidRPr="001763D9">
        <w:rPr>
          <w:rFonts w:asciiTheme="majorBidi" w:hAnsiTheme="majorBidi" w:cstheme="majorBidi"/>
          <w:sz w:val="24"/>
          <w:szCs w:val="24"/>
          <w:lang w:bidi="fa-IR"/>
        </w:rPr>
        <w:fldChar w:fldCharType="begin" w:fldLock="1"/>
      </w:r>
      <w:r w:rsidR="00A17EDA" w:rsidRPr="001763D9">
        <w:rPr>
          <w:rFonts w:asciiTheme="majorBidi" w:hAnsiTheme="majorBidi" w:cstheme="majorBidi"/>
          <w:sz w:val="24"/>
          <w:szCs w:val="24"/>
          <w:lang w:bidi="fa-IR"/>
        </w:rPr>
        <w:instrText>ADDIN CSL_CITATION {"citationItems":[{"id":"ITEM-1","itemData":{"DOI":"10.1016/j.humov.2007.08.003","ISSN":"0167-9457","PMID":"17935808","abstract":"Next to position x and velocity v of the whole body center of mass (CoM) the 'extrapolated center of mass' (XcoM) can be introduced: xi = chi + nu/omega 0, where omega 0 is a constant related to stature. Based on the inverted pendulum model of balance, the XcoM enables to formulate the requirements for stable walking in a relatively simple form. In a very simple walking model, with the effects of foot roll-over neglected, the trajectory of the XcoM is a succession of straight lines, directed in the line from center of pressure (CoP) to the XcoM at the time of foot contact. The CoM follows the XcoM in a more sinusoidal trajectory. A simple rule is sufficient for stable walking: at foot placement the CoP should be placed at a certain distance behind and outward of the XcoM at the time of foot contact. In practice this means that a disturbance which results in a CoM velocity change Deltav can be compensated by a change in foot position (CoP) equal to Deltav/omega 0 in the same direction. Similar simple rules could be formulated for starting and stopping and for making a turn.","author":[{"dropping-particle":"","family":"Hof","given":"At L","non-dropping-particle":"","parse-names":false,"suffix":""}],"container-title":"Human movement science","id":"ITEM-1","issue":"1","issued":{"date-parts":[["2008","2"]]},"page":"112-25","title":"The 'extrapolated center of mass' concept suggests a simple control of balance in walking.","type":"article-journal","volume":"27"},"uris":["http://www.mendeley.com/documents/?uuid=7b9a1fe9-46fc-496e-9670-8be645bc9de8"]}],"mendeley":{"formattedCitation":"[21]","plainTextFormattedCitation":"[21]","previouslyFormattedCitation":"[21]"},"properties":{"noteIndex":0},"schema":"https://github.com/citation-style-language/schema/raw/master/csl-citation.json"}</w:instrText>
      </w:r>
      <w:r w:rsidR="00A17EDA" w:rsidRPr="001763D9">
        <w:rPr>
          <w:rFonts w:asciiTheme="majorBidi" w:hAnsiTheme="majorBidi" w:cstheme="majorBidi"/>
          <w:sz w:val="24"/>
          <w:szCs w:val="24"/>
          <w:lang w:bidi="fa-IR"/>
        </w:rPr>
        <w:fldChar w:fldCharType="separate"/>
      </w:r>
      <w:r w:rsidR="00A17EDA" w:rsidRPr="001763D9">
        <w:rPr>
          <w:rFonts w:asciiTheme="majorBidi" w:hAnsiTheme="majorBidi" w:cstheme="majorBidi"/>
          <w:noProof/>
          <w:sz w:val="24"/>
          <w:szCs w:val="24"/>
          <w:lang w:bidi="fa-IR"/>
        </w:rPr>
        <w:t>[21]</w:t>
      </w:r>
      <w:r w:rsidR="00A17EDA" w:rsidRPr="001763D9">
        <w:rPr>
          <w:rFonts w:asciiTheme="majorBidi" w:hAnsiTheme="majorBidi" w:cstheme="majorBidi"/>
          <w:sz w:val="24"/>
          <w:szCs w:val="24"/>
          <w:lang w:bidi="fa-IR"/>
        </w:rPr>
        <w:fldChar w:fldCharType="end"/>
      </w:r>
      <w:r w:rsidR="00A17EDA" w:rsidRPr="001763D9">
        <w:rPr>
          <w:rFonts w:asciiTheme="majorBidi" w:hAnsiTheme="majorBidi" w:cstheme="majorBidi"/>
          <w:sz w:val="24"/>
          <w:szCs w:val="24"/>
          <w:lang w:bidi="fa-IR"/>
        </w:rPr>
        <w:t>:</w:t>
      </w:r>
    </w:p>
    <w:p w14:paraId="0339C062" w14:textId="77777777"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   </w:t>
      </w:r>
      <m:oMath>
        <m:r>
          <w:rPr>
            <w:rFonts w:ascii="Cambria Math" w:hAnsi="Cambria Math" w:cstheme="majorBidi"/>
            <w:sz w:val="24"/>
            <w:szCs w:val="24"/>
            <w:lang w:bidi="fa-IR"/>
          </w:rPr>
          <m:t>XcoM=COM+</m:t>
        </m:r>
        <m:f>
          <m:fPr>
            <m:ctrlPr>
              <w:rPr>
                <w:rFonts w:ascii="Cambria Math" w:hAnsi="Cambria Math" w:cstheme="majorBidi"/>
                <w:i/>
                <w:iCs/>
                <w:sz w:val="24"/>
                <w:szCs w:val="24"/>
                <w:lang w:bidi="fa-IR"/>
              </w:rPr>
            </m:ctrlPr>
          </m:fPr>
          <m:num>
            <m:r>
              <w:rPr>
                <w:rFonts w:ascii="Cambria Math" w:hAnsi="Cambria Math" w:cstheme="majorBidi"/>
                <w:sz w:val="24"/>
                <w:szCs w:val="24"/>
                <w:lang w:bidi="fa-IR"/>
              </w:rPr>
              <m:t>CȮM</m:t>
            </m:r>
          </m:num>
          <m:den>
            <m:sSub>
              <m:sSubPr>
                <m:ctrlPr>
                  <w:rPr>
                    <w:rFonts w:ascii="Cambria Math" w:hAnsi="Cambria Math" w:cstheme="majorBidi"/>
                    <w:i/>
                    <w:iCs/>
                    <w:sz w:val="24"/>
                    <w:szCs w:val="24"/>
                    <w:lang w:bidi="fa-IR"/>
                  </w:rPr>
                </m:ctrlPr>
              </m:sSubPr>
              <m:e>
                <m:r>
                  <w:rPr>
                    <w:rFonts w:ascii="Cambria Math" w:hAnsi="Cambria Math" w:cstheme="majorBidi"/>
                    <w:sz w:val="24"/>
                    <w:szCs w:val="24"/>
                    <w:lang w:bidi="fa-IR"/>
                  </w:rPr>
                  <m:t>ω</m:t>
                </m:r>
              </m:e>
              <m:sub>
                <m:r>
                  <w:rPr>
                    <w:rFonts w:ascii="Cambria Math" w:hAnsi="Cambria Math" w:cstheme="majorBidi"/>
                    <w:sz w:val="24"/>
                    <w:szCs w:val="24"/>
                    <w:lang w:bidi="fa-IR"/>
                  </w:rPr>
                  <m:t>0</m:t>
                </m:r>
              </m:sub>
            </m:sSub>
          </m:den>
        </m:f>
      </m:oMath>
      <w:r w:rsidRPr="001763D9">
        <w:rPr>
          <w:rFonts w:asciiTheme="majorBidi" w:hAnsiTheme="majorBidi" w:cstheme="majorBidi"/>
          <w:sz w:val="24"/>
          <w:szCs w:val="24"/>
          <w:lang w:bidi="fa-IR"/>
        </w:rPr>
        <w:t xml:space="preserve">,           </w:t>
      </w:r>
      <m:oMath>
        <m:sSub>
          <m:sSubPr>
            <m:ctrlPr>
              <w:rPr>
                <w:rFonts w:ascii="Cambria Math" w:hAnsi="Cambria Math" w:cstheme="majorBidi"/>
                <w:i/>
                <w:sz w:val="24"/>
                <w:szCs w:val="24"/>
                <w:lang w:bidi="fa-IR"/>
              </w:rPr>
            </m:ctrlPr>
          </m:sSubPr>
          <m:e>
            <m:r>
              <w:rPr>
                <w:rFonts w:ascii="Cambria Math" w:hAnsi="Cambria Math" w:cstheme="majorBidi"/>
                <w:sz w:val="24"/>
                <w:szCs w:val="24"/>
                <w:lang w:bidi="fa-IR"/>
              </w:rPr>
              <m:t>ω</m:t>
            </m:r>
          </m:e>
          <m:sub>
            <m:r>
              <w:rPr>
                <w:rFonts w:ascii="Cambria Math" w:hAnsi="Cambria Math" w:cstheme="majorBidi"/>
                <w:sz w:val="24"/>
                <w:szCs w:val="24"/>
                <w:lang w:bidi="fa-IR"/>
              </w:rPr>
              <m:t>0</m:t>
            </m:r>
          </m:sub>
        </m:sSub>
        <m:r>
          <w:rPr>
            <w:rFonts w:ascii="Cambria Math" w:hAnsi="Cambria Math" w:cstheme="majorBidi"/>
            <w:sz w:val="24"/>
            <w:szCs w:val="24"/>
            <w:lang w:bidi="fa-IR"/>
          </w:rPr>
          <m:t>=</m:t>
        </m:r>
        <m:rad>
          <m:radPr>
            <m:degHide m:val="1"/>
            <m:ctrlPr>
              <w:rPr>
                <w:rFonts w:ascii="Cambria Math" w:hAnsi="Cambria Math" w:cstheme="majorBidi"/>
                <w:i/>
                <w:sz w:val="24"/>
                <w:szCs w:val="24"/>
                <w:lang w:bidi="fa-IR"/>
              </w:rPr>
            </m:ctrlPr>
          </m:radPr>
          <m:deg/>
          <m:e>
            <m:f>
              <m:fPr>
                <m:type m:val="skw"/>
                <m:ctrlPr>
                  <w:rPr>
                    <w:rFonts w:ascii="Cambria Math" w:hAnsi="Cambria Math" w:cstheme="majorBidi"/>
                    <w:i/>
                    <w:sz w:val="24"/>
                    <w:szCs w:val="24"/>
                    <w:lang w:bidi="fa-IR"/>
                  </w:rPr>
                </m:ctrlPr>
              </m:fPr>
              <m:num>
                <m:r>
                  <w:rPr>
                    <w:rFonts w:ascii="Cambria Math" w:hAnsi="Cambria Math" w:cstheme="majorBidi"/>
                    <w:sz w:val="24"/>
                    <w:szCs w:val="24"/>
                    <w:lang w:bidi="fa-IR"/>
                  </w:rPr>
                  <m:t>g</m:t>
                </m:r>
              </m:num>
              <m:den>
                <m:r>
                  <w:rPr>
                    <w:rFonts w:ascii="Cambria Math" w:hAnsi="Cambria Math" w:cstheme="majorBidi"/>
                    <w:sz w:val="24"/>
                    <w:szCs w:val="24"/>
                    <w:lang w:bidi="fa-IR"/>
                  </w:rPr>
                  <m:t>l</m:t>
                </m:r>
              </m:den>
            </m:f>
          </m:e>
        </m:rad>
      </m:oMath>
      <w:r w:rsidRPr="001763D9">
        <w:rPr>
          <w:rFonts w:asciiTheme="majorBidi" w:hAnsiTheme="majorBidi" w:cstheme="majorBidi"/>
          <w:sz w:val="24"/>
          <w:szCs w:val="24"/>
          <w:lang w:bidi="fa-IR"/>
        </w:rPr>
        <w:t xml:space="preserve">             (1)</w:t>
      </w:r>
    </w:p>
    <w:p w14:paraId="59962001" w14:textId="3074F8EA"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  </w:t>
      </w:r>
      <m:oMath>
        <m:r>
          <w:rPr>
            <w:rFonts w:ascii="Cambria Math" w:hAnsi="Cambria Math" w:cstheme="majorBidi"/>
            <w:sz w:val="24"/>
            <w:szCs w:val="24"/>
            <w:lang w:bidi="fa-IR"/>
          </w:rPr>
          <m:t>MoS=BoS-XcoM</m:t>
        </m:r>
      </m:oMath>
      <w:r w:rsidR="00B408EF">
        <w:rPr>
          <w:rFonts w:asciiTheme="majorBidi" w:hAnsiTheme="majorBidi" w:cstheme="majorBidi"/>
          <w:sz w:val="24"/>
          <w:szCs w:val="24"/>
          <w:lang w:bidi="fa-IR"/>
        </w:rPr>
        <w:tab/>
      </w:r>
      <w:r w:rsidR="00B408EF">
        <w:rPr>
          <w:rFonts w:asciiTheme="majorBidi" w:hAnsiTheme="majorBidi" w:cstheme="majorBidi"/>
          <w:sz w:val="24"/>
          <w:szCs w:val="24"/>
          <w:lang w:bidi="fa-IR"/>
        </w:rPr>
        <w:tab/>
      </w:r>
      <w:r w:rsidR="00B408EF">
        <w:rPr>
          <w:rFonts w:asciiTheme="majorBidi" w:hAnsiTheme="majorBidi" w:cstheme="majorBidi"/>
          <w:sz w:val="24"/>
          <w:szCs w:val="24"/>
          <w:lang w:bidi="fa-IR"/>
        </w:rPr>
        <w:tab/>
        <w:t xml:space="preserve">    </w:t>
      </w:r>
      <w:r w:rsidRPr="001763D9">
        <w:rPr>
          <w:rFonts w:asciiTheme="majorBidi" w:hAnsiTheme="majorBidi" w:cstheme="majorBidi"/>
          <w:sz w:val="24"/>
          <w:szCs w:val="24"/>
          <w:lang w:bidi="fa-IR"/>
        </w:rPr>
        <w:tab/>
        <w:t>(2)</w:t>
      </w:r>
    </w:p>
    <w:p w14:paraId="6F56AD3D" w14:textId="414E592E" w:rsidR="00A17EDA" w:rsidRPr="001763D9" w:rsidRDefault="00A17EDA"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where </w:t>
      </w:r>
      <w:r w:rsidR="00306CE8">
        <w:rPr>
          <w:rFonts w:asciiTheme="majorBidi" w:hAnsiTheme="majorBidi" w:cstheme="majorBidi"/>
          <w:i/>
          <w:iCs/>
          <w:sz w:val="24"/>
          <w:szCs w:val="24"/>
          <w:lang w:bidi="fa-IR"/>
        </w:rPr>
        <w:t>Co</w:t>
      </w:r>
      <w:r w:rsidRPr="001763D9">
        <w:rPr>
          <w:rFonts w:asciiTheme="majorBidi" w:hAnsiTheme="majorBidi" w:cstheme="majorBidi"/>
          <w:i/>
          <w:iCs/>
          <w:sz w:val="24"/>
          <w:szCs w:val="24"/>
          <w:lang w:bidi="fa-IR"/>
        </w:rPr>
        <w:t>M</w:t>
      </w:r>
      <w:r w:rsidRPr="001763D9">
        <w:rPr>
          <w:rFonts w:asciiTheme="majorBidi" w:hAnsiTheme="majorBidi" w:cstheme="majorBidi"/>
          <w:sz w:val="24"/>
          <w:szCs w:val="24"/>
          <w:lang w:bidi="fa-IR"/>
        </w:rPr>
        <w:t xml:space="preserve"> and </w:t>
      </w:r>
      <w:r w:rsidRPr="001763D9">
        <w:rPr>
          <w:rFonts w:asciiTheme="majorBidi" w:hAnsiTheme="majorBidi" w:cstheme="majorBidi"/>
          <w:i/>
          <w:iCs/>
          <w:sz w:val="24"/>
          <w:szCs w:val="24"/>
          <w:lang w:bidi="fa-IR"/>
        </w:rPr>
        <w:t>CȮM</w:t>
      </w:r>
      <w:r w:rsidRPr="001763D9">
        <w:rPr>
          <w:rFonts w:asciiTheme="majorBidi" w:hAnsiTheme="majorBidi" w:cstheme="majorBidi"/>
          <w:sz w:val="24"/>
          <w:szCs w:val="24"/>
          <w:lang w:bidi="fa-IR"/>
        </w:rPr>
        <w:t xml:space="preserve"> are the </w:t>
      </w:r>
      <w:r w:rsidR="00306CE8">
        <w:rPr>
          <w:rFonts w:asciiTheme="majorBidi" w:hAnsiTheme="majorBidi" w:cstheme="majorBidi"/>
          <w:sz w:val="24"/>
          <w:szCs w:val="24"/>
          <w:lang w:bidi="fa-IR"/>
        </w:rPr>
        <w:t>position and velocity of Co</w:t>
      </w:r>
      <w:r w:rsidRPr="001763D9">
        <w:rPr>
          <w:rFonts w:asciiTheme="majorBidi" w:hAnsiTheme="majorBidi" w:cstheme="majorBidi"/>
          <w:sz w:val="24"/>
          <w:szCs w:val="24"/>
          <w:lang w:bidi="fa-IR"/>
        </w:rPr>
        <w:t xml:space="preserve">M in either sagittal or frontal planes, </w:t>
      </w:r>
      <w:r w:rsidRPr="001763D9">
        <w:rPr>
          <w:rFonts w:asciiTheme="majorBidi" w:hAnsiTheme="majorBidi" w:cstheme="majorBidi"/>
          <w:i/>
          <w:iCs/>
          <w:sz w:val="24"/>
          <w:szCs w:val="24"/>
          <w:lang w:bidi="fa-IR"/>
        </w:rPr>
        <w:t xml:space="preserve">g </w:t>
      </w:r>
      <w:r w:rsidRPr="001763D9">
        <w:rPr>
          <w:rFonts w:asciiTheme="majorBidi" w:hAnsiTheme="majorBidi" w:cstheme="majorBidi"/>
          <w:sz w:val="24"/>
          <w:szCs w:val="24"/>
          <w:lang w:bidi="fa-IR"/>
        </w:rPr>
        <w:t>= 9.81 m/s</w:t>
      </w:r>
      <w:r w:rsidRPr="001763D9">
        <w:rPr>
          <w:rFonts w:asciiTheme="majorBidi" w:hAnsiTheme="majorBidi" w:cstheme="majorBidi"/>
          <w:sz w:val="24"/>
          <w:szCs w:val="24"/>
          <w:vertAlign w:val="superscript"/>
          <w:lang w:bidi="fa-IR"/>
        </w:rPr>
        <w:t>2</w:t>
      </w:r>
      <w:r w:rsidRPr="001763D9">
        <w:rPr>
          <w:rFonts w:asciiTheme="majorBidi" w:hAnsiTheme="majorBidi" w:cstheme="majorBidi"/>
          <w:sz w:val="24"/>
          <w:szCs w:val="24"/>
          <w:lang w:bidi="fa-IR"/>
        </w:rPr>
        <w:t xml:space="preserve"> is the gravitational constant and </w:t>
      </w:r>
      <w:r w:rsidRPr="001763D9">
        <w:rPr>
          <w:rFonts w:asciiTheme="majorBidi" w:hAnsiTheme="majorBidi" w:cstheme="majorBidi"/>
          <w:i/>
          <w:iCs/>
          <w:sz w:val="24"/>
          <w:szCs w:val="24"/>
          <w:lang w:bidi="fa-IR"/>
        </w:rPr>
        <w:t>l</w:t>
      </w:r>
      <w:r w:rsidR="00306CE8">
        <w:rPr>
          <w:rFonts w:asciiTheme="majorBidi" w:hAnsiTheme="majorBidi" w:cstheme="majorBidi"/>
          <w:sz w:val="24"/>
          <w:szCs w:val="24"/>
          <w:lang w:bidi="fa-IR"/>
        </w:rPr>
        <w:t xml:space="preserve"> is the distance between Co</w:t>
      </w:r>
      <w:r w:rsidRPr="001763D9">
        <w:rPr>
          <w:rFonts w:asciiTheme="majorBidi" w:hAnsiTheme="majorBidi" w:cstheme="majorBidi"/>
          <w:sz w:val="24"/>
          <w:szCs w:val="24"/>
          <w:lang w:bidi="fa-IR"/>
        </w:rPr>
        <w:t>M and the lateral heel marker at heel strike (≈leg length).</w:t>
      </w:r>
    </w:p>
    <w:p w14:paraId="6B40FD0F" w14:textId="29D44441" w:rsidR="00A17EDA" w:rsidRPr="001763D9" w:rsidRDefault="00306CE8" w:rsidP="007A6842">
      <w:pPr>
        <w:spacing w:line="480" w:lineRule="auto"/>
        <w:rPr>
          <w:rFonts w:asciiTheme="majorBidi" w:hAnsiTheme="majorBidi" w:cstheme="majorBidi"/>
          <w:sz w:val="24"/>
          <w:szCs w:val="24"/>
        </w:rPr>
      </w:pPr>
      <w:r>
        <w:rPr>
          <w:rFonts w:asciiTheme="majorBidi" w:hAnsiTheme="majorBidi" w:cstheme="majorBidi"/>
          <w:sz w:val="24"/>
          <w:szCs w:val="24"/>
          <w:lang w:bidi="fa-IR"/>
        </w:rPr>
        <w:t>The sagittal border of Bo</w:t>
      </w:r>
      <w:r w:rsidR="00A17EDA" w:rsidRPr="001763D9">
        <w:rPr>
          <w:rFonts w:asciiTheme="majorBidi" w:hAnsiTheme="majorBidi" w:cstheme="majorBidi"/>
          <w:sz w:val="24"/>
          <w:szCs w:val="24"/>
          <w:lang w:bidi="fa-IR"/>
        </w:rPr>
        <w:t>S was defined by the anterior-posterior position of the toe marke</w:t>
      </w:r>
      <w:r>
        <w:rPr>
          <w:rFonts w:asciiTheme="majorBidi" w:hAnsiTheme="majorBidi" w:cstheme="majorBidi"/>
          <w:sz w:val="24"/>
          <w:szCs w:val="24"/>
          <w:lang w:bidi="fa-IR"/>
        </w:rPr>
        <w:t>r while the frontal border of Bo</w:t>
      </w:r>
      <w:r w:rsidR="00A17EDA" w:rsidRPr="001763D9">
        <w:rPr>
          <w:rFonts w:asciiTheme="majorBidi" w:hAnsiTheme="majorBidi" w:cstheme="majorBidi"/>
          <w:sz w:val="24"/>
          <w:szCs w:val="24"/>
          <w:lang w:bidi="fa-IR"/>
        </w:rPr>
        <w:t>S was considered as the medio-lateral position of a lateral marker placed exactly on the most lateral aspects of the rocker apex for shod conditions, and on 5</w:t>
      </w:r>
      <w:r w:rsidR="00A17EDA" w:rsidRPr="001763D9">
        <w:rPr>
          <w:rFonts w:asciiTheme="majorBidi" w:hAnsiTheme="majorBidi" w:cstheme="majorBidi"/>
          <w:sz w:val="24"/>
          <w:szCs w:val="24"/>
          <w:vertAlign w:val="superscript"/>
          <w:lang w:bidi="fa-IR"/>
        </w:rPr>
        <w:t>th</w:t>
      </w:r>
      <w:r w:rsidR="00A17EDA" w:rsidRPr="001763D9">
        <w:rPr>
          <w:rFonts w:asciiTheme="majorBidi" w:hAnsiTheme="majorBidi" w:cstheme="majorBidi"/>
          <w:sz w:val="24"/>
          <w:szCs w:val="24"/>
          <w:lang w:bidi="fa-IR"/>
        </w:rPr>
        <w:t xml:space="preserve"> metatarsal head for barefoot condition. </w:t>
      </w:r>
      <w:r w:rsidR="004F4EE9">
        <w:rPr>
          <w:rFonts w:asciiTheme="majorBidi" w:hAnsiTheme="majorBidi" w:cstheme="majorBidi"/>
          <w:sz w:val="24"/>
          <w:szCs w:val="24"/>
          <w:lang w:bidi="fa-IR"/>
        </w:rPr>
        <w:t xml:space="preserve">Sagittal </w:t>
      </w:r>
      <w:r w:rsidR="007A6842">
        <w:rPr>
          <w:rFonts w:asciiTheme="majorBidi" w:hAnsiTheme="majorBidi" w:cstheme="majorBidi"/>
          <w:sz w:val="24"/>
          <w:szCs w:val="24"/>
          <w:lang w:bidi="fa-IR"/>
        </w:rPr>
        <w:t xml:space="preserve">and frontal </w:t>
      </w:r>
      <w:r w:rsidR="004F4EE9">
        <w:rPr>
          <w:rFonts w:asciiTheme="majorBidi" w:hAnsiTheme="majorBidi" w:cstheme="majorBidi"/>
          <w:sz w:val="24"/>
          <w:szCs w:val="24"/>
          <w:lang w:bidi="fa-IR"/>
        </w:rPr>
        <w:t>margin of stability (</w:t>
      </w:r>
      <w:r>
        <w:rPr>
          <w:rFonts w:asciiTheme="majorBidi" w:hAnsiTheme="majorBidi" w:cstheme="majorBidi"/>
          <w:sz w:val="24"/>
          <w:szCs w:val="24"/>
          <w:lang w:bidi="fa-IR"/>
        </w:rPr>
        <w:t>SMo</w:t>
      </w:r>
      <w:r w:rsidR="00A17EDA">
        <w:rPr>
          <w:rFonts w:asciiTheme="majorBidi" w:hAnsiTheme="majorBidi" w:cstheme="majorBidi"/>
          <w:sz w:val="24"/>
          <w:szCs w:val="24"/>
          <w:lang w:bidi="fa-IR"/>
        </w:rPr>
        <w:t>S</w:t>
      </w:r>
      <w:r>
        <w:rPr>
          <w:rFonts w:asciiTheme="majorBidi" w:hAnsiTheme="majorBidi" w:cstheme="majorBidi"/>
          <w:sz w:val="24"/>
          <w:szCs w:val="24"/>
          <w:lang w:bidi="fa-IR"/>
        </w:rPr>
        <w:t xml:space="preserve"> and FMo</w:t>
      </w:r>
      <w:r w:rsidR="007A6842">
        <w:rPr>
          <w:rFonts w:asciiTheme="majorBidi" w:hAnsiTheme="majorBidi" w:cstheme="majorBidi"/>
          <w:sz w:val="24"/>
          <w:szCs w:val="24"/>
          <w:lang w:bidi="fa-IR"/>
        </w:rPr>
        <w:t>S</w:t>
      </w:r>
      <w:r w:rsidR="004F4EE9">
        <w:rPr>
          <w:rFonts w:asciiTheme="majorBidi" w:hAnsiTheme="majorBidi" w:cstheme="majorBidi"/>
          <w:sz w:val="24"/>
          <w:szCs w:val="24"/>
          <w:lang w:bidi="fa-IR"/>
        </w:rPr>
        <w:t>)</w:t>
      </w:r>
      <w:r w:rsidR="007A6842">
        <w:rPr>
          <w:rFonts w:asciiTheme="majorBidi" w:hAnsiTheme="majorBidi" w:cstheme="majorBidi"/>
          <w:sz w:val="24"/>
          <w:szCs w:val="24"/>
          <w:lang w:bidi="fa-IR"/>
        </w:rPr>
        <w:t xml:space="preserve"> </w:t>
      </w:r>
      <w:r w:rsidR="00A17EDA" w:rsidRPr="001763D9">
        <w:rPr>
          <w:rFonts w:asciiTheme="majorBidi" w:hAnsiTheme="majorBidi" w:cstheme="majorBidi"/>
          <w:sz w:val="24"/>
          <w:szCs w:val="24"/>
          <w:lang w:bidi="fa-IR"/>
        </w:rPr>
        <w:t>of each step were calculated instantaneously over the stance phase. The stance phase was determined as the time points between each heel strik</w:t>
      </w:r>
      <w:r>
        <w:rPr>
          <w:rFonts w:asciiTheme="majorBidi" w:hAnsiTheme="majorBidi" w:cstheme="majorBidi"/>
          <w:sz w:val="24"/>
          <w:szCs w:val="24"/>
          <w:lang w:bidi="fa-IR"/>
        </w:rPr>
        <w:t>e and the subsequent toe off. Mo</w:t>
      </w:r>
      <w:r w:rsidR="00A17EDA" w:rsidRPr="001763D9">
        <w:rPr>
          <w:rFonts w:asciiTheme="majorBidi" w:hAnsiTheme="majorBidi" w:cstheme="majorBidi"/>
          <w:sz w:val="24"/>
          <w:szCs w:val="24"/>
          <w:lang w:bidi="fa-IR"/>
        </w:rPr>
        <w:t>S mean was calculated as</w:t>
      </w:r>
      <w:r>
        <w:rPr>
          <w:rFonts w:asciiTheme="majorBidi" w:hAnsiTheme="majorBidi" w:cstheme="majorBidi"/>
          <w:sz w:val="24"/>
          <w:szCs w:val="24"/>
          <w:lang w:bidi="fa-IR"/>
        </w:rPr>
        <w:t xml:space="preserve"> the average of instantaneous Mo</w:t>
      </w:r>
      <w:r w:rsidR="00A17EDA" w:rsidRPr="001763D9">
        <w:rPr>
          <w:rFonts w:asciiTheme="majorBidi" w:hAnsiTheme="majorBidi" w:cstheme="majorBidi"/>
          <w:sz w:val="24"/>
          <w:szCs w:val="24"/>
          <w:lang w:bidi="fa-IR"/>
        </w:rPr>
        <w:t>S values over each step for all</w:t>
      </w:r>
      <w:r>
        <w:rPr>
          <w:rFonts w:asciiTheme="majorBidi" w:hAnsiTheme="majorBidi" w:cstheme="majorBidi"/>
          <w:sz w:val="24"/>
          <w:szCs w:val="24"/>
          <w:lang w:bidi="fa-IR"/>
        </w:rPr>
        <w:t xml:space="preserve"> steps. Standard deviation of Mo</w:t>
      </w:r>
      <w:r w:rsidR="00A17EDA" w:rsidRPr="001763D9">
        <w:rPr>
          <w:rFonts w:asciiTheme="majorBidi" w:hAnsiTheme="majorBidi" w:cstheme="majorBidi"/>
          <w:sz w:val="24"/>
          <w:szCs w:val="24"/>
          <w:lang w:bidi="fa-IR"/>
        </w:rPr>
        <w:t xml:space="preserve">S </w:t>
      </w:r>
      <w:r w:rsidR="00A17EDA" w:rsidRPr="001763D9">
        <w:rPr>
          <w:rFonts w:asciiTheme="majorBidi" w:hAnsiTheme="majorBidi" w:cstheme="majorBidi"/>
          <w:sz w:val="24"/>
          <w:szCs w:val="24"/>
          <w:lang w:bidi="fa-IR"/>
        </w:rPr>
        <w:lastRenderedPageBreak/>
        <w:t>of consecutive steps w</w:t>
      </w:r>
      <w:r>
        <w:rPr>
          <w:rFonts w:asciiTheme="majorBidi" w:hAnsiTheme="majorBidi" w:cstheme="majorBidi"/>
          <w:sz w:val="24"/>
          <w:szCs w:val="24"/>
          <w:lang w:bidi="fa-IR"/>
        </w:rPr>
        <w:t>as also calculated to measure Mo</w:t>
      </w:r>
      <w:r w:rsidR="00A17EDA" w:rsidRPr="001763D9">
        <w:rPr>
          <w:rFonts w:asciiTheme="majorBidi" w:hAnsiTheme="majorBidi" w:cstheme="majorBidi"/>
          <w:sz w:val="24"/>
          <w:szCs w:val="24"/>
          <w:lang w:bidi="fa-IR"/>
        </w:rPr>
        <w:t>S variability. All steps were time-normalized to 101 data points (0-100%) to remove the effect of walking speed on mean and variability measu</w:t>
      </w:r>
      <w:r>
        <w:rPr>
          <w:rFonts w:asciiTheme="majorBidi" w:hAnsiTheme="majorBidi" w:cstheme="majorBidi"/>
          <w:sz w:val="24"/>
          <w:szCs w:val="24"/>
          <w:lang w:bidi="fa-IR"/>
        </w:rPr>
        <w:t>res. Mean and variability of SMoS and FMo</w:t>
      </w:r>
      <w:r w:rsidR="00A17EDA" w:rsidRPr="001763D9">
        <w:rPr>
          <w:rFonts w:asciiTheme="majorBidi" w:hAnsiTheme="majorBidi" w:cstheme="majorBidi"/>
          <w:sz w:val="24"/>
          <w:szCs w:val="24"/>
          <w:lang w:bidi="fa-IR"/>
        </w:rPr>
        <w:t xml:space="preserve">S were the primary outcome measures of the study. </w:t>
      </w:r>
      <w:r w:rsidR="007A6842">
        <w:rPr>
          <w:rFonts w:asciiTheme="majorBidi" w:hAnsiTheme="majorBidi" w:cstheme="majorBidi"/>
          <w:sz w:val="24"/>
          <w:szCs w:val="24"/>
          <w:lang w:bidi="fa-IR"/>
        </w:rPr>
        <w:t>Step length (</w:t>
      </w:r>
      <w:r w:rsidR="00A17EDA">
        <w:rPr>
          <w:rFonts w:asciiTheme="majorBidi" w:hAnsiTheme="majorBidi" w:cstheme="majorBidi"/>
          <w:sz w:val="24"/>
          <w:szCs w:val="24"/>
          <w:lang w:bidi="fa-IR"/>
        </w:rPr>
        <w:t>SL</w:t>
      </w:r>
      <w:r w:rsidR="007A6842">
        <w:rPr>
          <w:rFonts w:asciiTheme="majorBidi" w:hAnsiTheme="majorBidi" w:cstheme="majorBidi"/>
          <w:sz w:val="24"/>
          <w:szCs w:val="24"/>
          <w:lang w:bidi="fa-IR"/>
        </w:rPr>
        <w:t>)</w:t>
      </w:r>
      <w:r w:rsidR="00A17EDA">
        <w:rPr>
          <w:rFonts w:asciiTheme="majorBidi" w:hAnsiTheme="majorBidi" w:cstheme="majorBidi"/>
          <w:sz w:val="24"/>
          <w:szCs w:val="24"/>
          <w:lang w:bidi="fa-IR"/>
        </w:rPr>
        <w:t xml:space="preserve">, </w:t>
      </w:r>
      <w:r w:rsidR="007A6842">
        <w:rPr>
          <w:rFonts w:asciiTheme="majorBidi" w:hAnsiTheme="majorBidi" w:cstheme="majorBidi"/>
          <w:sz w:val="24"/>
          <w:szCs w:val="24"/>
          <w:lang w:bidi="fa-IR"/>
        </w:rPr>
        <w:t>step length variability (</w:t>
      </w:r>
      <w:r w:rsidR="00A17EDA">
        <w:rPr>
          <w:rFonts w:asciiTheme="majorBidi" w:hAnsiTheme="majorBidi" w:cstheme="majorBidi"/>
          <w:sz w:val="24"/>
          <w:szCs w:val="24"/>
          <w:lang w:bidi="fa-IR"/>
        </w:rPr>
        <w:t>SLV</w:t>
      </w:r>
      <w:r w:rsidR="007A6842">
        <w:rPr>
          <w:rFonts w:asciiTheme="majorBidi" w:hAnsiTheme="majorBidi" w:cstheme="majorBidi"/>
          <w:sz w:val="24"/>
          <w:szCs w:val="24"/>
          <w:lang w:bidi="fa-IR"/>
        </w:rPr>
        <w:t>)</w:t>
      </w:r>
      <w:r w:rsidR="00A17EDA">
        <w:rPr>
          <w:rFonts w:asciiTheme="majorBidi" w:hAnsiTheme="majorBidi" w:cstheme="majorBidi"/>
          <w:sz w:val="24"/>
          <w:szCs w:val="24"/>
          <w:lang w:bidi="fa-IR"/>
        </w:rPr>
        <w:t>,</w:t>
      </w:r>
      <w:r w:rsidR="007A6842">
        <w:rPr>
          <w:rFonts w:asciiTheme="majorBidi" w:hAnsiTheme="majorBidi" w:cstheme="majorBidi"/>
          <w:sz w:val="24"/>
          <w:szCs w:val="24"/>
          <w:lang w:bidi="fa-IR"/>
        </w:rPr>
        <w:t xml:space="preserve"> step width</w:t>
      </w:r>
      <w:r w:rsidR="00A17EDA">
        <w:rPr>
          <w:rFonts w:asciiTheme="majorBidi" w:hAnsiTheme="majorBidi" w:cstheme="majorBidi"/>
          <w:sz w:val="24"/>
          <w:szCs w:val="24"/>
          <w:lang w:bidi="fa-IR"/>
        </w:rPr>
        <w:t xml:space="preserve"> </w:t>
      </w:r>
      <w:r w:rsidR="007A6842">
        <w:rPr>
          <w:rFonts w:asciiTheme="majorBidi" w:hAnsiTheme="majorBidi" w:cstheme="majorBidi"/>
          <w:sz w:val="24"/>
          <w:szCs w:val="24"/>
          <w:lang w:bidi="fa-IR"/>
        </w:rPr>
        <w:t>(</w:t>
      </w:r>
      <w:r w:rsidR="00A17EDA">
        <w:rPr>
          <w:rFonts w:asciiTheme="majorBidi" w:hAnsiTheme="majorBidi" w:cstheme="majorBidi"/>
          <w:sz w:val="24"/>
          <w:szCs w:val="24"/>
          <w:lang w:bidi="fa-IR"/>
        </w:rPr>
        <w:t>SW</w:t>
      </w:r>
      <w:r w:rsidR="007A6842">
        <w:rPr>
          <w:rFonts w:asciiTheme="majorBidi" w:hAnsiTheme="majorBidi" w:cstheme="majorBidi"/>
          <w:sz w:val="24"/>
          <w:szCs w:val="24"/>
          <w:lang w:bidi="fa-IR"/>
        </w:rPr>
        <w:t>)</w:t>
      </w:r>
      <w:r w:rsidR="00A17EDA">
        <w:rPr>
          <w:rFonts w:asciiTheme="majorBidi" w:hAnsiTheme="majorBidi" w:cstheme="majorBidi"/>
          <w:sz w:val="24"/>
          <w:szCs w:val="24"/>
          <w:lang w:bidi="fa-IR"/>
        </w:rPr>
        <w:t xml:space="preserve">, </w:t>
      </w:r>
      <w:r w:rsidR="007A6842">
        <w:rPr>
          <w:rFonts w:asciiTheme="majorBidi" w:hAnsiTheme="majorBidi" w:cstheme="majorBidi"/>
          <w:sz w:val="24"/>
          <w:szCs w:val="24"/>
          <w:lang w:bidi="fa-IR"/>
        </w:rPr>
        <w:t>step width variability (</w:t>
      </w:r>
      <w:r w:rsidR="00A17EDA">
        <w:rPr>
          <w:rFonts w:asciiTheme="majorBidi" w:hAnsiTheme="majorBidi" w:cstheme="majorBidi"/>
          <w:sz w:val="24"/>
          <w:szCs w:val="24"/>
          <w:lang w:bidi="fa-IR"/>
        </w:rPr>
        <w:t>SWV</w:t>
      </w:r>
      <w:r w:rsidR="007A6842">
        <w:rPr>
          <w:rFonts w:asciiTheme="majorBidi" w:hAnsiTheme="majorBidi" w:cstheme="majorBidi"/>
          <w:sz w:val="24"/>
          <w:szCs w:val="24"/>
          <w:lang w:bidi="fa-IR"/>
        </w:rPr>
        <w:t>)</w:t>
      </w:r>
      <w:r w:rsidR="00A17EDA">
        <w:rPr>
          <w:rFonts w:asciiTheme="majorBidi" w:hAnsiTheme="majorBidi" w:cstheme="majorBidi"/>
          <w:sz w:val="24"/>
          <w:szCs w:val="24"/>
          <w:lang w:bidi="fa-IR"/>
        </w:rPr>
        <w:t>,</w:t>
      </w:r>
      <w:r w:rsidR="00A17EDA" w:rsidRPr="001763D9">
        <w:rPr>
          <w:rFonts w:asciiTheme="majorBidi" w:hAnsiTheme="majorBidi" w:cstheme="majorBidi"/>
          <w:sz w:val="24"/>
          <w:szCs w:val="24"/>
        </w:rPr>
        <w:t xml:space="preserve"> as well as walking speed and cadence were also measured as the secondary outcome measures in order to understand possible gait adaptations at each group. </w:t>
      </w:r>
    </w:p>
    <w:p w14:paraId="37392B0D" w14:textId="77777777" w:rsidR="00A17EDA" w:rsidRPr="001763D9" w:rsidRDefault="00A17EDA"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t>2.5. Statistics</w:t>
      </w:r>
    </w:p>
    <w:p w14:paraId="27355C47" w14:textId="5E91AAEC" w:rsidR="00DD093D" w:rsidRPr="001763D9" w:rsidRDefault="00A17EDA" w:rsidP="00701591">
      <w:pPr>
        <w:spacing w:line="480" w:lineRule="auto"/>
        <w:rPr>
          <w:rFonts w:asciiTheme="majorBidi" w:hAnsiTheme="majorBidi" w:cstheme="majorBidi"/>
          <w:sz w:val="24"/>
          <w:szCs w:val="24"/>
        </w:rPr>
      </w:pPr>
      <w:r w:rsidRPr="001763D9">
        <w:rPr>
          <w:rFonts w:asciiTheme="majorBidi" w:hAnsiTheme="majorBidi" w:cstheme="majorBidi"/>
          <w:sz w:val="24"/>
          <w:szCs w:val="24"/>
        </w:rPr>
        <w:t xml:space="preserve">A linear mixed model </w:t>
      </w:r>
      <w:r w:rsidR="00015C54">
        <w:rPr>
          <w:rFonts w:asciiTheme="majorBidi" w:hAnsiTheme="majorBidi" w:cstheme="majorBidi"/>
          <w:sz w:val="24"/>
          <w:szCs w:val="24"/>
        </w:rPr>
        <w:t xml:space="preserve">(LMM) </w:t>
      </w:r>
      <w:r w:rsidRPr="001763D9">
        <w:rPr>
          <w:rFonts w:asciiTheme="majorBidi" w:hAnsiTheme="majorBidi" w:cstheme="majorBidi"/>
          <w:sz w:val="24"/>
          <w:szCs w:val="24"/>
        </w:rPr>
        <w:t xml:space="preserve">was applied with </w:t>
      </w:r>
      <w:r w:rsidRPr="001763D9">
        <w:rPr>
          <w:rFonts w:asciiTheme="majorBidi" w:hAnsiTheme="majorBidi" w:cstheme="majorBidi"/>
          <w:i/>
          <w:iCs/>
          <w:sz w:val="24"/>
          <w:szCs w:val="24"/>
        </w:rPr>
        <w:t>Experimental Condition</w:t>
      </w:r>
      <w:r w:rsidRPr="001763D9">
        <w:rPr>
          <w:rFonts w:asciiTheme="majorBidi" w:hAnsiTheme="majorBidi" w:cstheme="majorBidi"/>
          <w:sz w:val="24"/>
          <w:szCs w:val="24"/>
        </w:rPr>
        <w:t xml:space="preserve"> (barefoot, R10, R15, and R20) as the first predictor variable, and </w:t>
      </w:r>
      <w:r w:rsidRPr="001763D9">
        <w:rPr>
          <w:rFonts w:asciiTheme="majorBidi" w:hAnsiTheme="majorBidi" w:cstheme="majorBidi"/>
          <w:i/>
          <w:iCs/>
          <w:sz w:val="24"/>
          <w:szCs w:val="24"/>
        </w:rPr>
        <w:t xml:space="preserve">Group </w:t>
      </w:r>
      <w:r w:rsidRPr="001763D9">
        <w:rPr>
          <w:rFonts w:asciiTheme="majorBidi" w:hAnsiTheme="majorBidi" w:cstheme="majorBidi"/>
          <w:sz w:val="24"/>
          <w:szCs w:val="24"/>
        </w:rPr>
        <w:t>as</w:t>
      </w:r>
      <w:r w:rsidRPr="001763D9">
        <w:rPr>
          <w:rFonts w:asciiTheme="majorBidi" w:hAnsiTheme="majorBidi" w:cstheme="majorBidi"/>
          <w:i/>
          <w:iCs/>
          <w:sz w:val="24"/>
          <w:szCs w:val="24"/>
        </w:rPr>
        <w:t xml:space="preserve"> the </w:t>
      </w:r>
      <w:r w:rsidRPr="001763D9">
        <w:rPr>
          <w:rFonts w:asciiTheme="majorBidi" w:hAnsiTheme="majorBidi" w:cstheme="majorBidi"/>
          <w:sz w:val="24"/>
          <w:szCs w:val="24"/>
        </w:rPr>
        <w:t xml:space="preserve">second predictor variable to compare the effect between NDPs, Non-NDPs and healthy individuals. This model was implemented for each outcome variable separately. The model predictors were </w:t>
      </w:r>
      <w:r w:rsidR="0002134A" w:rsidRPr="001763D9">
        <w:rPr>
          <w:rFonts w:asciiTheme="majorBidi" w:hAnsiTheme="majorBidi" w:cstheme="majorBidi"/>
          <w:sz w:val="24"/>
          <w:szCs w:val="24"/>
        </w:rPr>
        <w:t>centred</w:t>
      </w:r>
      <w:r w:rsidRPr="001763D9">
        <w:rPr>
          <w:rFonts w:asciiTheme="majorBidi" w:hAnsiTheme="majorBidi" w:cstheme="majorBidi"/>
          <w:sz w:val="24"/>
          <w:szCs w:val="24"/>
        </w:rPr>
        <w:t xml:space="preserve"> on barefoot condition for </w:t>
      </w:r>
      <w:r w:rsidRPr="001763D9">
        <w:rPr>
          <w:rFonts w:asciiTheme="majorBidi" w:hAnsiTheme="majorBidi" w:cstheme="majorBidi"/>
          <w:i/>
          <w:iCs/>
          <w:sz w:val="24"/>
          <w:szCs w:val="24"/>
        </w:rPr>
        <w:t>Experimental Condition</w:t>
      </w:r>
      <w:r w:rsidRPr="001763D9">
        <w:rPr>
          <w:rFonts w:asciiTheme="majorBidi" w:hAnsiTheme="majorBidi" w:cstheme="majorBidi"/>
          <w:sz w:val="24"/>
          <w:szCs w:val="24"/>
        </w:rPr>
        <w:t xml:space="preserve">, and healthy individuals for </w:t>
      </w:r>
      <w:r w:rsidRPr="001763D9">
        <w:rPr>
          <w:rFonts w:asciiTheme="majorBidi" w:hAnsiTheme="majorBidi" w:cstheme="majorBidi"/>
          <w:i/>
          <w:iCs/>
          <w:sz w:val="24"/>
          <w:szCs w:val="24"/>
        </w:rPr>
        <w:t>Group,</w:t>
      </w:r>
      <w:r w:rsidRPr="001763D9">
        <w:rPr>
          <w:rFonts w:asciiTheme="majorBidi" w:hAnsiTheme="majorBidi" w:cstheme="majorBidi"/>
          <w:sz w:val="24"/>
          <w:szCs w:val="24"/>
        </w:rPr>
        <w:t xml:space="preserve"> therefore the estimates were the differences of other conditions to referenced level. </w:t>
      </w:r>
      <w:r w:rsidRPr="001763D9">
        <w:rPr>
          <w:rFonts w:asciiTheme="majorBidi" w:hAnsiTheme="majorBidi" w:cstheme="majorBidi"/>
          <w:i/>
          <w:iCs/>
          <w:sz w:val="24"/>
          <w:szCs w:val="24"/>
        </w:rPr>
        <w:t>Experimental Condition</w:t>
      </w:r>
      <w:r w:rsidRPr="001763D9">
        <w:rPr>
          <w:rFonts w:asciiTheme="majorBidi" w:hAnsiTheme="majorBidi" w:cstheme="majorBidi"/>
          <w:sz w:val="24"/>
          <w:szCs w:val="24"/>
        </w:rPr>
        <w:t> was allowed to have interaction with </w:t>
      </w:r>
      <w:r w:rsidRPr="001763D9">
        <w:rPr>
          <w:rFonts w:asciiTheme="majorBidi" w:hAnsiTheme="majorBidi" w:cstheme="majorBidi"/>
          <w:i/>
          <w:iCs/>
          <w:sz w:val="24"/>
          <w:szCs w:val="24"/>
        </w:rPr>
        <w:t>Group </w:t>
      </w:r>
      <w:r w:rsidRPr="001763D9">
        <w:rPr>
          <w:rFonts w:asciiTheme="majorBidi" w:hAnsiTheme="majorBidi" w:cstheme="majorBidi"/>
          <w:sz w:val="24"/>
          <w:szCs w:val="24"/>
        </w:rPr>
        <w:t>in all models. The participants’ ID</w:t>
      </w:r>
      <w:r w:rsidR="00740023">
        <w:rPr>
          <w:rFonts w:asciiTheme="majorBidi" w:hAnsiTheme="majorBidi" w:cstheme="majorBidi"/>
          <w:sz w:val="24"/>
          <w:szCs w:val="24"/>
        </w:rPr>
        <w:t xml:space="preserve"> (identifier)</w:t>
      </w:r>
      <w:r w:rsidRPr="001763D9">
        <w:rPr>
          <w:rFonts w:asciiTheme="majorBidi" w:hAnsiTheme="majorBidi" w:cstheme="majorBidi"/>
          <w:sz w:val="24"/>
          <w:szCs w:val="24"/>
        </w:rPr>
        <w:t xml:space="preserve"> </w:t>
      </w:r>
      <w:r w:rsidR="006B7399" w:rsidRPr="001763D9">
        <w:rPr>
          <w:rFonts w:asciiTheme="majorBidi" w:hAnsiTheme="majorBidi" w:cstheme="majorBidi"/>
          <w:sz w:val="24"/>
          <w:szCs w:val="24"/>
        </w:rPr>
        <w:t xml:space="preserve">included as the random factor (random intercept model) in the model to control the variability of response factor caused by subjective differences. In a more complex model, age and BMI were included separately as the potential covariates to determine any possible interaction. In case of no interaction effects, covariates were removed from the model in </w:t>
      </w:r>
      <w:r w:rsidR="0002134A" w:rsidRPr="001763D9">
        <w:rPr>
          <w:rFonts w:asciiTheme="majorBidi" w:hAnsiTheme="majorBidi" w:cstheme="majorBidi"/>
          <w:sz w:val="24"/>
          <w:szCs w:val="24"/>
        </w:rPr>
        <w:t>fa</w:t>
      </w:r>
      <w:r w:rsidR="0002134A">
        <w:rPr>
          <w:rFonts w:asciiTheme="majorBidi" w:hAnsiTheme="majorBidi" w:cstheme="majorBidi"/>
          <w:sz w:val="24"/>
          <w:szCs w:val="24"/>
        </w:rPr>
        <w:t>vor</w:t>
      </w:r>
      <w:r w:rsidR="006B7399" w:rsidRPr="001763D9">
        <w:rPr>
          <w:rFonts w:asciiTheme="majorBidi" w:hAnsiTheme="majorBidi" w:cstheme="majorBidi"/>
          <w:sz w:val="24"/>
          <w:szCs w:val="24"/>
        </w:rPr>
        <w:t xml:space="preserve"> to reach a most parsimonious model (model with no interaction). </w:t>
      </w:r>
      <w:r w:rsidR="00701591" w:rsidRPr="00701591">
        <w:rPr>
          <w:rFonts w:asciiTheme="majorBidi" w:hAnsiTheme="majorBidi" w:cstheme="majorBidi"/>
          <w:sz w:val="24"/>
          <w:szCs w:val="24"/>
        </w:rPr>
        <w:t xml:space="preserve">The calculation of </w:t>
      </w:r>
      <w:r w:rsidR="00701591">
        <w:rPr>
          <w:rFonts w:asciiTheme="majorBidi" w:hAnsiTheme="majorBidi" w:cstheme="majorBidi"/>
          <w:sz w:val="24"/>
          <w:szCs w:val="24"/>
        </w:rPr>
        <w:t xml:space="preserve">the </w:t>
      </w:r>
      <w:r w:rsidR="00701591" w:rsidRPr="00701591">
        <w:rPr>
          <w:rFonts w:asciiTheme="majorBidi" w:hAnsiTheme="majorBidi" w:cstheme="majorBidi"/>
          <w:sz w:val="24"/>
          <w:szCs w:val="24"/>
        </w:rPr>
        <w:t>effect size and power for LMM are the areas of active development and still there are uncertainties about it. In this study we pragmatically calculate and report r-squared and Cohen’s f</w:t>
      </w:r>
      <w:r w:rsidR="00701591" w:rsidRPr="00701591">
        <w:rPr>
          <w:rFonts w:asciiTheme="majorBidi" w:hAnsiTheme="majorBidi" w:cstheme="majorBidi"/>
          <w:sz w:val="24"/>
          <w:szCs w:val="24"/>
          <w:vertAlign w:val="superscript"/>
        </w:rPr>
        <w:t>2</w:t>
      </w:r>
      <w:r w:rsidR="00701591" w:rsidRPr="00701591">
        <w:rPr>
          <w:rFonts w:asciiTheme="majorBidi" w:hAnsiTheme="majorBidi" w:cstheme="majorBidi"/>
          <w:sz w:val="24"/>
          <w:szCs w:val="24"/>
        </w:rPr>
        <w:t>. Marginal r-squared, as the measure of model’s fit strength, represents the variability of outcome explained by the fixed parts of the model and is defined as: (</w:t>
      </w:r>
      <w:r w:rsidR="00701591" w:rsidRPr="00701591">
        <w:rPr>
          <w:rFonts w:asciiTheme="majorBidi" w:hAnsiTheme="majorBidi" w:cstheme="majorBidi"/>
          <w:i/>
          <w:sz w:val="24"/>
          <w:szCs w:val="24"/>
        </w:rPr>
        <w:t>σ_f²</w:t>
      </w:r>
      <w:r w:rsidR="00701591" w:rsidRPr="00701591">
        <w:rPr>
          <w:rFonts w:asciiTheme="majorBidi" w:hAnsiTheme="majorBidi" w:cstheme="majorBidi"/>
          <w:sz w:val="24"/>
          <w:szCs w:val="24"/>
        </w:rPr>
        <w:t>) / (</w:t>
      </w:r>
      <w:r w:rsidR="00701591" w:rsidRPr="00701591">
        <w:rPr>
          <w:rFonts w:asciiTheme="majorBidi" w:hAnsiTheme="majorBidi" w:cstheme="majorBidi"/>
          <w:i/>
          <w:sz w:val="24"/>
          <w:szCs w:val="24"/>
        </w:rPr>
        <w:t>σ_f² + σ_α²</w:t>
      </w:r>
      <w:r w:rsidR="00701591" w:rsidRPr="00701591">
        <w:rPr>
          <w:rFonts w:asciiTheme="majorBidi" w:hAnsiTheme="majorBidi" w:cstheme="majorBidi"/>
          <w:sz w:val="24"/>
          <w:szCs w:val="24"/>
        </w:rPr>
        <w:t xml:space="preserve">), where </w:t>
      </w:r>
      <w:r w:rsidR="00701591" w:rsidRPr="00701591">
        <w:rPr>
          <w:rFonts w:asciiTheme="majorBidi" w:hAnsiTheme="majorBidi" w:cstheme="majorBidi"/>
          <w:i/>
          <w:sz w:val="24"/>
          <w:szCs w:val="24"/>
        </w:rPr>
        <w:t>σ_f²</w:t>
      </w:r>
      <w:r w:rsidR="00701591" w:rsidRPr="00701591">
        <w:rPr>
          <w:rFonts w:asciiTheme="majorBidi" w:hAnsiTheme="majorBidi" w:cstheme="majorBidi"/>
          <w:sz w:val="24"/>
          <w:szCs w:val="24"/>
        </w:rPr>
        <w:t xml:space="preserve"> is the variance of the fixed effect components, </w:t>
      </w:r>
      <w:r w:rsidR="00701591" w:rsidRPr="00701591">
        <w:rPr>
          <w:rFonts w:asciiTheme="majorBidi" w:hAnsiTheme="majorBidi" w:cstheme="majorBidi"/>
          <w:i/>
          <w:sz w:val="24"/>
          <w:szCs w:val="24"/>
        </w:rPr>
        <w:t>σ_α²</w:t>
      </w:r>
      <w:r w:rsidR="00701591" w:rsidRPr="00701591">
        <w:rPr>
          <w:rFonts w:asciiTheme="majorBidi" w:hAnsiTheme="majorBidi" w:cstheme="majorBidi"/>
          <w:sz w:val="24"/>
          <w:szCs w:val="24"/>
        </w:rPr>
        <w:t xml:space="preserve"> is the </w:t>
      </w:r>
      <w:r w:rsidR="00701591" w:rsidRPr="00701591">
        <w:rPr>
          <w:rFonts w:asciiTheme="majorBidi" w:hAnsiTheme="majorBidi" w:cstheme="majorBidi"/>
          <w:sz w:val="24"/>
          <w:szCs w:val="24"/>
        </w:rPr>
        <w:lastRenderedPageBreak/>
        <w:t>varian</w:t>
      </w:r>
      <w:r w:rsidR="000C5F0B">
        <w:rPr>
          <w:rFonts w:asciiTheme="majorBidi" w:hAnsiTheme="majorBidi" w:cstheme="majorBidi"/>
          <w:sz w:val="24"/>
          <w:szCs w:val="24"/>
        </w:rPr>
        <w:t xml:space="preserve">ce of the random effects </w:t>
      </w:r>
      <w:r w:rsidR="000C5F0B">
        <w:rPr>
          <w:rFonts w:asciiTheme="majorBidi" w:hAnsiTheme="majorBidi" w:cstheme="majorBidi"/>
          <w:sz w:val="24"/>
          <w:szCs w:val="24"/>
        </w:rPr>
        <w:fldChar w:fldCharType="begin" w:fldLock="1"/>
      </w:r>
      <w:r w:rsidR="00EE5CD7">
        <w:rPr>
          <w:rFonts w:asciiTheme="majorBidi" w:hAnsiTheme="majorBidi" w:cstheme="majorBidi"/>
          <w:sz w:val="24"/>
          <w:szCs w:val="24"/>
        </w:rPr>
        <w:instrText>ADDIN CSL_CITATION {"citationItems":[{"id":"ITEM-1","itemData":{"DOI":"10.1111/j.2041-210x.2012.00261.x","ISSN":"2041210X","author":[{"dropping-particle":"","family":"Nakagawa","given":"Shinichi","non-dropping-particle":"","parse-names":false,"suffix":""},{"dropping-particle":"","family":"Schielzeth","given":"Holger","non-dropping-particle":"","parse-names":false,"suffix":""}],"container-title":"Methods in Ecology and Evolution","editor":[{"dropping-particle":"","family":"O'Hara","given":"Robert B.","non-dropping-particle":"","parse-names":false,"suffix":""}],"id":"ITEM-1","issue":"2","issued":{"date-parts":[["2013","2","1"]]},"page":"133-142","publisher":"John Wiley &amp; Sons, Ltd (10.1111)","title":"A general and simple method for obtaining &lt;i&gt;R&lt;/i&gt; &lt;sup&gt;2&lt;/sup&gt; from generalized linear mixed-effects models","type":"article-journal","volume":"4"},"uris":["http://www.mendeley.com/documents/?uuid=12f027c2-c37b-34eb-ae8e-0061e32cf85c"]}],"mendeley":{"formattedCitation":"[35]","plainTextFormattedCitation":"[35]","previouslyFormattedCitation":"[35]"},"properties":{"noteIndex":0},"schema":"https://github.com/citation-style-language/schema/raw/master/csl-citation.json"}</w:instrText>
      </w:r>
      <w:r w:rsidR="000C5F0B">
        <w:rPr>
          <w:rFonts w:asciiTheme="majorBidi" w:hAnsiTheme="majorBidi" w:cstheme="majorBidi"/>
          <w:sz w:val="24"/>
          <w:szCs w:val="24"/>
        </w:rPr>
        <w:fldChar w:fldCharType="separate"/>
      </w:r>
      <w:r w:rsidR="000C5F0B" w:rsidRPr="000C5F0B">
        <w:rPr>
          <w:rFonts w:asciiTheme="majorBidi" w:hAnsiTheme="majorBidi" w:cstheme="majorBidi"/>
          <w:noProof/>
          <w:sz w:val="24"/>
          <w:szCs w:val="24"/>
        </w:rPr>
        <w:t>[35]</w:t>
      </w:r>
      <w:r w:rsidR="000C5F0B">
        <w:rPr>
          <w:rFonts w:asciiTheme="majorBidi" w:hAnsiTheme="majorBidi" w:cstheme="majorBidi"/>
          <w:sz w:val="24"/>
          <w:szCs w:val="24"/>
        </w:rPr>
        <w:fldChar w:fldCharType="end"/>
      </w:r>
      <w:r w:rsidR="00701591" w:rsidRPr="00701591">
        <w:rPr>
          <w:rFonts w:asciiTheme="majorBidi" w:hAnsiTheme="majorBidi" w:cstheme="majorBidi"/>
          <w:sz w:val="24"/>
          <w:szCs w:val="24"/>
        </w:rPr>
        <w:t>. The R package MuMIn (Multi-Model Inference) version 1.42.1 by Kamil Barton´ used to facilitate the r-squared calculation. Additionally, Cohen’s f</w:t>
      </w:r>
      <w:r w:rsidR="00701591" w:rsidRPr="00701591">
        <w:rPr>
          <w:rFonts w:asciiTheme="majorBidi" w:hAnsiTheme="majorBidi" w:cstheme="majorBidi"/>
          <w:sz w:val="24"/>
          <w:szCs w:val="24"/>
          <w:vertAlign w:val="superscript"/>
        </w:rPr>
        <w:t>2</w:t>
      </w:r>
      <w:r w:rsidR="00701591" w:rsidRPr="00701591">
        <w:rPr>
          <w:rFonts w:asciiTheme="majorBidi" w:hAnsiTheme="majorBidi" w:cstheme="majorBidi"/>
          <w:sz w:val="24"/>
          <w:szCs w:val="24"/>
        </w:rPr>
        <w:t xml:space="preserve"> calculated as a measure of local effect size for each independent variable and defied as </w:t>
      </w:r>
      <m:oMath>
        <m:sSup>
          <m:sSupPr>
            <m:ctrlPr>
              <w:rPr>
                <w:rFonts w:ascii="Cambria Math" w:hAnsi="Cambria Math" w:cstheme="majorBidi"/>
                <w:i/>
                <w:sz w:val="24"/>
                <w:szCs w:val="24"/>
              </w:rPr>
            </m:ctrlPr>
          </m:sSupPr>
          <m:e>
            <m:r>
              <w:rPr>
                <w:rFonts w:ascii="Cambria Math" w:hAnsi="Cambria Math" w:cstheme="majorBidi"/>
                <w:sz w:val="24"/>
                <w:szCs w:val="24"/>
              </w:rPr>
              <m:t>f</m:t>
            </m:r>
          </m:e>
          <m:sup>
            <m:r>
              <w:rPr>
                <w:rFonts w:ascii="Cambria Math" w:hAnsi="Cambria Math" w:cstheme="majorBidi"/>
                <w:sz w:val="24"/>
                <w:szCs w:val="24"/>
              </w:rPr>
              <m:t>2</m:t>
            </m:r>
          </m:sup>
        </m:s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x1x2</m:t>
            </m:r>
          </m:sub>
          <m:sup>
            <m:r>
              <w:rPr>
                <w:rFonts w:ascii="Cambria Math" w:hAnsi="Cambria Math" w:cstheme="majorBidi"/>
                <w:sz w:val="24"/>
                <w:szCs w:val="24"/>
              </w:rPr>
              <m:t>2</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x1</m:t>
            </m:r>
          </m:sub>
          <m:sup>
            <m:r>
              <w:rPr>
                <w:rFonts w:ascii="Cambria Math" w:hAnsi="Cambria Math" w:cstheme="majorBidi"/>
                <w:sz w:val="24"/>
                <w:szCs w:val="24"/>
              </w:rPr>
              <m:t>2</m:t>
            </m:r>
          </m:sup>
        </m:sSubSup>
        <m:r>
          <w:rPr>
            <w:rFonts w:ascii="Cambria Math" w:hAnsi="Cambria Math" w:cstheme="majorBidi"/>
            <w:sz w:val="24"/>
            <w:szCs w:val="24"/>
          </w:rPr>
          <m:t>)/(1-</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x1x2</m:t>
            </m:r>
          </m:sub>
          <m:sup>
            <m:r>
              <w:rPr>
                <w:rFonts w:ascii="Cambria Math" w:hAnsi="Cambria Math" w:cstheme="majorBidi"/>
                <w:sz w:val="24"/>
                <w:szCs w:val="24"/>
              </w:rPr>
              <m:t>2</m:t>
            </m:r>
          </m:sup>
        </m:sSubSup>
        <m:r>
          <w:rPr>
            <w:rFonts w:ascii="Cambria Math" w:hAnsi="Cambria Math" w:cstheme="majorBidi"/>
            <w:sz w:val="24"/>
            <w:szCs w:val="24"/>
          </w:rPr>
          <m:t>)</m:t>
        </m:r>
      </m:oMath>
      <w:r w:rsidR="00701591" w:rsidRPr="00701591">
        <w:rPr>
          <w:rFonts w:asciiTheme="majorBidi" w:hAnsiTheme="majorBidi" w:cstheme="majorBidi"/>
          <w:sz w:val="24"/>
          <w:szCs w:val="24"/>
        </w:rPr>
        <w:t xml:space="preserve">, where  </w:t>
      </w:r>
      <m:oMath>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x1x2</m:t>
            </m:r>
          </m:sub>
          <m:sup>
            <m:r>
              <w:rPr>
                <w:rFonts w:ascii="Cambria Math" w:hAnsi="Cambria Math" w:cstheme="majorBidi"/>
                <w:sz w:val="24"/>
                <w:szCs w:val="24"/>
              </w:rPr>
              <m:t>2</m:t>
            </m:r>
          </m:sup>
        </m:sSubSup>
      </m:oMath>
      <w:r w:rsidR="00701591" w:rsidRPr="00701591">
        <w:rPr>
          <w:rFonts w:asciiTheme="majorBidi" w:hAnsiTheme="majorBidi" w:cstheme="majorBidi"/>
          <w:sz w:val="24"/>
          <w:szCs w:val="24"/>
        </w:rPr>
        <w:t xml:space="preserve">  is the r-squared for the model including both group and test condition as independent variable and </w:t>
      </w:r>
      <m:oMath>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x1</m:t>
            </m:r>
          </m:sub>
          <m:sup>
            <m:r>
              <w:rPr>
                <w:rFonts w:ascii="Cambria Math" w:hAnsi="Cambria Math" w:cstheme="majorBidi"/>
                <w:sz w:val="24"/>
                <w:szCs w:val="24"/>
              </w:rPr>
              <m:t>2</m:t>
            </m:r>
          </m:sup>
        </m:sSubSup>
      </m:oMath>
      <w:r w:rsidR="00701591" w:rsidRPr="00701591">
        <w:rPr>
          <w:rFonts w:asciiTheme="majorBidi" w:hAnsiTheme="majorBidi" w:cstheme="majorBidi"/>
          <w:sz w:val="24"/>
          <w:szCs w:val="24"/>
        </w:rPr>
        <w:t>is the r-squared for the model including only one of the indepe</w:t>
      </w:r>
      <w:r w:rsidR="00EE5CD7">
        <w:rPr>
          <w:rFonts w:asciiTheme="majorBidi" w:hAnsiTheme="majorBidi" w:cstheme="majorBidi"/>
          <w:sz w:val="24"/>
          <w:szCs w:val="24"/>
        </w:rPr>
        <w:t xml:space="preserve">ndent variables </w:t>
      </w:r>
      <w:r w:rsidR="00EE5CD7">
        <w:rPr>
          <w:rFonts w:asciiTheme="majorBidi" w:hAnsiTheme="majorBidi" w:cstheme="majorBidi"/>
          <w:sz w:val="24"/>
          <w:szCs w:val="24"/>
        </w:rPr>
        <w:fldChar w:fldCharType="begin" w:fldLock="1"/>
      </w:r>
      <w:r w:rsidR="00EE5CD7">
        <w:rPr>
          <w:rFonts w:asciiTheme="majorBidi" w:hAnsiTheme="majorBidi" w:cstheme="majorBidi"/>
          <w:sz w:val="24"/>
          <w:szCs w:val="24"/>
        </w:rPr>
        <w:instrText>ADDIN CSL_CITATION {"citationItems":[{"id":"ITEM-1","itemData":{"DOI":"10.3389/fpsyg.2012.00111","ISSN":"1664-1078","PMID":"22529829","abstract":"Reporting effect sizes in scientific articles is increasingly widespread and encouraged by journals; however, choosing an effect size for analyses such as mixed-effects regression modeling and hierarchical linear modeling can be difficult. One relatively uncommon, but very informative, standardized measure of effect size is Cohen's f(2), which allows an evaluation of local effect size, i.e., one variable's effect size within the context of a multivariate regression model. Unfortunately, this measure is often not readily accessible from commonly used software for repeated-measures or hierarchical data analysis. In this guide, we illustrate how to extract Cohen's f(2) for two variables within a mixed-effects regression model using PROC MIXED in SAS(®) software. Two examples of calculating Cohen's f(2) for different research questions are shown, using data from a longitudinal cohort study of smoking development in adolescents. This tutorial is designed to facilitate the calculation and reporting of effect sizes for single variables within mixed-effects multiple regression models, and is relevant for analyses of repeated-measures or hierarchical/multilevel data that are common in experimental psychology, observational research, and clinical or intervention studies.","author":[{"dropping-particle":"","family":"Selya","given":"Arielle S","non-dropping-particle":"","parse-names":false,"suffix":""},{"dropping-particle":"","family":"Rose","given":"Jennifer S","non-dropping-particle":"","parse-names":false,"suffix":""},{"dropping-particle":"","family":"Dierker","given":"Lisa C","non-dropping-particle":"","parse-names":false,"suffix":""},{"dropping-particle":"","family":"Hedeker","given":"Donald","non-dropping-particle":"","parse-names":false,"suffix":""},{"dropping-particle":"","family":"Mermelstein","given":"Robin J","non-dropping-particle":"","parse-names":false,"suffix":""}],"container-title":"Frontiers in psychology","id":"ITEM-1","issued":{"date-parts":[["2012"]]},"page":"111","title":"A Practical Guide to Calculating Cohen's f(2), a Measure of Local Effect Size, from PROC MIXED.","type":"article-journal","volume":"3"},"uris":["http://www.mendeley.com/documents/?uuid=ed60fc6e-6dcf-3331-94c8-8f3362f4a454"]}],"mendeley":{"formattedCitation":"[36]","plainTextFormattedCitation":"[36]"},"properties":{"noteIndex":0},"schema":"https://github.com/citation-style-language/schema/raw/master/csl-citation.json"}</w:instrText>
      </w:r>
      <w:r w:rsidR="00EE5CD7">
        <w:rPr>
          <w:rFonts w:asciiTheme="majorBidi" w:hAnsiTheme="majorBidi" w:cstheme="majorBidi"/>
          <w:sz w:val="24"/>
          <w:szCs w:val="24"/>
        </w:rPr>
        <w:fldChar w:fldCharType="separate"/>
      </w:r>
      <w:r w:rsidR="00EE5CD7" w:rsidRPr="00EE5CD7">
        <w:rPr>
          <w:rFonts w:asciiTheme="majorBidi" w:hAnsiTheme="majorBidi" w:cstheme="majorBidi"/>
          <w:noProof/>
          <w:sz w:val="24"/>
          <w:szCs w:val="24"/>
        </w:rPr>
        <w:t>[36]</w:t>
      </w:r>
      <w:r w:rsidR="00EE5CD7">
        <w:rPr>
          <w:rFonts w:asciiTheme="majorBidi" w:hAnsiTheme="majorBidi" w:cstheme="majorBidi"/>
          <w:sz w:val="24"/>
          <w:szCs w:val="24"/>
        </w:rPr>
        <w:fldChar w:fldCharType="end"/>
      </w:r>
      <w:r w:rsidR="00EE5CD7">
        <w:rPr>
          <w:rFonts w:asciiTheme="majorBidi" w:hAnsiTheme="majorBidi" w:cstheme="majorBidi"/>
          <w:sz w:val="24"/>
          <w:szCs w:val="24"/>
        </w:rPr>
        <w:t xml:space="preserve">. </w:t>
      </w:r>
      <w:r w:rsidR="00701591" w:rsidRPr="00701591">
        <w:rPr>
          <w:rFonts w:asciiTheme="majorBidi" w:hAnsiTheme="majorBidi" w:cstheme="majorBidi"/>
          <w:sz w:val="24"/>
          <w:szCs w:val="24"/>
        </w:rPr>
        <w:t>However, the estimated fixed terms (</w:t>
      </w:r>
      <w:r w:rsidR="00701591" w:rsidRPr="00701591">
        <w:rPr>
          <w:rFonts w:asciiTheme="majorBidi" w:hAnsiTheme="majorBidi" w:cstheme="majorBidi"/>
          <w:i/>
          <w:sz w:val="24"/>
          <w:szCs w:val="24"/>
        </w:rPr>
        <w:t>beta</w:t>
      </w:r>
      <w:r w:rsidR="00701591" w:rsidRPr="00701591">
        <w:rPr>
          <w:rFonts w:asciiTheme="majorBidi" w:hAnsiTheme="majorBidi" w:cstheme="majorBidi"/>
          <w:sz w:val="24"/>
          <w:szCs w:val="24"/>
        </w:rPr>
        <w:t xml:space="preserve"> </w:t>
      </w:r>
      <w:r w:rsidR="00701591" w:rsidRPr="00701591">
        <w:rPr>
          <w:rFonts w:asciiTheme="majorBidi" w:hAnsiTheme="majorBidi" w:cstheme="majorBidi"/>
          <w:i/>
          <w:sz w:val="24"/>
          <w:szCs w:val="24"/>
        </w:rPr>
        <w:t>coefficients</w:t>
      </w:r>
      <w:r w:rsidR="00701591" w:rsidRPr="00701591">
        <w:rPr>
          <w:rFonts w:asciiTheme="majorBidi" w:hAnsiTheme="majorBidi" w:cstheme="majorBidi"/>
          <w:sz w:val="24"/>
          <w:szCs w:val="24"/>
        </w:rPr>
        <w:t>) which are in the metric of the response variable with their 95% confidence interval also presented in graphs which are a helpful visualisation on the comparative size of the effect.</w:t>
      </w:r>
      <w:r w:rsidR="00701591">
        <w:rPr>
          <w:rFonts w:asciiTheme="majorBidi" w:hAnsiTheme="majorBidi" w:cstheme="majorBidi"/>
          <w:sz w:val="24"/>
          <w:szCs w:val="24"/>
        </w:rPr>
        <w:t xml:space="preserve"> </w:t>
      </w:r>
      <w:r w:rsidR="006B7399" w:rsidRPr="001763D9">
        <w:rPr>
          <w:rFonts w:asciiTheme="majorBidi" w:hAnsiTheme="majorBidi" w:cstheme="majorBidi"/>
          <w:sz w:val="24"/>
          <w:szCs w:val="24"/>
        </w:rPr>
        <w:t xml:space="preserve">Spearman correlation analysis was also applied to measure the </w:t>
      </w:r>
      <w:r w:rsidR="006B7399" w:rsidRPr="001763D9">
        <w:rPr>
          <w:rFonts w:asciiTheme="majorBidi" w:hAnsiTheme="majorBidi" w:cstheme="majorBidi"/>
          <w:sz w:val="24"/>
          <w:szCs w:val="24"/>
          <w:highlight w:val="white"/>
        </w:rPr>
        <w:t>relationship between main outcome measures and the FES-I score. For linear mixed model analyses, the lme function of NLME package in R statistical software version 3.4.4 was used</w:t>
      </w:r>
      <w:r w:rsidR="00714FC6" w:rsidRPr="001763D9">
        <w:rPr>
          <w:rFonts w:asciiTheme="majorBidi" w:hAnsiTheme="majorBidi" w:cstheme="majorBidi"/>
          <w:sz w:val="24"/>
          <w:szCs w:val="24"/>
        </w:rPr>
        <w:t xml:space="preserve"> </w:t>
      </w:r>
      <w:r w:rsidR="00714FC6" w:rsidRPr="001763D9">
        <w:rPr>
          <w:rFonts w:asciiTheme="majorBidi" w:hAnsiTheme="majorBidi" w:cstheme="majorBidi"/>
          <w:sz w:val="24"/>
          <w:szCs w:val="24"/>
        </w:rPr>
        <w:fldChar w:fldCharType="begin" w:fldLock="1"/>
      </w:r>
      <w:r w:rsidR="00EE5CD7">
        <w:rPr>
          <w:rFonts w:asciiTheme="majorBidi" w:hAnsiTheme="majorBidi" w:cstheme="majorBidi"/>
          <w:sz w:val="24"/>
          <w:szCs w:val="24"/>
        </w:rPr>
        <w:instrText>ADDIN CSL_CITATION {"citationItems":[{"id":"ITEM-1","itemData":{"author":[{"dropping-particle":"","family":"R Core Team (2017)","given":"","non-dropping-particle":"","parse-names":false,"suffix":""}],"container-title":"R Foundation for Statistical Computing, Vienna, Austria","id":"ITEM-1","issued":{"date-parts":[["0"]]},"title":"R: A language and environment for statistical computing","type":"article-journal"},"uris":["http://www.mendeley.com/documents/?uuid=3eb9822e-d855-4891-9489-3d9271d9dfc6"]}],"mendeley":{"formattedCitation":"[37]","plainTextFormattedCitation":"[37]","previouslyFormattedCitation":"[36]"},"properties":{"noteIndex":0},"schema":"https://github.com/citation-style-language/schema/raw/master/csl-citation.json"}</w:instrText>
      </w:r>
      <w:r w:rsidR="00714FC6" w:rsidRPr="001763D9">
        <w:rPr>
          <w:rFonts w:asciiTheme="majorBidi" w:hAnsiTheme="majorBidi" w:cstheme="majorBidi"/>
          <w:sz w:val="24"/>
          <w:szCs w:val="24"/>
        </w:rPr>
        <w:fldChar w:fldCharType="separate"/>
      </w:r>
      <w:r w:rsidR="00EE5CD7" w:rsidRPr="00EE5CD7">
        <w:rPr>
          <w:rFonts w:asciiTheme="majorBidi" w:hAnsiTheme="majorBidi" w:cstheme="majorBidi"/>
          <w:noProof/>
          <w:sz w:val="24"/>
          <w:szCs w:val="24"/>
        </w:rPr>
        <w:t>[37]</w:t>
      </w:r>
      <w:r w:rsidR="00714FC6" w:rsidRPr="001763D9">
        <w:rPr>
          <w:rFonts w:asciiTheme="majorBidi" w:hAnsiTheme="majorBidi" w:cstheme="majorBidi"/>
          <w:sz w:val="24"/>
          <w:szCs w:val="24"/>
        </w:rPr>
        <w:fldChar w:fldCharType="end"/>
      </w:r>
      <w:r w:rsidR="00714FC6" w:rsidRPr="001763D9">
        <w:rPr>
          <w:rFonts w:asciiTheme="majorBidi" w:hAnsiTheme="majorBidi" w:cstheme="majorBidi"/>
          <w:sz w:val="24"/>
          <w:szCs w:val="24"/>
        </w:rPr>
        <w:t xml:space="preserve">. </w:t>
      </w:r>
    </w:p>
    <w:p w14:paraId="4521DF5E" w14:textId="77777777" w:rsidR="00DD093D" w:rsidRPr="001763D9" w:rsidRDefault="004F56EF" w:rsidP="00626B98">
      <w:pPr>
        <w:spacing w:line="480" w:lineRule="auto"/>
        <w:rPr>
          <w:rFonts w:asciiTheme="majorBidi" w:hAnsiTheme="majorBidi" w:cstheme="majorBidi"/>
          <w:b/>
          <w:bCs/>
          <w:sz w:val="24"/>
          <w:szCs w:val="24"/>
        </w:rPr>
      </w:pPr>
      <w:r w:rsidRPr="001763D9">
        <w:rPr>
          <w:rFonts w:asciiTheme="majorBidi" w:hAnsiTheme="majorBidi" w:cstheme="majorBidi"/>
          <w:b/>
          <w:bCs/>
          <w:sz w:val="24"/>
          <w:szCs w:val="24"/>
        </w:rPr>
        <w:t xml:space="preserve">3. </w:t>
      </w:r>
      <w:r w:rsidR="00714FC6" w:rsidRPr="001763D9">
        <w:rPr>
          <w:rFonts w:asciiTheme="majorBidi" w:hAnsiTheme="majorBidi" w:cstheme="majorBidi"/>
          <w:b/>
          <w:bCs/>
          <w:sz w:val="24"/>
          <w:szCs w:val="24"/>
        </w:rPr>
        <w:t>Result</w:t>
      </w:r>
      <w:r w:rsidR="00DD093D" w:rsidRPr="001763D9">
        <w:rPr>
          <w:rFonts w:asciiTheme="majorBidi" w:hAnsiTheme="majorBidi" w:cstheme="majorBidi"/>
          <w:b/>
          <w:bCs/>
          <w:sz w:val="24"/>
          <w:szCs w:val="24"/>
        </w:rPr>
        <w:t>s</w:t>
      </w:r>
    </w:p>
    <w:p w14:paraId="3F82EF3E" w14:textId="77777777" w:rsidR="00BE4C9A" w:rsidRPr="001763D9" w:rsidRDefault="00714FC6" w:rsidP="008012ED">
      <w:pPr>
        <w:spacing w:line="480" w:lineRule="auto"/>
        <w:rPr>
          <w:rFonts w:asciiTheme="majorBidi" w:hAnsiTheme="majorBidi" w:cstheme="majorBidi"/>
          <w:sz w:val="24"/>
          <w:szCs w:val="24"/>
        </w:rPr>
      </w:pPr>
      <w:r w:rsidRPr="001763D9">
        <w:rPr>
          <w:rFonts w:asciiTheme="majorBidi" w:hAnsiTheme="majorBidi" w:cstheme="majorBidi"/>
          <w:sz w:val="24"/>
          <w:szCs w:val="24"/>
        </w:rPr>
        <w:t>No interaction of age or BMI with any of the predictor variables observed for any of the outcome variables (p&gt;0.05). Therefore, to have the most parsimony, age and BMI, as covariates, were removed from the model. Summary of the results is reflected in</w:t>
      </w:r>
      <w:r w:rsidR="008012ED">
        <w:rPr>
          <w:rFonts w:asciiTheme="majorBidi" w:hAnsiTheme="majorBidi" w:cstheme="majorBidi"/>
          <w:sz w:val="24"/>
          <w:szCs w:val="24"/>
        </w:rPr>
        <w:t xml:space="preserve"> </w:t>
      </w:r>
      <w:r w:rsidR="00762B59">
        <w:rPr>
          <w:rFonts w:asciiTheme="majorBidi" w:hAnsiTheme="majorBidi" w:cstheme="majorBidi"/>
          <w:sz w:val="24"/>
          <w:szCs w:val="24"/>
        </w:rPr>
        <w:fldChar w:fldCharType="begin"/>
      </w:r>
      <w:r w:rsidR="00762B59">
        <w:rPr>
          <w:rFonts w:asciiTheme="majorBidi" w:hAnsiTheme="majorBidi" w:cstheme="majorBidi"/>
          <w:sz w:val="24"/>
          <w:szCs w:val="24"/>
        </w:rPr>
        <w:instrText xml:space="preserve"> REF _Ref798882 \h </w:instrText>
      </w:r>
      <w:r w:rsidR="00762B59">
        <w:rPr>
          <w:rFonts w:asciiTheme="majorBidi" w:hAnsiTheme="majorBidi" w:cstheme="majorBidi"/>
          <w:sz w:val="24"/>
          <w:szCs w:val="24"/>
        </w:rPr>
      </w:r>
      <w:r w:rsidR="00762B59">
        <w:rPr>
          <w:rFonts w:asciiTheme="majorBidi" w:hAnsiTheme="majorBidi" w:cstheme="majorBidi"/>
          <w:sz w:val="24"/>
          <w:szCs w:val="24"/>
        </w:rPr>
        <w:fldChar w:fldCharType="separate"/>
      </w:r>
      <w:r w:rsidR="00762B59" w:rsidRPr="008012ED">
        <w:rPr>
          <w:rFonts w:asciiTheme="majorBidi" w:hAnsiTheme="majorBidi" w:cstheme="majorBidi"/>
          <w:b/>
          <w:bCs/>
          <w:i/>
          <w:iCs/>
        </w:rPr>
        <w:t xml:space="preserve">Fig. </w:t>
      </w:r>
      <w:r w:rsidR="00762B59">
        <w:rPr>
          <w:rFonts w:asciiTheme="majorBidi" w:hAnsiTheme="majorBidi" w:cstheme="majorBidi"/>
          <w:b/>
          <w:bCs/>
          <w:i/>
          <w:iCs/>
          <w:noProof/>
        </w:rPr>
        <w:t>2</w:t>
      </w:r>
      <w:r w:rsidR="00762B59">
        <w:rPr>
          <w:rFonts w:asciiTheme="majorBidi" w:hAnsiTheme="majorBidi" w:cstheme="majorBidi"/>
          <w:sz w:val="24"/>
          <w:szCs w:val="24"/>
        </w:rPr>
        <w:fldChar w:fldCharType="end"/>
      </w:r>
      <w:r w:rsidRPr="001763D9">
        <w:rPr>
          <w:rFonts w:asciiTheme="majorBidi" w:hAnsiTheme="majorBidi" w:cstheme="majorBidi"/>
          <w:sz w:val="24"/>
          <w:szCs w:val="24"/>
        </w:rPr>
        <w:t>. Further details are presented i</w:t>
      </w:r>
      <w:r w:rsidRPr="00C42FCB">
        <w:rPr>
          <w:rFonts w:asciiTheme="majorBidi" w:hAnsiTheme="majorBidi" w:cstheme="majorBidi"/>
          <w:sz w:val="24"/>
          <w:szCs w:val="24"/>
        </w:rPr>
        <w:t>n</w:t>
      </w:r>
      <w:r w:rsidR="00C42FCB" w:rsidRPr="00C42FCB">
        <w:rPr>
          <w:rFonts w:asciiTheme="majorBidi" w:hAnsiTheme="majorBidi" w:cstheme="majorBidi"/>
          <w:sz w:val="24"/>
          <w:szCs w:val="24"/>
        </w:rPr>
        <w:t xml:space="preserve"> </w:t>
      </w:r>
      <w:r w:rsidR="00C42FCB" w:rsidRPr="00C42FCB">
        <w:rPr>
          <w:rFonts w:asciiTheme="majorBidi" w:hAnsiTheme="majorBidi" w:cstheme="majorBidi"/>
          <w:sz w:val="24"/>
          <w:szCs w:val="24"/>
        </w:rPr>
        <w:fldChar w:fldCharType="begin"/>
      </w:r>
      <w:r w:rsidR="00C42FCB" w:rsidRPr="00C42FCB">
        <w:rPr>
          <w:rFonts w:asciiTheme="majorBidi" w:hAnsiTheme="majorBidi" w:cstheme="majorBidi"/>
          <w:sz w:val="24"/>
          <w:szCs w:val="24"/>
        </w:rPr>
        <w:instrText xml:space="preserve"> REF _Ref798592 \h </w:instrText>
      </w:r>
      <w:r w:rsidR="00C42FCB">
        <w:rPr>
          <w:rFonts w:asciiTheme="majorBidi" w:hAnsiTheme="majorBidi" w:cstheme="majorBidi"/>
          <w:sz w:val="24"/>
          <w:szCs w:val="24"/>
        </w:rPr>
        <w:instrText xml:space="preserve"> \* MERGEFORMAT </w:instrText>
      </w:r>
      <w:r w:rsidR="00C42FCB" w:rsidRPr="00C42FCB">
        <w:rPr>
          <w:rFonts w:asciiTheme="majorBidi" w:hAnsiTheme="majorBidi" w:cstheme="majorBidi"/>
          <w:sz w:val="24"/>
          <w:szCs w:val="24"/>
        </w:rPr>
      </w:r>
      <w:r w:rsidR="00C42FCB" w:rsidRPr="00C42FCB">
        <w:rPr>
          <w:rFonts w:asciiTheme="majorBidi" w:hAnsiTheme="majorBidi" w:cstheme="majorBidi"/>
          <w:sz w:val="24"/>
          <w:szCs w:val="24"/>
        </w:rPr>
        <w:fldChar w:fldCharType="separate"/>
      </w:r>
      <w:r w:rsidR="00C42FCB" w:rsidRPr="00C42FCB">
        <w:rPr>
          <w:rFonts w:asciiTheme="majorBidi" w:hAnsiTheme="majorBidi" w:cstheme="majorBidi"/>
          <w:b/>
          <w:bCs/>
          <w:i/>
          <w:iCs/>
        </w:rPr>
        <w:t xml:space="preserve">Table </w:t>
      </w:r>
      <w:r w:rsidR="00C42FCB" w:rsidRPr="00C42FCB">
        <w:rPr>
          <w:rFonts w:asciiTheme="majorBidi" w:hAnsiTheme="majorBidi" w:cstheme="majorBidi"/>
          <w:b/>
          <w:bCs/>
          <w:i/>
          <w:iCs/>
          <w:noProof/>
        </w:rPr>
        <w:t>2</w:t>
      </w:r>
      <w:r w:rsidR="00C42FCB" w:rsidRPr="00C42FCB">
        <w:rPr>
          <w:rFonts w:asciiTheme="majorBidi" w:hAnsiTheme="majorBidi" w:cstheme="majorBidi"/>
          <w:sz w:val="24"/>
          <w:szCs w:val="24"/>
        </w:rPr>
        <w:fldChar w:fldCharType="end"/>
      </w:r>
      <w:r w:rsidRPr="00C42FCB">
        <w:rPr>
          <w:rFonts w:asciiTheme="majorBidi" w:hAnsiTheme="majorBidi" w:cstheme="majorBidi"/>
          <w:sz w:val="24"/>
          <w:szCs w:val="24"/>
        </w:rPr>
        <w:t xml:space="preserve">, </w:t>
      </w:r>
      <w:r w:rsidR="00C42FCB" w:rsidRPr="00C42FCB">
        <w:rPr>
          <w:rFonts w:asciiTheme="majorBidi" w:hAnsiTheme="majorBidi" w:cstheme="majorBidi"/>
          <w:sz w:val="24"/>
          <w:szCs w:val="24"/>
        </w:rPr>
        <w:fldChar w:fldCharType="begin"/>
      </w:r>
      <w:r w:rsidR="00C42FCB" w:rsidRPr="00C42FCB">
        <w:rPr>
          <w:rFonts w:asciiTheme="majorBidi" w:hAnsiTheme="majorBidi" w:cstheme="majorBidi"/>
          <w:sz w:val="24"/>
          <w:szCs w:val="24"/>
        </w:rPr>
        <w:instrText xml:space="preserve"> REF _Ref798614 \h </w:instrText>
      </w:r>
      <w:r w:rsidR="00C42FCB">
        <w:rPr>
          <w:rFonts w:asciiTheme="majorBidi" w:hAnsiTheme="majorBidi" w:cstheme="majorBidi"/>
          <w:sz w:val="24"/>
          <w:szCs w:val="24"/>
        </w:rPr>
        <w:instrText xml:space="preserve"> \* MERGEFORMAT </w:instrText>
      </w:r>
      <w:r w:rsidR="00C42FCB" w:rsidRPr="00C42FCB">
        <w:rPr>
          <w:rFonts w:asciiTheme="majorBidi" w:hAnsiTheme="majorBidi" w:cstheme="majorBidi"/>
          <w:sz w:val="24"/>
          <w:szCs w:val="24"/>
        </w:rPr>
      </w:r>
      <w:r w:rsidR="00C42FCB" w:rsidRPr="00C42FCB">
        <w:rPr>
          <w:rFonts w:asciiTheme="majorBidi" w:hAnsiTheme="majorBidi" w:cstheme="majorBidi"/>
          <w:sz w:val="24"/>
          <w:szCs w:val="24"/>
        </w:rPr>
        <w:fldChar w:fldCharType="separate"/>
      </w:r>
      <w:r w:rsidR="00C42FCB" w:rsidRPr="00C42FCB">
        <w:rPr>
          <w:rFonts w:asciiTheme="majorBidi" w:hAnsiTheme="majorBidi" w:cstheme="majorBidi"/>
          <w:b/>
          <w:bCs/>
          <w:i/>
          <w:iCs/>
        </w:rPr>
        <w:t xml:space="preserve">Table </w:t>
      </w:r>
      <w:r w:rsidR="00C42FCB" w:rsidRPr="00C42FCB">
        <w:rPr>
          <w:rFonts w:asciiTheme="majorBidi" w:hAnsiTheme="majorBidi" w:cstheme="majorBidi"/>
          <w:b/>
          <w:bCs/>
          <w:i/>
          <w:iCs/>
          <w:noProof/>
        </w:rPr>
        <w:t>3</w:t>
      </w:r>
      <w:r w:rsidR="00C42FCB" w:rsidRPr="00C42FCB">
        <w:rPr>
          <w:rFonts w:asciiTheme="majorBidi" w:hAnsiTheme="majorBidi" w:cstheme="majorBidi"/>
          <w:sz w:val="24"/>
          <w:szCs w:val="24"/>
        </w:rPr>
        <w:fldChar w:fldCharType="end"/>
      </w:r>
      <w:r w:rsidR="00C42FCB" w:rsidRPr="00C42FCB">
        <w:rPr>
          <w:rFonts w:asciiTheme="majorBidi" w:hAnsiTheme="majorBidi" w:cstheme="majorBidi"/>
          <w:sz w:val="24"/>
          <w:szCs w:val="24"/>
        </w:rPr>
        <w:t xml:space="preserve"> </w:t>
      </w:r>
      <w:r w:rsidRPr="00C42FCB">
        <w:rPr>
          <w:rFonts w:asciiTheme="majorBidi" w:hAnsiTheme="majorBidi" w:cstheme="majorBidi"/>
          <w:sz w:val="24"/>
          <w:szCs w:val="24"/>
        </w:rPr>
        <w:t>and</w:t>
      </w:r>
      <w:r w:rsidR="00C42FCB" w:rsidRPr="00C42FCB">
        <w:rPr>
          <w:rFonts w:asciiTheme="majorBidi" w:hAnsiTheme="majorBidi" w:cstheme="majorBidi"/>
          <w:sz w:val="24"/>
          <w:szCs w:val="24"/>
        </w:rPr>
        <w:t xml:space="preserve"> </w:t>
      </w:r>
      <w:r w:rsidR="00C42FCB" w:rsidRPr="00C42FCB">
        <w:rPr>
          <w:rFonts w:asciiTheme="majorBidi" w:hAnsiTheme="majorBidi" w:cstheme="majorBidi"/>
          <w:sz w:val="24"/>
          <w:szCs w:val="24"/>
        </w:rPr>
        <w:fldChar w:fldCharType="begin"/>
      </w:r>
      <w:r w:rsidR="00C42FCB" w:rsidRPr="00C42FCB">
        <w:rPr>
          <w:rFonts w:asciiTheme="majorBidi" w:hAnsiTheme="majorBidi" w:cstheme="majorBidi"/>
          <w:sz w:val="24"/>
          <w:szCs w:val="24"/>
        </w:rPr>
        <w:instrText xml:space="preserve"> REF _Ref798626 \h </w:instrText>
      </w:r>
      <w:r w:rsidR="00C42FCB">
        <w:rPr>
          <w:rFonts w:asciiTheme="majorBidi" w:hAnsiTheme="majorBidi" w:cstheme="majorBidi"/>
          <w:sz w:val="24"/>
          <w:szCs w:val="24"/>
        </w:rPr>
        <w:instrText xml:space="preserve"> \* MERGEFORMAT </w:instrText>
      </w:r>
      <w:r w:rsidR="00C42FCB" w:rsidRPr="00C42FCB">
        <w:rPr>
          <w:rFonts w:asciiTheme="majorBidi" w:hAnsiTheme="majorBidi" w:cstheme="majorBidi"/>
          <w:sz w:val="24"/>
          <w:szCs w:val="24"/>
        </w:rPr>
      </w:r>
      <w:r w:rsidR="00C42FCB" w:rsidRPr="00C42FCB">
        <w:rPr>
          <w:rFonts w:asciiTheme="majorBidi" w:hAnsiTheme="majorBidi" w:cstheme="majorBidi"/>
          <w:sz w:val="24"/>
          <w:szCs w:val="24"/>
        </w:rPr>
        <w:fldChar w:fldCharType="separate"/>
      </w:r>
      <w:r w:rsidR="00C42FCB" w:rsidRPr="00C42FCB">
        <w:rPr>
          <w:rFonts w:asciiTheme="majorBidi" w:hAnsiTheme="majorBidi" w:cstheme="majorBidi"/>
          <w:b/>
          <w:bCs/>
          <w:i/>
          <w:iCs/>
        </w:rPr>
        <w:t xml:space="preserve">Table </w:t>
      </w:r>
      <w:r w:rsidR="00C42FCB" w:rsidRPr="00C42FCB">
        <w:rPr>
          <w:rFonts w:asciiTheme="majorBidi" w:hAnsiTheme="majorBidi" w:cstheme="majorBidi"/>
          <w:b/>
          <w:bCs/>
          <w:i/>
          <w:iCs/>
          <w:noProof/>
        </w:rPr>
        <w:t>4</w:t>
      </w:r>
      <w:r w:rsidR="00C42FCB" w:rsidRPr="00C42FCB">
        <w:rPr>
          <w:rFonts w:asciiTheme="majorBidi" w:hAnsiTheme="majorBidi" w:cstheme="majorBidi"/>
          <w:sz w:val="24"/>
          <w:szCs w:val="24"/>
        </w:rPr>
        <w:fldChar w:fldCharType="end"/>
      </w:r>
      <w:r w:rsidRPr="00C42FCB">
        <w:rPr>
          <w:rFonts w:asciiTheme="majorBidi" w:hAnsiTheme="majorBidi" w:cstheme="majorBidi"/>
          <w:sz w:val="24"/>
          <w:szCs w:val="24"/>
        </w:rPr>
        <w:t>.</w:t>
      </w:r>
    </w:p>
    <w:p w14:paraId="1D20EC0D" w14:textId="32804CA3" w:rsidR="00BE4C9A" w:rsidRPr="001763D9" w:rsidRDefault="004F56EF"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t xml:space="preserve">3.1. </w:t>
      </w:r>
      <w:r w:rsidR="00714FC6" w:rsidRPr="001763D9">
        <w:rPr>
          <w:rFonts w:asciiTheme="majorBidi" w:hAnsiTheme="majorBidi" w:cstheme="majorBidi"/>
          <w:i/>
          <w:iCs/>
          <w:sz w:val="24"/>
          <w:szCs w:val="24"/>
          <w:lang w:bidi="fa-IR"/>
        </w:rPr>
        <w:t xml:space="preserve">Primary outcome measures: mean and variability of </w:t>
      </w:r>
      <w:r w:rsidR="000257F7">
        <w:rPr>
          <w:rFonts w:asciiTheme="majorBidi" w:hAnsiTheme="majorBidi" w:cstheme="majorBidi"/>
          <w:i/>
          <w:iCs/>
          <w:sz w:val="24"/>
          <w:szCs w:val="24"/>
          <w:lang w:bidi="fa-IR"/>
        </w:rPr>
        <w:t>Mo</w:t>
      </w:r>
      <w:r w:rsidR="00714FC6" w:rsidRPr="001763D9">
        <w:rPr>
          <w:rFonts w:asciiTheme="majorBidi" w:hAnsiTheme="majorBidi" w:cstheme="majorBidi"/>
          <w:i/>
          <w:iCs/>
          <w:sz w:val="24"/>
          <w:szCs w:val="24"/>
          <w:lang w:bidi="fa-IR"/>
        </w:rPr>
        <w:t>S</w:t>
      </w:r>
    </w:p>
    <w:p w14:paraId="130C6FFD" w14:textId="4D9FBE2F" w:rsidR="00BE4C9A" w:rsidRPr="001763D9" w:rsidRDefault="00714FC6"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The experimental condition (RRSs) was</w:t>
      </w:r>
      <w:r w:rsidR="000257F7">
        <w:rPr>
          <w:rFonts w:asciiTheme="majorBidi" w:hAnsiTheme="majorBidi" w:cstheme="majorBidi"/>
          <w:sz w:val="24"/>
          <w:szCs w:val="24"/>
        </w:rPr>
        <w:t xml:space="preserve"> significantly different for SMoS (p&lt;0.0001), SMoS variability (p=0.0002) and FMoS (p&lt;0.0001). SMo</w:t>
      </w:r>
      <w:r w:rsidRPr="001763D9">
        <w:rPr>
          <w:rFonts w:asciiTheme="majorBidi" w:hAnsiTheme="majorBidi" w:cstheme="majorBidi"/>
          <w:sz w:val="24"/>
          <w:szCs w:val="24"/>
        </w:rPr>
        <w:t>S was greater with R10 and R15 in healthy participants (p=0.03 and p=0.01, respectively) and Non-NDPs (p=0.001 and p=0.0001, respectively) compared to barefoot, while there was no difference between c</w:t>
      </w:r>
      <w:r w:rsidR="000257F7">
        <w:rPr>
          <w:rFonts w:asciiTheme="majorBidi" w:hAnsiTheme="majorBidi" w:cstheme="majorBidi"/>
          <w:sz w:val="24"/>
          <w:szCs w:val="24"/>
        </w:rPr>
        <w:t>onditions for NDPs (p&gt;0.05). SMo</w:t>
      </w:r>
      <w:r w:rsidRPr="001763D9">
        <w:rPr>
          <w:rFonts w:asciiTheme="majorBidi" w:hAnsiTheme="majorBidi" w:cstheme="majorBidi"/>
          <w:sz w:val="24"/>
          <w:szCs w:val="24"/>
        </w:rPr>
        <w:t xml:space="preserve">S variability was greater with R15 (p=0.01) and R20 (p=0.023) compared to </w:t>
      </w:r>
      <w:r w:rsidRPr="001763D9">
        <w:rPr>
          <w:rFonts w:asciiTheme="majorBidi" w:hAnsiTheme="majorBidi" w:cstheme="majorBidi"/>
          <w:sz w:val="24"/>
          <w:szCs w:val="24"/>
        </w:rPr>
        <w:lastRenderedPageBreak/>
        <w:t>baref</w:t>
      </w:r>
      <w:r w:rsidR="000257F7">
        <w:rPr>
          <w:rFonts w:asciiTheme="majorBidi" w:hAnsiTheme="majorBidi" w:cstheme="majorBidi"/>
          <w:sz w:val="24"/>
          <w:szCs w:val="24"/>
        </w:rPr>
        <w:t>oot in healthy participants. SMo</w:t>
      </w:r>
      <w:r w:rsidRPr="001763D9">
        <w:rPr>
          <w:rFonts w:asciiTheme="majorBidi" w:hAnsiTheme="majorBidi" w:cstheme="majorBidi"/>
          <w:sz w:val="24"/>
          <w:szCs w:val="24"/>
        </w:rPr>
        <w:t>S variability was also greater with R15 compared to barefoot in Non-NDPs, while there was no difference between c</w:t>
      </w:r>
      <w:r w:rsidR="00EC2A23">
        <w:rPr>
          <w:rFonts w:asciiTheme="majorBidi" w:hAnsiTheme="majorBidi" w:cstheme="majorBidi"/>
          <w:sz w:val="24"/>
          <w:szCs w:val="24"/>
        </w:rPr>
        <w:t>onditions for NDPs (p&gt;0.05). FMo</w:t>
      </w:r>
      <w:r w:rsidRPr="001763D9">
        <w:rPr>
          <w:rFonts w:asciiTheme="majorBidi" w:hAnsiTheme="majorBidi" w:cstheme="majorBidi"/>
          <w:sz w:val="24"/>
          <w:szCs w:val="24"/>
        </w:rPr>
        <w:t>S was greater with R20 (p=0.005) in healthy participants, with R10 (p=0.01) and R20 (p=0.01) in Non-NDPs, and with R15 (p=0.01) in NDPs compared to barefoot.</w:t>
      </w:r>
    </w:p>
    <w:p w14:paraId="5F30F867" w14:textId="11B78C29" w:rsidR="00BE4C9A" w:rsidRPr="001763D9" w:rsidRDefault="00714FC6"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Main effect of group was signif</w:t>
      </w:r>
      <w:r w:rsidR="00EC2A23">
        <w:rPr>
          <w:rFonts w:asciiTheme="majorBidi" w:hAnsiTheme="majorBidi" w:cstheme="majorBidi"/>
          <w:sz w:val="24"/>
          <w:szCs w:val="24"/>
        </w:rPr>
        <w:t>icant for frontal plane i.e. FMoS and FMo</w:t>
      </w:r>
      <w:r w:rsidRPr="001763D9">
        <w:rPr>
          <w:rFonts w:asciiTheme="majorBidi" w:hAnsiTheme="majorBidi" w:cstheme="majorBidi"/>
          <w:sz w:val="24"/>
          <w:szCs w:val="24"/>
        </w:rPr>
        <w:t>S variability (p</w:t>
      </w:r>
      <w:r w:rsidR="00EC2A23">
        <w:rPr>
          <w:rFonts w:asciiTheme="majorBidi" w:hAnsiTheme="majorBidi" w:cstheme="majorBidi"/>
          <w:sz w:val="24"/>
          <w:szCs w:val="24"/>
        </w:rPr>
        <w:t>&lt;0.0001). NDPs showed higher FMo</w:t>
      </w:r>
      <w:r w:rsidRPr="001763D9">
        <w:rPr>
          <w:rFonts w:asciiTheme="majorBidi" w:hAnsiTheme="majorBidi" w:cstheme="majorBidi"/>
          <w:sz w:val="24"/>
          <w:szCs w:val="24"/>
        </w:rPr>
        <w:t>S compared to both Non-NDPs (p=0.001) and healthy participants (p&lt;0.0001), and Non-NDPs compared to healthy individuals (p=0.044) irrespective of</w:t>
      </w:r>
      <w:r w:rsidR="00EC2A23">
        <w:rPr>
          <w:rFonts w:asciiTheme="majorBidi" w:hAnsiTheme="majorBidi" w:cstheme="majorBidi"/>
          <w:sz w:val="24"/>
          <w:szCs w:val="24"/>
        </w:rPr>
        <w:t xml:space="preserve"> the experimental condition. FMo</w:t>
      </w:r>
      <w:r w:rsidRPr="001763D9">
        <w:rPr>
          <w:rFonts w:asciiTheme="majorBidi" w:hAnsiTheme="majorBidi" w:cstheme="majorBidi"/>
          <w:sz w:val="24"/>
          <w:szCs w:val="24"/>
        </w:rPr>
        <w:t>S variability was higher in NDPs compared to Non-NDPs (p=0.007) and healthy participants (p&lt;0.0001), as well as Non-NDPs compared to healthy individuals (p=0.04) irrespective of the experimental condition.</w:t>
      </w:r>
      <w:r w:rsidRPr="001763D9">
        <w:rPr>
          <w:rStyle w:val="CommentReference"/>
          <w:rFonts w:asciiTheme="majorBidi" w:hAnsiTheme="majorBidi" w:cstheme="majorBidi"/>
          <w:sz w:val="24"/>
          <w:szCs w:val="24"/>
        </w:rPr>
        <w:t xml:space="preserve"> </w:t>
      </w:r>
      <w:r w:rsidRPr="001763D9">
        <w:rPr>
          <w:rFonts w:asciiTheme="majorBidi" w:hAnsiTheme="majorBidi" w:cstheme="majorBidi"/>
          <w:sz w:val="24"/>
          <w:szCs w:val="24"/>
        </w:rPr>
        <w:t>The interaction of the experimental condition and group was not significant for any of the primary outcome measures (p&gt;0.05).</w:t>
      </w:r>
    </w:p>
    <w:p w14:paraId="74B669CC" w14:textId="1557196C" w:rsidR="00BE4C9A" w:rsidRPr="001763D9" w:rsidRDefault="00714FC6"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 xml:space="preserve">In addition, </w:t>
      </w:r>
      <w:r w:rsidR="00BE4C9A" w:rsidRPr="001763D9">
        <w:rPr>
          <w:rFonts w:asciiTheme="majorBidi" w:hAnsiTheme="majorBidi" w:cstheme="majorBidi"/>
          <w:sz w:val="24"/>
          <w:szCs w:val="24"/>
        </w:rPr>
        <w:t>b</w:t>
      </w:r>
      <w:r w:rsidR="00EC2A23">
        <w:rPr>
          <w:rFonts w:asciiTheme="majorBidi" w:hAnsiTheme="majorBidi" w:cstheme="majorBidi"/>
          <w:sz w:val="24"/>
          <w:szCs w:val="24"/>
        </w:rPr>
        <w:t>oth SMo</w:t>
      </w:r>
      <w:r w:rsidRPr="001763D9">
        <w:rPr>
          <w:rFonts w:asciiTheme="majorBidi" w:hAnsiTheme="majorBidi" w:cstheme="majorBidi"/>
          <w:sz w:val="24"/>
          <w:szCs w:val="24"/>
        </w:rPr>
        <w:t>S (r=0.67) and FM</w:t>
      </w:r>
      <w:r w:rsidR="00D13AE8">
        <w:rPr>
          <w:rFonts w:asciiTheme="majorBidi" w:hAnsiTheme="majorBidi" w:cstheme="majorBidi"/>
          <w:sz w:val="24"/>
          <w:szCs w:val="24"/>
        </w:rPr>
        <w:t>o</w:t>
      </w:r>
      <w:r w:rsidRPr="001763D9">
        <w:rPr>
          <w:rFonts w:asciiTheme="majorBidi" w:hAnsiTheme="majorBidi" w:cstheme="majorBidi"/>
          <w:sz w:val="24"/>
          <w:szCs w:val="24"/>
        </w:rPr>
        <w:t>S (r= 0.73) were strongly correlated with fear of fall in NDPs (p&lt;0.0001). A significant but weak</w:t>
      </w:r>
      <w:r w:rsidR="00EC2A23">
        <w:rPr>
          <w:rFonts w:asciiTheme="majorBidi" w:hAnsiTheme="majorBidi" w:cstheme="majorBidi"/>
          <w:sz w:val="24"/>
          <w:szCs w:val="24"/>
        </w:rPr>
        <w:t>er correlation was found for FMo</w:t>
      </w:r>
      <w:r w:rsidRPr="001763D9">
        <w:rPr>
          <w:rFonts w:asciiTheme="majorBidi" w:hAnsiTheme="majorBidi" w:cstheme="majorBidi"/>
          <w:sz w:val="24"/>
          <w:szCs w:val="24"/>
        </w:rPr>
        <w:t>S and FES-I scores in Non-NDPs (r= 0.23, p&lt;0.01). No significant correlation of FES-I scores and stability measures was found in healthy individuals (P=0.89).</w:t>
      </w:r>
    </w:p>
    <w:p w14:paraId="1505A3E8" w14:textId="77777777" w:rsidR="00BE4C9A" w:rsidRPr="001763D9" w:rsidRDefault="004F56EF" w:rsidP="00626B98">
      <w:pPr>
        <w:spacing w:line="480" w:lineRule="auto"/>
        <w:rPr>
          <w:rFonts w:asciiTheme="majorBidi" w:hAnsiTheme="majorBidi" w:cstheme="majorBidi"/>
          <w:i/>
          <w:iCs/>
          <w:sz w:val="24"/>
          <w:szCs w:val="24"/>
        </w:rPr>
      </w:pPr>
      <w:r w:rsidRPr="001763D9">
        <w:rPr>
          <w:rFonts w:asciiTheme="majorBidi" w:hAnsiTheme="majorBidi" w:cstheme="majorBidi"/>
          <w:i/>
          <w:iCs/>
          <w:sz w:val="24"/>
          <w:szCs w:val="24"/>
        </w:rPr>
        <w:t xml:space="preserve">3.2. </w:t>
      </w:r>
      <w:r w:rsidR="00714FC6" w:rsidRPr="001763D9">
        <w:rPr>
          <w:rFonts w:asciiTheme="majorBidi" w:hAnsiTheme="majorBidi" w:cstheme="majorBidi"/>
          <w:i/>
          <w:iCs/>
          <w:sz w:val="24"/>
          <w:szCs w:val="24"/>
        </w:rPr>
        <w:t>Secondary outcome measures: SL, SLV, SW, SWV, speed, and cadence</w:t>
      </w:r>
    </w:p>
    <w:p w14:paraId="146DCB3C" w14:textId="77777777" w:rsidR="006C1CBE" w:rsidRPr="001763D9" w:rsidRDefault="00714FC6"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 xml:space="preserve">The experimental condition (RRSs) showed no significant effect on any of the secondary outcome measures (p&gt;0.05). Main effect of group was significant for SL (p=0.003), SWV (p=0.029), speed (p=0.014), and cadence (p=0.019). Healthy participants walked with longer steps compared to both Non-NDPs and NDPs in all experimental conditions. The significant </w:t>
      </w:r>
      <w:r w:rsidRPr="001763D9">
        <w:rPr>
          <w:rFonts w:asciiTheme="majorBidi" w:hAnsiTheme="majorBidi" w:cstheme="majorBidi"/>
          <w:sz w:val="24"/>
          <w:szCs w:val="24"/>
        </w:rPr>
        <w:lastRenderedPageBreak/>
        <w:t>difference of SWV among groups was mainly due to a higher variability with R20 in NDPs compared to healthy participants (p=0.047).</w:t>
      </w:r>
    </w:p>
    <w:p w14:paraId="531A6901" w14:textId="77777777" w:rsidR="006C1CBE" w:rsidRPr="001763D9" w:rsidRDefault="00714FC6" w:rsidP="00626B98">
      <w:pPr>
        <w:spacing w:line="480" w:lineRule="auto"/>
        <w:rPr>
          <w:rFonts w:asciiTheme="majorBidi" w:hAnsiTheme="majorBidi" w:cstheme="majorBidi"/>
          <w:sz w:val="24"/>
          <w:szCs w:val="24"/>
        </w:rPr>
      </w:pPr>
      <w:r w:rsidRPr="001763D9">
        <w:rPr>
          <w:rFonts w:asciiTheme="majorBidi" w:hAnsiTheme="majorBidi" w:cstheme="majorBidi"/>
          <w:sz w:val="24"/>
          <w:szCs w:val="24"/>
        </w:rPr>
        <w:t xml:space="preserve">Healthy participants walked faster compared to Non-NDPs with R10 (p=0.041), and compared to both Non-NDPs and NDPs with R15 (p=0.033 and p=0.027, respectively) and R20 (p=0.01 and p=0.027, respectively). Group contrast analysis showed that healthy participants walked significantly faster than both Non-NDPs (p=0.02) and NDPs (p=0.042) irrespective of the experimental condition, while there was no difference between Non-NDPs and NDPs (p=0.99). Cadence was greater in healthy participants compared to Non-NDPs with R15 (p=0.011) and R20 (p=0.004). Finally, the interaction of experimental condition and group was not significant for any of the secondary outcome measures (p&gt;0.05). </w:t>
      </w:r>
    </w:p>
    <w:p w14:paraId="373B2BA6" w14:textId="77777777" w:rsidR="006C1CBE" w:rsidRPr="001763D9" w:rsidRDefault="004F56EF" w:rsidP="00626B98">
      <w:pPr>
        <w:spacing w:line="480" w:lineRule="auto"/>
        <w:rPr>
          <w:rFonts w:asciiTheme="majorBidi" w:hAnsiTheme="majorBidi" w:cstheme="majorBidi"/>
          <w:b/>
          <w:bCs/>
          <w:sz w:val="24"/>
          <w:szCs w:val="24"/>
        </w:rPr>
      </w:pPr>
      <w:r w:rsidRPr="001763D9">
        <w:rPr>
          <w:rFonts w:asciiTheme="majorBidi" w:hAnsiTheme="majorBidi" w:cstheme="majorBidi"/>
          <w:b/>
          <w:bCs/>
          <w:sz w:val="24"/>
          <w:szCs w:val="24"/>
        </w:rPr>
        <w:t xml:space="preserve">4. </w:t>
      </w:r>
      <w:r w:rsidR="00714FC6" w:rsidRPr="001763D9">
        <w:rPr>
          <w:rFonts w:asciiTheme="majorBidi" w:hAnsiTheme="majorBidi" w:cstheme="majorBidi"/>
          <w:b/>
          <w:bCs/>
          <w:sz w:val="24"/>
          <w:szCs w:val="24"/>
        </w:rPr>
        <w:t>Discussion</w:t>
      </w:r>
    </w:p>
    <w:p w14:paraId="74064270" w14:textId="4976F71C" w:rsidR="006C1CBE" w:rsidRPr="001763D9" w:rsidRDefault="00714FC6"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rPr>
        <w:t xml:space="preserve">Despite the clinical efficiency of RRSs in offloading the diabetic foot, it is not clear how gait stability of diabetics is affected by RRSs. We investigated gait stability of NDPs and Non-NDPs along with healthy individuals in barefoot and RRS conditions. </w:t>
      </w:r>
      <w:r w:rsidRPr="001763D9">
        <w:rPr>
          <w:rFonts w:asciiTheme="majorBidi" w:hAnsiTheme="majorBidi" w:cstheme="majorBidi"/>
          <w:sz w:val="24"/>
          <w:szCs w:val="24"/>
          <w:lang w:bidi="fa-IR"/>
        </w:rPr>
        <w:t xml:space="preserve">To our knowledge, this is the first study investigating the effect of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on gait</w:t>
      </w:r>
      <w:r w:rsidR="00E408DA">
        <w:rPr>
          <w:rFonts w:asciiTheme="majorBidi" w:hAnsiTheme="majorBidi" w:cstheme="majorBidi"/>
          <w:sz w:val="24"/>
          <w:szCs w:val="24"/>
          <w:lang w:bidi="fa-IR"/>
        </w:rPr>
        <w:t xml:space="preserve"> stability of diabetics using MoS. Our results showed that SMo</w:t>
      </w:r>
      <w:r w:rsidRPr="001763D9">
        <w:rPr>
          <w:rFonts w:asciiTheme="majorBidi" w:hAnsiTheme="majorBidi" w:cstheme="majorBidi"/>
          <w:sz w:val="24"/>
          <w:szCs w:val="24"/>
          <w:lang w:bidi="fa-IR"/>
        </w:rPr>
        <w:t xml:space="preserve">S of walking was affected by neither diabetes nor diabetic neuropathy. However, </w:t>
      </w:r>
      <w:r w:rsidRPr="001763D9">
        <w:rPr>
          <w:rFonts w:asciiTheme="majorBidi" w:hAnsiTheme="majorBidi" w:cstheme="majorBidi"/>
          <w:sz w:val="24"/>
          <w:szCs w:val="24"/>
        </w:rPr>
        <w:t>RRSs</w:t>
      </w:r>
      <w:r w:rsidR="00E408DA">
        <w:rPr>
          <w:rFonts w:asciiTheme="majorBidi" w:hAnsiTheme="majorBidi" w:cstheme="majorBidi"/>
          <w:sz w:val="24"/>
          <w:szCs w:val="24"/>
          <w:lang w:bidi="fa-IR"/>
        </w:rPr>
        <w:t xml:space="preserve"> could affect SMo</w:t>
      </w:r>
      <w:r w:rsidRPr="001763D9">
        <w:rPr>
          <w:rFonts w:asciiTheme="majorBidi" w:hAnsiTheme="majorBidi" w:cstheme="majorBidi"/>
          <w:sz w:val="24"/>
          <w:szCs w:val="24"/>
          <w:lang w:bidi="fa-IR"/>
        </w:rPr>
        <w:t>S in healthy individual</w:t>
      </w:r>
      <w:r w:rsidR="00E408DA">
        <w:rPr>
          <w:rFonts w:asciiTheme="majorBidi" w:hAnsiTheme="majorBidi" w:cstheme="majorBidi"/>
          <w:sz w:val="24"/>
          <w:szCs w:val="24"/>
          <w:lang w:bidi="fa-IR"/>
        </w:rPr>
        <w:t>s and Non-NDPs. In contrast, FMo</w:t>
      </w:r>
      <w:r w:rsidRPr="001763D9">
        <w:rPr>
          <w:rFonts w:asciiTheme="majorBidi" w:hAnsiTheme="majorBidi" w:cstheme="majorBidi"/>
          <w:sz w:val="24"/>
          <w:szCs w:val="24"/>
          <w:lang w:bidi="fa-IR"/>
        </w:rPr>
        <w:t xml:space="preserve">S of walking not only was affected by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in all three groups of participants, but also by diabetes and diabetic neuropathy. These findings</w:t>
      </w:r>
      <w:r w:rsidR="00E408DA">
        <w:rPr>
          <w:rFonts w:asciiTheme="majorBidi" w:hAnsiTheme="majorBidi" w:cstheme="majorBidi"/>
          <w:sz w:val="24"/>
          <w:szCs w:val="24"/>
          <w:lang w:bidi="fa-IR"/>
        </w:rPr>
        <w:t xml:space="preserve"> may show the sensitivity of FMo</w:t>
      </w:r>
      <w:r w:rsidRPr="001763D9">
        <w:rPr>
          <w:rFonts w:asciiTheme="majorBidi" w:hAnsiTheme="majorBidi" w:cstheme="majorBidi"/>
          <w:sz w:val="24"/>
          <w:szCs w:val="24"/>
          <w:lang w:bidi="fa-IR"/>
        </w:rPr>
        <w:t>S to recogni</w:t>
      </w:r>
      <w:r w:rsidR="007335D9">
        <w:rPr>
          <w:rFonts w:asciiTheme="majorBidi" w:hAnsiTheme="majorBidi" w:cstheme="majorBidi"/>
          <w:sz w:val="24"/>
          <w:szCs w:val="24"/>
          <w:lang w:bidi="fa-IR"/>
        </w:rPr>
        <w:t>s</w:t>
      </w:r>
      <w:r w:rsidRPr="001763D9">
        <w:rPr>
          <w:rFonts w:asciiTheme="majorBidi" w:hAnsiTheme="majorBidi" w:cstheme="majorBidi"/>
          <w:sz w:val="24"/>
          <w:szCs w:val="24"/>
          <w:lang w:bidi="fa-IR"/>
        </w:rPr>
        <w:t>e any changes to the footwear or health status of the individuals.</w:t>
      </w:r>
    </w:p>
    <w:p w14:paraId="2F2FB94D" w14:textId="2CCDFC5C" w:rsidR="006C1CBE" w:rsidRPr="001763D9" w:rsidRDefault="00714FC6" w:rsidP="00762B59">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Our findings indicated all participants walke</w:t>
      </w:r>
      <w:r w:rsidR="00E408DA">
        <w:rPr>
          <w:rFonts w:asciiTheme="majorBidi" w:hAnsiTheme="majorBidi" w:cstheme="majorBidi"/>
          <w:sz w:val="24"/>
          <w:szCs w:val="24"/>
          <w:lang w:bidi="fa-IR"/>
        </w:rPr>
        <w:t>d with the same magnitude of SMo</w:t>
      </w:r>
      <w:r w:rsidRPr="001763D9">
        <w:rPr>
          <w:rFonts w:asciiTheme="majorBidi" w:hAnsiTheme="majorBidi" w:cstheme="majorBidi"/>
          <w:sz w:val="24"/>
          <w:szCs w:val="24"/>
          <w:lang w:bidi="fa-IR"/>
        </w:rPr>
        <w:t xml:space="preserve">S irrespective of the footwear. In other words, NDPs, Non-NDPs and healthy individuals were equally stable in </w:t>
      </w:r>
      <w:r w:rsidRPr="001763D9">
        <w:rPr>
          <w:rFonts w:asciiTheme="majorBidi" w:hAnsiTheme="majorBidi" w:cstheme="majorBidi"/>
          <w:sz w:val="24"/>
          <w:szCs w:val="24"/>
          <w:lang w:bidi="fa-IR"/>
        </w:rPr>
        <w:lastRenderedPageBreak/>
        <w:t>the anterior-posterior direction while walking during all experimental conditions. Shorter steps and slower walking speed of NDPs and Non-NDPs compared to healthy individuals helped them e</w:t>
      </w:r>
      <w:r w:rsidR="00E408DA">
        <w:rPr>
          <w:rFonts w:asciiTheme="majorBidi" w:hAnsiTheme="majorBidi" w:cstheme="majorBidi"/>
          <w:sz w:val="24"/>
          <w:szCs w:val="24"/>
          <w:lang w:bidi="fa-IR"/>
        </w:rPr>
        <w:t>xhibit the same magnitude of SMoS. Higher SMo</w:t>
      </w:r>
      <w:r w:rsidRPr="001763D9">
        <w:rPr>
          <w:rFonts w:asciiTheme="majorBidi" w:hAnsiTheme="majorBidi" w:cstheme="majorBidi"/>
          <w:sz w:val="24"/>
          <w:szCs w:val="24"/>
          <w:lang w:bidi="fa-IR"/>
        </w:rPr>
        <w:t xml:space="preserve">S of healthy individuals and Non-NDPs, with R10 and R15 compared to </w:t>
      </w:r>
      <w:r w:rsidRPr="001763D9">
        <w:rPr>
          <w:rFonts w:asciiTheme="majorBidi" w:hAnsiTheme="majorBidi" w:cstheme="majorBidi"/>
          <w:sz w:val="24"/>
          <w:szCs w:val="24"/>
        </w:rPr>
        <w:t>barefoot</w:t>
      </w:r>
      <w:r w:rsidRPr="001763D9">
        <w:rPr>
          <w:rFonts w:asciiTheme="majorBidi" w:hAnsiTheme="majorBidi" w:cstheme="majorBidi"/>
          <w:sz w:val="24"/>
          <w:szCs w:val="24"/>
          <w:lang w:bidi="fa-IR"/>
        </w:rPr>
        <w:t xml:space="preserve"> indicated more walking stability. However, unchanged S</w:t>
      </w:r>
      <w:r w:rsidR="00E408DA">
        <w:rPr>
          <w:rFonts w:asciiTheme="majorBidi" w:hAnsiTheme="majorBidi" w:cstheme="majorBidi"/>
          <w:sz w:val="24"/>
          <w:szCs w:val="24"/>
          <w:lang w:bidi="fa-IR"/>
        </w:rPr>
        <w:t>Mo</w:t>
      </w:r>
      <w:r w:rsidRPr="001763D9">
        <w:rPr>
          <w:rFonts w:asciiTheme="majorBidi" w:hAnsiTheme="majorBidi" w:cstheme="majorBidi"/>
          <w:sz w:val="24"/>
          <w:szCs w:val="24"/>
          <w:lang w:bidi="fa-IR"/>
        </w:rPr>
        <w:t>S of NDPs revealed that they walked with a relatively constant degree of stability irrespective of the footwear (</w:t>
      </w:r>
      <w:r w:rsidR="00762B59">
        <w:rPr>
          <w:rFonts w:asciiTheme="majorBidi" w:hAnsiTheme="majorBidi" w:cstheme="majorBidi"/>
          <w:sz w:val="24"/>
          <w:szCs w:val="24"/>
          <w:highlight w:val="yellow"/>
          <w:lang w:bidi="fa-IR"/>
        </w:rPr>
        <w:fldChar w:fldCharType="begin"/>
      </w:r>
      <w:r w:rsidR="00762B59">
        <w:rPr>
          <w:rFonts w:asciiTheme="majorBidi" w:hAnsiTheme="majorBidi" w:cstheme="majorBidi"/>
          <w:sz w:val="24"/>
          <w:szCs w:val="24"/>
          <w:lang w:bidi="fa-IR"/>
        </w:rPr>
        <w:instrText xml:space="preserve"> REF _Ref798614 \h </w:instrText>
      </w:r>
      <w:r w:rsidR="00762B59">
        <w:rPr>
          <w:rFonts w:asciiTheme="majorBidi" w:hAnsiTheme="majorBidi" w:cstheme="majorBidi"/>
          <w:sz w:val="24"/>
          <w:szCs w:val="24"/>
          <w:highlight w:val="yellow"/>
          <w:lang w:bidi="fa-IR"/>
        </w:rPr>
      </w:r>
      <w:r w:rsidR="00762B59">
        <w:rPr>
          <w:rFonts w:asciiTheme="majorBidi" w:hAnsiTheme="majorBidi" w:cstheme="majorBidi"/>
          <w:sz w:val="24"/>
          <w:szCs w:val="24"/>
          <w:highlight w:val="yellow"/>
          <w:lang w:bidi="fa-IR"/>
        </w:rPr>
        <w:fldChar w:fldCharType="separate"/>
      </w:r>
      <w:r w:rsidR="00762B59" w:rsidRPr="001763D9">
        <w:rPr>
          <w:rFonts w:asciiTheme="majorBidi" w:hAnsiTheme="majorBidi" w:cstheme="majorBidi"/>
          <w:b/>
          <w:bCs/>
          <w:i/>
          <w:iCs/>
        </w:rPr>
        <w:t xml:space="preserve">Table </w:t>
      </w:r>
      <w:r w:rsidR="00762B59">
        <w:rPr>
          <w:rFonts w:asciiTheme="majorBidi" w:hAnsiTheme="majorBidi" w:cstheme="majorBidi"/>
          <w:b/>
          <w:bCs/>
          <w:i/>
          <w:iCs/>
          <w:noProof/>
        </w:rPr>
        <w:t>3</w:t>
      </w:r>
      <w:r w:rsidR="00762B59">
        <w:rPr>
          <w:rFonts w:asciiTheme="majorBidi" w:hAnsiTheme="majorBidi" w:cstheme="majorBidi"/>
          <w:sz w:val="24"/>
          <w:szCs w:val="24"/>
          <w:highlight w:val="yellow"/>
          <w:lang w:bidi="fa-IR"/>
        </w:rPr>
        <w:fldChar w:fldCharType="end"/>
      </w:r>
      <w:r w:rsidRPr="001763D9">
        <w:rPr>
          <w:rFonts w:asciiTheme="majorBidi" w:hAnsiTheme="majorBidi" w:cstheme="majorBidi"/>
          <w:sz w:val="24"/>
          <w:szCs w:val="24"/>
          <w:lang w:bidi="fa-IR"/>
        </w:rPr>
        <w:t xml:space="preserve">). This, in addition to the slower speed and shorter steps shows a conservative walking strategy of NDPs which is not the case in healthy individuals and Non-NDPs </w:t>
      </w:r>
      <w:r w:rsidRPr="001763D9">
        <w:rPr>
          <w:rFonts w:asciiTheme="majorBidi" w:hAnsiTheme="majorBidi" w:cstheme="majorBidi"/>
          <w:sz w:val="24"/>
          <w:szCs w:val="24"/>
          <w:lang w:bidi="fa-IR"/>
        </w:rPr>
        <w:fldChar w:fldCharType="begin" w:fldLock="1"/>
      </w:r>
      <w:r w:rsidR="00EE5CD7">
        <w:rPr>
          <w:rFonts w:asciiTheme="majorBidi" w:hAnsiTheme="majorBidi" w:cstheme="majorBidi"/>
          <w:sz w:val="24"/>
          <w:szCs w:val="24"/>
          <w:lang w:bidi="fa-IR"/>
        </w:rPr>
        <w:instrText>ADDIN CSL_CITATION {"citationItems":[{"id":"ITEM-1","itemData":{"ISSN":"0021-9290","PMID":"10899337","abstract":"Patients with diabetic peripheral neuropathy are significantly more likely to fall while walking than subjects with intact sensation. While it has been suggested that these patients walk slower to improve locomotor stability, slower speeds are also associated with increased locomotor variability, and increased variability has traditionally been equated with loss of stability. If the latter were true, this would suggest that slowing down, as a locomotor control strategy, should be completely antithetical to the goal of maintaining stability. The present study resolves these seemingly paradoxical findings by using methods from nonlinear time series analysis to directly quantify the sensitivity of the locomotor system to local perturbations that are manifested as natural kinematic variability. Fourteen patients with severe peripheral neuropathy and 12 gender-, age-, height-, and weight-matched non-diabetic controls participated. Sagittal plane angles of the right hip, knee, and ankle joints and tri-axial accelerations of the trunk were measured during 10 min of continuous overground walking at self-selected speeds. Maximum finite-time Lyapunov exponents were computed for each time series to quantify the local dynamic stability of these movements. Neuropathic patients exhibited slower walking speeds and better local dynamic stability of upper body movements in the horizontal plane than did control subjects. The differences in local dynamic stability were significantly predicted by differences in walking speed, but not by differences in sensory status. These results support the hypothesis that reductions in walking speed are a compensatory strategy used by neuropathic patients to maintain dynamic stability of the upper body during level walking.","author":[{"dropping-particle":"","family":"Dingwell","given":"J B","non-dropping-particle":"","parse-names":false,"suffix":""},{"dropping-particle":"","family":"Cusumano","given":"J P","non-dropping-particle":"","parse-names":false,"suffix":""},{"dropping-particle":"","family":"Sternad","given":"D","non-dropping-particle":"","parse-names":false,"suffix":""},{"dropping-particle":"","family":"Cavanagh","given":"P R","non-dropping-particle":"","parse-names":false,"suffix":""}],"container-title":"Journal of biomechanics","id":"ITEM-1","issue":"10","issued":{"date-parts":[["2000","10"]]},"page":"1269-77","title":"Slower speeds in patients with diabetic neuropathy lead to improved local dynamic stability of continuous overground walking.","type":"article-journal","volume":"33"},"uris":["http://www.mendeley.com/documents/?uuid=e381fe41-39ba-4878-af79-41c88f7c673c"]}],"mendeley":{"formattedCitation":"[38]","plainTextFormattedCitation":"[38]","previouslyFormattedCitation":"[37]"},"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00EE5CD7" w:rsidRPr="00EE5CD7">
        <w:rPr>
          <w:rFonts w:asciiTheme="majorBidi" w:hAnsiTheme="majorBidi" w:cstheme="majorBidi"/>
          <w:noProof/>
          <w:sz w:val="24"/>
          <w:szCs w:val="24"/>
          <w:lang w:bidi="fa-IR"/>
        </w:rPr>
        <w:t>[38]</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This finding is well reflected on scores of their fear of falling much higher than that of the healthy participants and Non-NDPs.</w:t>
      </w:r>
    </w:p>
    <w:p w14:paraId="54E48721" w14:textId="4FDCD0BC" w:rsidR="006C1CBE" w:rsidRPr="001763D9" w:rsidRDefault="00714FC6" w:rsidP="00762B59">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 xml:space="preserve">All participants showed a relatively equal (i.e. </w:t>
      </w:r>
      <w:r w:rsidR="00E408DA">
        <w:rPr>
          <w:rFonts w:asciiTheme="majorBidi" w:hAnsiTheme="majorBidi" w:cstheme="majorBidi"/>
          <w:sz w:val="24"/>
          <w:szCs w:val="24"/>
          <w:lang w:bidi="fa-IR"/>
        </w:rPr>
        <w:t>not statistically different) SMo</w:t>
      </w:r>
      <w:r w:rsidRPr="001763D9">
        <w:rPr>
          <w:rFonts w:asciiTheme="majorBidi" w:hAnsiTheme="majorBidi" w:cstheme="majorBidi"/>
          <w:sz w:val="24"/>
          <w:szCs w:val="24"/>
          <w:lang w:bidi="fa-IR"/>
        </w:rPr>
        <w:t>S variability irrespecti</w:t>
      </w:r>
      <w:r w:rsidR="00E408DA">
        <w:rPr>
          <w:rFonts w:asciiTheme="majorBidi" w:hAnsiTheme="majorBidi" w:cstheme="majorBidi"/>
          <w:sz w:val="24"/>
          <w:szCs w:val="24"/>
          <w:lang w:bidi="fa-IR"/>
        </w:rPr>
        <w:t>ve of the footwear, however, SMo</w:t>
      </w:r>
      <w:r w:rsidRPr="001763D9">
        <w:rPr>
          <w:rFonts w:asciiTheme="majorBidi" w:hAnsiTheme="majorBidi" w:cstheme="majorBidi"/>
          <w:sz w:val="24"/>
          <w:szCs w:val="24"/>
          <w:lang w:bidi="fa-IR"/>
        </w:rPr>
        <w:t>S variability was higher in healthy individuals and Non-NDPs with R15 and R20 compared to barefoot (</w:t>
      </w:r>
      <w:r w:rsidR="00762B59">
        <w:rPr>
          <w:rFonts w:asciiTheme="majorBidi" w:hAnsiTheme="majorBidi" w:cstheme="majorBidi"/>
          <w:sz w:val="24"/>
          <w:szCs w:val="24"/>
          <w:lang w:bidi="fa-IR"/>
        </w:rPr>
        <w:fldChar w:fldCharType="begin"/>
      </w:r>
      <w:r w:rsidR="00762B59">
        <w:rPr>
          <w:rFonts w:asciiTheme="majorBidi" w:hAnsiTheme="majorBidi" w:cstheme="majorBidi"/>
          <w:sz w:val="24"/>
          <w:szCs w:val="24"/>
          <w:lang w:bidi="fa-IR"/>
        </w:rPr>
        <w:instrText xml:space="preserve"> REF _Ref798882 \h </w:instrText>
      </w:r>
      <w:r w:rsidR="00762B59">
        <w:rPr>
          <w:rFonts w:asciiTheme="majorBidi" w:hAnsiTheme="majorBidi" w:cstheme="majorBidi"/>
          <w:sz w:val="24"/>
          <w:szCs w:val="24"/>
          <w:lang w:bidi="fa-IR"/>
        </w:rPr>
      </w:r>
      <w:r w:rsidR="00762B59">
        <w:rPr>
          <w:rFonts w:asciiTheme="majorBidi" w:hAnsiTheme="majorBidi" w:cstheme="majorBidi"/>
          <w:sz w:val="24"/>
          <w:szCs w:val="24"/>
          <w:lang w:bidi="fa-IR"/>
        </w:rPr>
        <w:fldChar w:fldCharType="separate"/>
      </w:r>
      <w:r w:rsidR="00762B59" w:rsidRPr="008012ED">
        <w:rPr>
          <w:rFonts w:asciiTheme="majorBidi" w:hAnsiTheme="majorBidi" w:cstheme="majorBidi"/>
          <w:b/>
          <w:bCs/>
          <w:i/>
          <w:iCs/>
        </w:rPr>
        <w:t xml:space="preserve">Fig. </w:t>
      </w:r>
      <w:r w:rsidR="00762B59">
        <w:rPr>
          <w:rFonts w:asciiTheme="majorBidi" w:hAnsiTheme="majorBidi" w:cstheme="majorBidi"/>
          <w:b/>
          <w:bCs/>
          <w:i/>
          <w:iCs/>
          <w:noProof/>
        </w:rPr>
        <w:t>2</w:t>
      </w:r>
      <w:r w:rsidR="00762B5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This may indicate more adaptive/co</w:t>
      </w:r>
      <w:r w:rsidR="00E408DA">
        <w:rPr>
          <w:rFonts w:asciiTheme="majorBidi" w:hAnsiTheme="majorBidi" w:cstheme="majorBidi"/>
          <w:sz w:val="24"/>
          <w:szCs w:val="24"/>
          <w:lang w:bidi="fa-IR"/>
        </w:rPr>
        <w:t>rrective interaction of their CoM movement and sagittal Bo</w:t>
      </w:r>
      <w:r w:rsidRPr="001763D9">
        <w:rPr>
          <w:rFonts w:asciiTheme="majorBidi" w:hAnsiTheme="majorBidi" w:cstheme="majorBidi"/>
          <w:sz w:val="24"/>
          <w:szCs w:val="24"/>
          <w:lang w:bidi="fa-IR"/>
        </w:rPr>
        <w:t>S, as an effort to preserve a certain deg</w:t>
      </w:r>
      <w:r w:rsidR="00E408DA">
        <w:rPr>
          <w:rFonts w:asciiTheme="majorBidi" w:hAnsiTheme="majorBidi" w:cstheme="majorBidi"/>
          <w:sz w:val="24"/>
          <w:szCs w:val="24"/>
          <w:lang w:bidi="fa-IR"/>
        </w:rPr>
        <w:t>ree of SMo</w:t>
      </w:r>
      <w:r w:rsidRPr="001763D9">
        <w:rPr>
          <w:rFonts w:asciiTheme="majorBidi" w:hAnsiTheme="majorBidi" w:cstheme="majorBidi"/>
          <w:sz w:val="24"/>
          <w:szCs w:val="24"/>
          <w:lang w:bidi="fa-IR"/>
        </w:rPr>
        <w:t>S with R15 and R20. Due to the constant step length variability, such variability has been most like</w:t>
      </w:r>
      <w:r w:rsidR="00B41A1C">
        <w:rPr>
          <w:rFonts w:asciiTheme="majorBidi" w:hAnsiTheme="majorBidi" w:cstheme="majorBidi"/>
          <w:sz w:val="24"/>
          <w:szCs w:val="24"/>
          <w:lang w:bidi="fa-IR"/>
        </w:rPr>
        <w:t>ly occurred through adjusting Co</w:t>
      </w:r>
      <w:r w:rsidRPr="001763D9">
        <w:rPr>
          <w:rFonts w:asciiTheme="majorBidi" w:hAnsiTheme="majorBidi" w:cstheme="majorBidi"/>
          <w:sz w:val="24"/>
          <w:szCs w:val="24"/>
          <w:lang w:bidi="fa-IR"/>
        </w:rPr>
        <w:t>M motion rather tha</w:t>
      </w:r>
      <w:r w:rsidR="00B41A1C">
        <w:rPr>
          <w:rFonts w:asciiTheme="majorBidi" w:hAnsiTheme="majorBidi" w:cstheme="majorBidi"/>
          <w:sz w:val="24"/>
          <w:szCs w:val="24"/>
          <w:lang w:bidi="fa-IR"/>
        </w:rPr>
        <w:t>n changing sagittal limits of Bo</w:t>
      </w:r>
      <w:r w:rsidRPr="001763D9">
        <w:rPr>
          <w:rFonts w:asciiTheme="majorBidi" w:hAnsiTheme="majorBidi" w:cstheme="majorBidi"/>
          <w:sz w:val="24"/>
          <w:szCs w:val="24"/>
          <w:lang w:bidi="fa-IR"/>
        </w:rPr>
        <w:t>S. In contrast,</w:t>
      </w:r>
      <w:r w:rsidR="00B41A1C">
        <w:rPr>
          <w:rFonts w:asciiTheme="majorBidi" w:hAnsiTheme="majorBidi" w:cstheme="majorBidi"/>
          <w:sz w:val="24"/>
          <w:szCs w:val="24"/>
          <w:lang w:bidi="fa-IR"/>
        </w:rPr>
        <w:t xml:space="preserve"> NDPs walked with a constant SMo</w:t>
      </w:r>
      <w:r w:rsidRPr="001763D9">
        <w:rPr>
          <w:rFonts w:asciiTheme="majorBidi" w:hAnsiTheme="majorBidi" w:cstheme="majorBidi"/>
          <w:sz w:val="24"/>
          <w:szCs w:val="24"/>
          <w:lang w:bidi="fa-IR"/>
        </w:rPr>
        <w:t>S variability in all conditions which might be related to their higher fear of fall and conservative walking strategy.</w:t>
      </w:r>
    </w:p>
    <w:p w14:paraId="5E20D3C1" w14:textId="282CBE39" w:rsidR="006C1CBE" w:rsidRPr="001763D9" w:rsidRDefault="00B41A1C" w:rsidP="00626B98">
      <w:pPr>
        <w:spacing w:line="480" w:lineRule="auto"/>
        <w:rPr>
          <w:rFonts w:asciiTheme="majorBidi" w:hAnsiTheme="majorBidi" w:cstheme="majorBidi"/>
          <w:sz w:val="24"/>
          <w:szCs w:val="24"/>
          <w:lang w:bidi="fa-IR"/>
        </w:rPr>
      </w:pPr>
      <w:r>
        <w:rPr>
          <w:rFonts w:asciiTheme="majorBidi" w:hAnsiTheme="majorBidi" w:cstheme="majorBidi"/>
          <w:sz w:val="24"/>
          <w:szCs w:val="24"/>
          <w:lang w:bidi="fa-IR"/>
        </w:rPr>
        <w:t>NDPs showed a higher FMo</w:t>
      </w:r>
      <w:r w:rsidR="00714FC6" w:rsidRPr="001763D9">
        <w:rPr>
          <w:rFonts w:asciiTheme="majorBidi" w:hAnsiTheme="majorBidi" w:cstheme="majorBidi"/>
          <w:sz w:val="24"/>
          <w:szCs w:val="24"/>
          <w:lang w:bidi="fa-IR"/>
        </w:rPr>
        <w:t>S compared to Non-NDPs and healthy individuals i</w:t>
      </w:r>
      <w:r>
        <w:rPr>
          <w:rFonts w:asciiTheme="majorBidi" w:hAnsiTheme="majorBidi" w:cstheme="majorBidi"/>
          <w:sz w:val="24"/>
          <w:szCs w:val="24"/>
          <w:lang w:bidi="fa-IR"/>
        </w:rPr>
        <w:t>rrespective of the footwear. FMo</w:t>
      </w:r>
      <w:r w:rsidR="00714FC6" w:rsidRPr="001763D9">
        <w:rPr>
          <w:rFonts w:asciiTheme="majorBidi" w:hAnsiTheme="majorBidi" w:cstheme="majorBidi"/>
          <w:sz w:val="24"/>
          <w:szCs w:val="24"/>
          <w:lang w:bidi="fa-IR"/>
        </w:rPr>
        <w:t>S of Non-NDPs also was higher than healthy participants in all conditions. In other words, NDPs and Non-NDP</w:t>
      </w:r>
      <w:r>
        <w:rPr>
          <w:rFonts w:asciiTheme="majorBidi" w:hAnsiTheme="majorBidi" w:cstheme="majorBidi"/>
          <w:sz w:val="24"/>
          <w:szCs w:val="24"/>
          <w:lang w:bidi="fa-IR"/>
        </w:rPr>
        <w:t>s offered a higher degree of FMo</w:t>
      </w:r>
      <w:r w:rsidR="00714FC6" w:rsidRPr="001763D9">
        <w:rPr>
          <w:rFonts w:asciiTheme="majorBidi" w:hAnsiTheme="majorBidi" w:cstheme="majorBidi"/>
          <w:sz w:val="24"/>
          <w:szCs w:val="24"/>
          <w:lang w:bidi="fa-IR"/>
        </w:rPr>
        <w:t>S and lateral walking stability. Interestingly, step width was relatively equal between groups indicating relatively com</w:t>
      </w:r>
      <w:r>
        <w:rPr>
          <w:rFonts w:asciiTheme="majorBidi" w:hAnsiTheme="majorBidi" w:cstheme="majorBidi"/>
          <w:sz w:val="24"/>
          <w:szCs w:val="24"/>
          <w:lang w:bidi="fa-IR"/>
        </w:rPr>
        <w:t>parable boundaries of frontal Bo</w:t>
      </w:r>
      <w:r w:rsidR="00714FC6" w:rsidRPr="001763D9">
        <w:rPr>
          <w:rFonts w:asciiTheme="majorBidi" w:hAnsiTheme="majorBidi" w:cstheme="majorBidi"/>
          <w:sz w:val="24"/>
          <w:szCs w:val="24"/>
          <w:lang w:bidi="fa-IR"/>
        </w:rPr>
        <w:t xml:space="preserve">S among them. </w:t>
      </w:r>
      <w:r>
        <w:rPr>
          <w:rFonts w:asciiTheme="majorBidi" w:hAnsiTheme="majorBidi" w:cstheme="majorBidi"/>
          <w:sz w:val="24"/>
          <w:szCs w:val="24"/>
          <w:lang w:bidi="fa-IR"/>
        </w:rPr>
        <w:t>Thus, such a higher FMo</w:t>
      </w:r>
      <w:r w:rsidR="00714FC6" w:rsidRPr="001763D9">
        <w:rPr>
          <w:rFonts w:asciiTheme="majorBidi" w:hAnsiTheme="majorBidi" w:cstheme="majorBidi"/>
          <w:sz w:val="24"/>
          <w:szCs w:val="24"/>
          <w:lang w:bidi="fa-IR"/>
        </w:rPr>
        <w:t xml:space="preserve">S has been most likely caused by </w:t>
      </w:r>
      <w:r>
        <w:rPr>
          <w:rFonts w:asciiTheme="majorBidi" w:hAnsiTheme="majorBidi" w:cstheme="majorBidi"/>
          <w:sz w:val="24"/>
          <w:szCs w:val="24"/>
          <w:lang w:bidi="fa-IR"/>
        </w:rPr>
        <w:t>extremely restricting frontal Co</w:t>
      </w:r>
      <w:r w:rsidR="00714FC6" w:rsidRPr="001763D9">
        <w:rPr>
          <w:rFonts w:asciiTheme="majorBidi" w:hAnsiTheme="majorBidi" w:cstheme="majorBidi"/>
          <w:sz w:val="24"/>
          <w:szCs w:val="24"/>
          <w:lang w:bidi="fa-IR"/>
        </w:rPr>
        <w:t>M movement during walking in NDPs and Non-</w:t>
      </w:r>
      <w:r w:rsidR="00714FC6" w:rsidRPr="001763D9">
        <w:rPr>
          <w:rFonts w:asciiTheme="majorBidi" w:hAnsiTheme="majorBidi" w:cstheme="majorBidi"/>
          <w:sz w:val="24"/>
          <w:szCs w:val="24"/>
          <w:lang w:bidi="fa-IR"/>
        </w:rPr>
        <w:lastRenderedPageBreak/>
        <w:t xml:space="preserve">NDPs </w:t>
      </w:r>
      <w:r w:rsidR="00714FC6" w:rsidRPr="001763D9">
        <w:rPr>
          <w:rFonts w:asciiTheme="majorBidi" w:hAnsiTheme="majorBidi" w:cstheme="majorBidi"/>
          <w:sz w:val="24"/>
          <w:szCs w:val="24"/>
          <w:lang w:bidi="fa-IR"/>
        </w:rPr>
        <w:fldChar w:fldCharType="begin" w:fldLock="1"/>
      </w:r>
      <w:r w:rsidR="00EE5CD7">
        <w:rPr>
          <w:rFonts w:asciiTheme="majorBidi" w:hAnsiTheme="majorBidi" w:cstheme="majorBidi"/>
          <w:sz w:val="24"/>
          <w:szCs w:val="24"/>
          <w:lang w:bidi="fa-IR"/>
        </w:rPr>
        <w:instrText>ADDIN CSL_CITATION {"citationItems":[{"id":"ITEM-1","itemData":{"ISSN":"0021-9290","PMID":"10899337","abstract":"Patients with diabetic peripheral neuropathy are significantly more likely to fall while walking than subjects with intact sensation. While it has been suggested that these patients walk slower to improve locomotor stability, slower speeds are also associated with increased locomotor variability, and increased variability has traditionally been equated with loss of stability. If the latter were true, this would suggest that slowing down, as a locomotor control strategy, should be completely antithetical to the goal of maintaining stability. The present study resolves these seemingly paradoxical findings by using methods from nonlinear time series analysis to directly quantify the sensitivity of the locomotor system to local perturbations that are manifested as natural kinematic variability. Fourteen patients with severe peripheral neuropathy and 12 gender-, age-, height-, and weight-matched non-diabetic controls participated. Sagittal plane angles of the right hip, knee, and ankle joints and tri-axial accelerations of the trunk were measured during 10 min of continuous overground walking at self-selected speeds. Maximum finite-time Lyapunov exponents were computed for each time series to quantify the local dynamic stability of these movements. Neuropathic patients exhibited slower walking speeds and better local dynamic stability of upper body movements in the horizontal plane than did control subjects. The differences in local dynamic stability were significantly predicted by differences in walking speed, but not by differences in sensory status. These results support the hypothesis that reductions in walking speed are a compensatory strategy used by neuropathic patients to maintain dynamic stability of the upper body during level walking.","author":[{"dropping-particle":"","family":"Dingwell","given":"J B","non-dropping-particle":"","parse-names":false,"suffix":""},{"dropping-particle":"","family":"Cusumano","given":"J P","non-dropping-particle":"","parse-names":false,"suffix":""},{"dropping-particle":"","family":"Sternad","given":"D","non-dropping-particle":"","parse-names":false,"suffix":""},{"dropping-particle":"","family":"Cavanagh","given":"P R","non-dropping-particle":"","parse-names":false,"suffix":""}],"container-title":"Journal of biomechanics","id":"ITEM-1","issue":"10","issued":{"date-parts":[["2000","10"]]},"page":"1269-77","title":"Slower speeds in patients with diabetic neuropathy lead to improved local dynamic stability of continuous overground walking.","type":"article-journal","volume":"33"},"uris":["http://www.mendeley.com/documents/?uuid=e381fe41-39ba-4878-af79-41c88f7c673c"]}],"mendeley":{"formattedCitation":"[38]","plainTextFormattedCitation":"[38]","previouslyFormattedCitation":"[37]"},"properties":{"noteIndex":0},"schema":"https://github.com/citation-style-language/schema/raw/master/csl-citation.json"}</w:instrText>
      </w:r>
      <w:r w:rsidR="00714FC6" w:rsidRPr="001763D9">
        <w:rPr>
          <w:rFonts w:asciiTheme="majorBidi" w:hAnsiTheme="majorBidi" w:cstheme="majorBidi"/>
          <w:sz w:val="24"/>
          <w:szCs w:val="24"/>
          <w:lang w:bidi="fa-IR"/>
        </w:rPr>
        <w:fldChar w:fldCharType="separate"/>
      </w:r>
      <w:r w:rsidR="00EE5CD7" w:rsidRPr="00EE5CD7">
        <w:rPr>
          <w:rFonts w:asciiTheme="majorBidi" w:hAnsiTheme="majorBidi" w:cstheme="majorBidi"/>
          <w:noProof/>
          <w:sz w:val="24"/>
          <w:szCs w:val="24"/>
          <w:lang w:bidi="fa-IR"/>
        </w:rPr>
        <w:t>[38]</w:t>
      </w:r>
      <w:r w:rsidR="00714FC6" w:rsidRPr="001763D9">
        <w:rPr>
          <w:rFonts w:asciiTheme="majorBidi" w:hAnsiTheme="majorBidi" w:cstheme="majorBidi"/>
          <w:sz w:val="24"/>
          <w:szCs w:val="24"/>
          <w:lang w:bidi="fa-IR"/>
        </w:rPr>
        <w:fldChar w:fldCharType="end"/>
      </w:r>
      <w:r>
        <w:rPr>
          <w:rFonts w:asciiTheme="majorBidi" w:hAnsiTheme="majorBidi" w:cstheme="majorBidi"/>
          <w:sz w:val="24"/>
          <w:szCs w:val="24"/>
          <w:lang w:bidi="fa-IR"/>
        </w:rPr>
        <w:t>. Overall, FMo</w:t>
      </w:r>
      <w:r w:rsidR="00714FC6" w:rsidRPr="001763D9">
        <w:rPr>
          <w:rFonts w:asciiTheme="majorBidi" w:hAnsiTheme="majorBidi" w:cstheme="majorBidi"/>
          <w:sz w:val="24"/>
          <w:szCs w:val="24"/>
          <w:lang w:bidi="fa-IR"/>
        </w:rPr>
        <w:t xml:space="preserve">S with RRSs was higher than barefoot in all three groups. However, it was more significant with R20 in healthy individuals and Non-NDPs, with R15 in NDPs compared to barefoot. </w:t>
      </w:r>
    </w:p>
    <w:p w14:paraId="6758581A" w14:textId="45B519A6" w:rsidR="007407CF" w:rsidRPr="006A09D8" w:rsidRDefault="00714FC6" w:rsidP="00180207">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High</w:t>
      </w:r>
      <w:r w:rsidR="00B41A1C">
        <w:rPr>
          <w:rFonts w:asciiTheme="majorBidi" w:hAnsiTheme="majorBidi" w:cstheme="majorBidi"/>
          <w:sz w:val="24"/>
          <w:szCs w:val="24"/>
          <w:lang w:bidi="fa-IR"/>
        </w:rPr>
        <w:t>er FMo</w:t>
      </w:r>
      <w:r w:rsidRPr="001763D9">
        <w:rPr>
          <w:rFonts w:asciiTheme="majorBidi" w:hAnsiTheme="majorBidi" w:cstheme="majorBidi"/>
          <w:sz w:val="24"/>
          <w:szCs w:val="24"/>
          <w:lang w:bidi="fa-IR"/>
        </w:rPr>
        <w:t xml:space="preserve">S </w:t>
      </w:r>
      <w:r w:rsidRPr="006A09D8">
        <w:rPr>
          <w:rFonts w:asciiTheme="majorBidi" w:hAnsiTheme="majorBidi" w:cstheme="majorBidi"/>
          <w:sz w:val="24"/>
          <w:szCs w:val="24"/>
          <w:lang w:bidi="fa-IR"/>
        </w:rPr>
        <w:t xml:space="preserve">variability </w:t>
      </w:r>
      <w:r w:rsidR="00042950" w:rsidRPr="006A09D8">
        <w:rPr>
          <w:rFonts w:asciiTheme="majorBidi" w:hAnsiTheme="majorBidi" w:cstheme="majorBidi"/>
          <w:sz w:val="24"/>
          <w:szCs w:val="24"/>
          <w:lang w:bidi="fa-IR"/>
        </w:rPr>
        <w:t xml:space="preserve">and also stability </w:t>
      </w:r>
      <w:r w:rsidRPr="006A09D8">
        <w:rPr>
          <w:rFonts w:asciiTheme="majorBidi" w:hAnsiTheme="majorBidi" w:cstheme="majorBidi"/>
          <w:sz w:val="24"/>
          <w:szCs w:val="24"/>
          <w:lang w:bidi="fa-IR"/>
        </w:rPr>
        <w:t xml:space="preserve">of NDPs compared to healthy individuals and Non-NDPs, </w:t>
      </w:r>
      <w:r w:rsidR="00D52C18" w:rsidRPr="006A09D8">
        <w:rPr>
          <w:rFonts w:asciiTheme="majorBidi" w:hAnsiTheme="majorBidi" w:cstheme="majorBidi"/>
          <w:sz w:val="24"/>
          <w:szCs w:val="24"/>
          <w:lang w:bidi="fa-IR"/>
        </w:rPr>
        <w:t xml:space="preserve">and also </w:t>
      </w:r>
      <w:r w:rsidRPr="006A09D8">
        <w:rPr>
          <w:rFonts w:asciiTheme="majorBidi" w:hAnsiTheme="majorBidi" w:cstheme="majorBidi"/>
          <w:sz w:val="24"/>
          <w:szCs w:val="24"/>
          <w:lang w:bidi="fa-IR"/>
        </w:rPr>
        <w:t>Non-NDPs compared to healthy individuals during walking, may indicate an active exertion of NDPs and Non-NDPs to preserve a certain degree of frontal stability. R20 caused a higher FM</w:t>
      </w:r>
      <w:r w:rsidR="00623594" w:rsidRPr="006A09D8">
        <w:rPr>
          <w:rFonts w:asciiTheme="majorBidi" w:hAnsiTheme="majorBidi" w:cstheme="majorBidi"/>
          <w:sz w:val="24"/>
          <w:szCs w:val="24"/>
          <w:lang w:bidi="fa-IR"/>
        </w:rPr>
        <w:t>o</w:t>
      </w:r>
      <w:r w:rsidRPr="006A09D8">
        <w:rPr>
          <w:rFonts w:asciiTheme="majorBidi" w:hAnsiTheme="majorBidi" w:cstheme="majorBidi"/>
          <w:sz w:val="24"/>
          <w:szCs w:val="24"/>
          <w:lang w:bidi="fa-IR"/>
        </w:rPr>
        <w:t xml:space="preserve">S variability in NDPs compared to healthy individuals that can be explained by the greater step width variability of NDPs in R20. However, step width variability was almost equal between groups for other conditions showing regular adjustments of frontal </w:t>
      </w:r>
      <w:r w:rsidR="00B41A1C" w:rsidRPr="006A09D8">
        <w:rPr>
          <w:rFonts w:asciiTheme="majorBidi" w:hAnsiTheme="majorBidi" w:cstheme="majorBidi"/>
          <w:sz w:val="24"/>
          <w:szCs w:val="24"/>
          <w:lang w:bidi="fa-IR"/>
        </w:rPr>
        <w:t xml:space="preserve">CoM motion </w:t>
      </w:r>
      <w:r w:rsidR="0068134F" w:rsidRPr="006A09D8">
        <w:rPr>
          <w:rFonts w:asciiTheme="majorBidi" w:hAnsiTheme="majorBidi" w:cstheme="majorBidi"/>
          <w:sz w:val="24"/>
          <w:szCs w:val="24"/>
          <w:lang w:bidi="fa-IR"/>
        </w:rPr>
        <w:t xml:space="preserve">as a possible cause of </w:t>
      </w:r>
      <w:r w:rsidR="00B41A1C" w:rsidRPr="006A09D8">
        <w:rPr>
          <w:rFonts w:asciiTheme="majorBidi" w:hAnsiTheme="majorBidi" w:cstheme="majorBidi"/>
          <w:sz w:val="24"/>
          <w:szCs w:val="24"/>
          <w:lang w:bidi="fa-IR"/>
        </w:rPr>
        <w:t>higher FMo</w:t>
      </w:r>
      <w:r w:rsidRPr="006A09D8">
        <w:rPr>
          <w:rFonts w:asciiTheme="majorBidi" w:hAnsiTheme="majorBidi" w:cstheme="majorBidi"/>
          <w:sz w:val="24"/>
          <w:szCs w:val="24"/>
          <w:lang w:bidi="fa-IR"/>
        </w:rPr>
        <w:t>S variability of diabetics.</w:t>
      </w:r>
    </w:p>
    <w:p w14:paraId="50948797" w14:textId="30A8F227" w:rsidR="00BC0D14" w:rsidRPr="006A09D8" w:rsidRDefault="000A75E0" w:rsidP="001A3387">
      <w:pPr>
        <w:spacing w:line="480" w:lineRule="auto"/>
        <w:jc w:val="both"/>
        <w:rPr>
          <w:rFonts w:asciiTheme="majorBidi" w:hAnsiTheme="majorBidi" w:cstheme="majorBidi"/>
          <w:sz w:val="24"/>
          <w:szCs w:val="24"/>
          <w:lang w:bidi="fa-IR"/>
        </w:rPr>
      </w:pPr>
      <w:r w:rsidRPr="006A09D8">
        <w:rPr>
          <w:rFonts w:asciiTheme="majorBidi" w:hAnsiTheme="majorBidi" w:cstheme="majorBidi"/>
          <w:sz w:val="24"/>
          <w:szCs w:val="24"/>
          <w:lang w:bidi="fa-IR"/>
        </w:rPr>
        <w:t xml:space="preserve">There </w:t>
      </w:r>
      <w:r w:rsidR="00E50B96" w:rsidRPr="006A09D8">
        <w:rPr>
          <w:rFonts w:asciiTheme="majorBidi" w:hAnsiTheme="majorBidi" w:cstheme="majorBidi"/>
          <w:sz w:val="24"/>
          <w:szCs w:val="24"/>
          <w:lang w:bidi="fa-IR"/>
        </w:rPr>
        <w:t>would be</w:t>
      </w:r>
      <w:r w:rsidRPr="006A09D8">
        <w:rPr>
          <w:rFonts w:asciiTheme="majorBidi" w:hAnsiTheme="majorBidi" w:cstheme="majorBidi"/>
          <w:sz w:val="24"/>
          <w:szCs w:val="24"/>
          <w:lang w:bidi="fa-IR"/>
        </w:rPr>
        <w:t xml:space="preserve"> some explanations to the key rationale of the study which was </w:t>
      </w:r>
      <w:r w:rsidR="006B4B29" w:rsidRPr="006A09D8">
        <w:rPr>
          <w:rFonts w:asciiTheme="majorBidi" w:hAnsiTheme="majorBidi" w:cstheme="majorBidi"/>
          <w:sz w:val="24"/>
          <w:szCs w:val="24"/>
          <w:lang w:bidi="fa-IR"/>
        </w:rPr>
        <w:t xml:space="preserve">to </w:t>
      </w:r>
      <w:r w:rsidR="00AA1C12" w:rsidRPr="006A09D8">
        <w:rPr>
          <w:rFonts w:asciiTheme="majorBidi" w:hAnsiTheme="majorBidi" w:cstheme="majorBidi"/>
          <w:sz w:val="24"/>
          <w:szCs w:val="24"/>
          <w:lang w:bidi="fa-IR"/>
        </w:rPr>
        <w:t>answer</w:t>
      </w:r>
      <w:r w:rsidR="006B4B29" w:rsidRPr="006A09D8">
        <w:rPr>
          <w:rFonts w:asciiTheme="majorBidi" w:hAnsiTheme="majorBidi" w:cstheme="majorBidi"/>
          <w:sz w:val="24"/>
          <w:szCs w:val="24"/>
          <w:lang w:bidi="fa-IR"/>
        </w:rPr>
        <w:t xml:space="preserve"> </w:t>
      </w:r>
      <w:r w:rsidR="00477389" w:rsidRPr="006A09D8">
        <w:rPr>
          <w:rFonts w:asciiTheme="majorBidi" w:hAnsiTheme="majorBidi" w:cstheme="majorBidi"/>
          <w:sz w:val="24"/>
          <w:szCs w:val="24"/>
          <w:lang w:bidi="fa-IR"/>
        </w:rPr>
        <w:t xml:space="preserve">if </w:t>
      </w:r>
      <w:r w:rsidR="003065A0" w:rsidRPr="006A09D8">
        <w:rPr>
          <w:rFonts w:asciiTheme="majorBidi" w:hAnsiTheme="majorBidi" w:cstheme="majorBidi"/>
          <w:sz w:val="24"/>
          <w:szCs w:val="24"/>
          <w:lang w:bidi="fa-IR"/>
        </w:rPr>
        <w:t>adaptive walking str</w:t>
      </w:r>
      <w:r w:rsidR="00146316" w:rsidRPr="006A09D8">
        <w:rPr>
          <w:rFonts w:asciiTheme="majorBidi" w:hAnsiTheme="majorBidi" w:cstheme="majorBidi"/>
          <w:sz w:val="24"/>
          <w:szCs w:val="24"/>
          <w:lang w:bidi="fa-IR"/>
        </w:rPr>
        <w:t xml:space="preserve">ategies found in </w:t>
      </w:r>
      <w:r w:rsidR="006B4B29" w:rsidRPr="006A09D8">
        <w:rPr>
          <w:rFonts w:asciiTheme="majorBidi" w:hAnsiTheme="majorBidi" w:cstheme="majorBidi"/>
          <w:sz w:val="24"/>
          <w:szCs w:val="24"/>
          <w:lang w:bidi="fa-IR"/>
        </w:rPr>
        <w:t xml:space="preserve">diabetics </w:t>
      </w:r>
      <w:r w:rsidR="00014D64" w:rsidRPr="006A09D8">
        <w:rPr>
          <w:rFonts w:asciiTheme="majorBidi" w:hAnsiTheme="majorBidi" w:cstheme="majorBidi"/>
          <w:sz w:val="24"/>
          <w:szCs w:val="24"/>
          <w:lang w:bidi="fa-IR"/>
        </w:rPr>
        <w:t>are</w:t>
      </w:r>
      <w:r w:rsidR="003065A0" w:rsidRPr="006A09D8">
        <w:rPr>
          <w:rFonts w:asciiTheme="majorBidi" w:hAnsiTheme="majorBidi" w:cstheme="majorBidi"/>
          <w:sz w:val="24"/>
          <w:szCs w:val="24"/>
          <w:lang w:bidi="fa-IR"/>
        </w:rPr>
        <w:t xml:space="preserve"> substantially enough to cover potential destabilising effects of the RRSs</w:t>
      </w:r>
      <w:r w:rsidR="00BC0D14" w:rsidRPr="006A09D8">
        <w:rPr>
          <w:rFonts w:asciiTheme="majorBidi" w:hAnsiTheme="majorBidi" w:cstheme="majorBidi"/>
          <w:sz w:val="24"/>
          <w:szCs w:val="24"/>
          <w:lang w:bidi="fa-IR"/>
        </w:rPr>
        <w:t xml:space="preserve">. </w:t>
      </w:r>
      <w:r w:rsidR="00AE02E2" w:rsidRPr="006A09D8">
        <w:rPr>
          <w:rFonts w:asciiTheme="majorBidi" w:hAnsiTheme="majorBidi" w:cstheme="majorBidi"/>
          <w:sz w:val="24"/>
          <w:szCs w:val="24"/>
          <w:lang w:bidi="fa-IR"/>
        </w:rPr>
        <w:t xml:space="preserve">Finding </w:t>
      </w:r>
      <w:r w:rsidR="00971AAD" w:rsidRPr="006A09D8">
        <w:rPr>
          <w:rFonts w:asciiTheme="majorBidi" w:hAnsiTheme="majorBidi" w:cstheme="majorBidi"/>
          <w:sz w:val="24"/>
          <w:szCs w:val="24"/>
          <w:lang w:bidi="fa-IR"/>
        </w:rPr>
        <w:t xml:space="preserve">a significantly higher FMoS, </w:t>
      </w:r>
      <w:r w:rsidR="004109B6" w:rsidRPr="006A09D8">
        <w:rPr>
          <w:rFonts w:asciiTheme="majorBidi" w:hAnsiTheme="majorBidi" w:cstheme="majorBidi"/>
          <w:sz w:val="24"/>
          <w:szCs w:val="24"/>
          <w:lang w:bidi="fa-IR"/>
        </w:rPr>
        <w:t xml:space="preserve">and </w:t>
      </w:r>
      <w:r w:rsidR="00BC0D14" w:rsidRPr="006A09D8">
        <w:rPr>
          <w:rFonts w:asciiTheme="majorBidi" w:hAnsiTheme="majorBidi" w:cstheme="majorBidi"/>
          <w:sz w:val="24"/>
          <w:szCs w:val="24"/>
          <w:lang w:bidi="fa-IR"/>
        </w:rPr>
        <w:t>FMoS variabili</w:t>
      </w:r>
      <w:r w:rsidR="00AE02E2" w:rsidRPr="006A09D8">
        <w:rPr>
          <w:rFonts w:asciiTheme="majorBidi" w:hAnsiTheme="majorBidi" w:cstheme="majorBidi"/>
          <w:sz w:val="24"/>
          <w:szCs w:val="24"/>
          <w:lang w:bidi="fa-IR"/>
        </w:rPr>
        <w:t xml:space="preserve">ty in barefoot condition for </w:t>
      </w:r>
      <w:r w:rsidR="00530A7E" w:rsidRPr="006A09D8">
        <w:rPr>
          <w:rFonts w:asciiTheme="majorBidi" w:hAnsiTheme="majorBidi" w:cstheme="majorBidi"/>
          <w:sz w:val="24"/>
          <w:szCs w:val="24"/>
          <w:lang w:bidi="fa-IR"/>
        </w:rPr>
        <w:t>NDPs</w:t>
      </w:r>
      <w:r w:rsidR="00AE02E2" w:rsidRPr="006A09D8">
        <w:rPr>
          <w:rFonts w:asciiTheme="majorBidi" w:hAnsiTheme="majorBidi" w:cstheme="majorBidi"/>
          <w:sz w:val="24"/>
          <w:szCs w:val="24"/>
          <w:lang w:bidi="fa-IR"/>
        </w:rPr>
        <w:t xml:space="preserve"> </w:t>
      </w:r>
      <w:r w:rsidR="00971AAD" w:rsidRPr="006A09D8">
        <w:rPr>
          <w:rFonts w:asciiTheme="majorBidi" w:hAnsiTheme="majorBidi" w:cstheme="majorBidi"/>
          <w:sz w:val="24"/>
          <w:szCs w:val="24"/>
          <w:lang w:bidi="fa-IR"/>
        </w:rPr>
        <w:t xml:space="preserve">compared to healthy </w:t>
      </w:r>
      <w:r w:rsidR="004109B6" w:rsidRPr="006A09D8">
        <w:rPr>
          <w:rFonts w:asciiTheme="majorBidi" w:hAnsiTheme="majorBidi" w:cstheme="majorBidi"/>
          <w:sz w:val="24"/>
          <w:szCs w:val="24"/>
          <w:lang w:bidi="fa-IR"/>
        </w:rPr>
        <w:t>participants</w:t>
      </w:r>
      <w:r w:rsidR="00971AAD" w:rsidRPr="006A09D8">
        <w:rPr>
          <w:rFonts w:asciiTheme="majorBidi" w:hAnsiTheme="majorBidi" w:cstheme="majorBidi"/>
          <w:sz w:val="24"/>
          <w:szCs w:val="24"/>
          <w:lang w:bidi="fa-IR"/>
        </w:rPr>
        <w:t>,</w:t>
      </w:r>
      <w:r w:rsidR="00BC0D14" w:rsidRPr="006A09D8">
        <w:rPr>
          <w:rFonts w:asciiTheme="majorBidi" w:hAnsiTheme="majorBidi" w:cstheme="majorBidi"/>
          <w:sz w:val="24"/>
          <w:szCs w:val="24"/>
          <w:lang w:bidi="fa-IR"/>
        </w:rPr>
        <w:t xml:space="preserve"> m</w:t>
      </w:r>
      <w:r w:rsidR="004109B6" w:rsidRPr="006A09D8">
        <w:rPr>
          <w:rFonts w:asciiTheme="majorBidi" w:hAnsiTheme="majorBidi" w:cstheme="majorBidi"/>
          <w:sz w:val="24"/>
          <w:szCs w:val="24"/>
          <w:lang w:bidi="fa-IR"/>
        </w:rPr>
        <w:t>ight</w:t>
      </w:r>
      <w:r w:rsidR="00BC0D14" w:rsidRPr="006A09D8">
        <w:rPr>
          <w:rFonts w:asciiTheme="majorBidi" w:hAnsiTheme="majorBidi" w:cstheme="majorBidi"/>
          <w:sz w:val="24"/>
          <w:szCs w:val="24"/>
          <w:lang w:bidi="fa-IR"/>
        </w:rPr>
        <w:t xml:space="preserve"> </w:t>
      </w:r>
      <w:r w:rsidR="004109B6" w:rsidRPr="006A09D8">
        <w:rPr>
          <w:rFonts w:asciiTheme="majorBidi" w:hAnsiTheme="majorBidi" w:cstheme="majorBidi"/>
          <w:sz w:val="24"/>
          <w:szCs w:val="24"/>
          <w:lang w:bidi="fa-IR"/>
        </w:rPr>
        <w:t>indicate</w:t>
      </w:r>
      <w:r w:rsidR="00BC0D14" w:rsidRPr="006A09D8">
        <w:rPr>
          <w:rFonts w:asciiTheme="majorBidi" w:hAnsiTheme="majorBidi" w:cstheme="majorBidi"/>
          <w:sz w:val="24"/>
          <w:szCs w:val="24"/>
          <w:lang w:bidi="fa-IR"/>
        </w:rPr>
        <w:t xml:space="preserve"> that diabetic patients </w:t>
      </w:r>
      <w:r w:rsidR="00C13E3A" w:rsidRPr="006A09D8">
        <w:rPr>
          <w:rFonts w:asciiTheme="majorBidi" w:hAnsiTheme="majorBidi" w:cstheme="majorBidi"/>
          <w:sz w:val="24"/>
          <w:szCs w:val="24"/>
          <w:lang w:bidi="fa-IR"/>
        </w:rPr>
        <w:t xml:space="preserve">with neuropathy </w:t>
      </w:r>
      <w:r w:rsidR="00BC0D14" w:rsidRPr="006A09D8">
        <w:rPr>
          <w:rFonts w:asciiTheme="majorBidi" w:hAnsiTheme="majorBidi" w:cstheme="majorBidi"/>
          <w:sz w:val="24"/>
          <w:szCs w:val="24"/>
          <w:lang w:bidi="fa-IR"/>
        </w:rPr>
        <w:t xml:space="preserve">were ‘coping with’ their inherent instability caused by the disease during barefoot walking. Since they walked with the same </w:t>
      </w:r>
      <w:r w:rsidR="004109B6" w:rsidRPr="006A09D8">
        <w:rPr>
          <w:rFonts w:asciiTheme="majorBidi" w:hAnsiTheme="majorBidi" w:cstheme="majorBidi"/>
          <w:sz w:val="24"/>
          <w:szCs w:val="24"/>
          <w:lang w:bidi="fa-IR"/>
        </w:rPr>
        <w:t>step width</w:t>
      </w:r>
      <w:r w:rsidR="00BC0D14" w:rsidRPr="006A09D8">
        <w:rPr>
          <w:rFonts w:asciiTheme="majorBidi" w:hAnsiTheme="majorBidi" w:cstheme="majorBidi"/>
          <w:sz w:val="24"/>
          <w:szCs w:val="24"/>
          <w:lang w:bidi="fa-IR"/>
        </w:rPr>
        <w:t xml:space="preserve"> of healthy participants in all four experimental conditions, their higher FMoS </w:t>
      </w:r>
      <w:r w:rsidR="004109B6" w:rsidRPr="006A09D8">
        <w:rPr>
          <w:rFonts w:asciiTheme="majorBidi" w:hAnsiTheme="majorBidi" w:cstheme="majorBidi"/>
          <w:sz w:val="24"/>
          <w:szCs w:val="24"/>
          <w:lang w:bidi="fa-IR"/>
        </w:rPr>
        <w:t>was</w:t>
      </w:r>
      <w:r w:rsidR="00C81855" w:rsidRPr="006A09D8">
        <w:rPr>
          <w:rFonts w:asciiTheme="majorBidi" w:hAnsiTheme="majorBidi" w:cstheme="majorBidi"/>
          <w:sz w:val="24"/>
          <w:szCs w:val="24"/>
          <w:lang w:bidi="fa-IR"/>
        </w:rPr>
        <w:t xml:space="preserve"> the result of</w:t>
      </w:r>
      <w:r w:rsidR="00BC0D14" w:rsidRPr="006A09D8">
        <w:rPr>
          <w:rFonts w:asciiTheme="majorBidi" w:hAnsiTheme="majorBidi" w:cstheme="majorBidi"/>
          <w:sz w:val="24"/>
          <w:szCs w:val="24"/>
          <w:lang w:bidi="fa-IR"/>
        </w:rPr>
        <w:t xml:space="preserve"> constraining</w:t>
      </w:r>
      <w:r w:rsidR="00C4082E" w:rsidRPr="006A09D8">
        <w:rPr>
          <w:rFonts w:asciiTheme="majorBidi" w:hAnsiTheme="majorBidi" w:cstheme="majorBidi"/>
          <w:sz w:val="24"/>
          <w:szCs w:val="24"/>
          <w:lang w:bidi="fa-IR"/>
        </w:rPr>
        <w:t xml:space="preserve"> frontal</w:t>
      </w:r>
      <w:r w:rsidR="00BC0D14" w:rsidRPr="006A09D8">
        <w:rPr>
          <w:rFonts w:asciiTheme="majorBidi" w:hAnsiTheme="majorBidi" w:cstheme="majorBidi"/>
          <w:sz w:val="24"/>
          <w:szCs w:val="24"/>
          <w:lang w:bidi="fa-IR"/>
        </w:rPr>
        <w:t xml:space="preserve"> CoM movement as an adaptation to the perceived instability.</w:t>
      </w:r>
    </w:p>
    <w:p w14:paraId="232A26AE" w14:textId="6394764B" w:rsidR="00477389" w:rsidRPr="001763D9" w:rsidRDefault="00BC0D14" w:rsidP="001A3387">
      <w:pPr>
        <w:spacing w:line="480" w:lineRule="auto"/>
        <w:jc w:val="both"/>
        <w:rPr>
          <w:rFonts w:asciiTheme="majorBidi" w:hAnsiTheme="majorBidi" w:cstheme="majorBidi"/>
          <w:sz w:val="24"/>
          <w:szCs w:val="24"/>
          <w:lang w:bidi="fa-IR"/>
        </w:rPr>
      </w:pPr>
      <w:r w:rsidRPr="006A09D8">
        <w:rPr>
          <w:rFonts w:asciiTheme="majorBidi" w:hAnsiTheme="majorBidi" w:cstheme="majorBidi"/>
          <w:sz w:val="24"/>
          <w:szCs w:val="24"/>
          <w:lang w:bidi="fa-IR"/>
        </w:rPr>
        <w:t>At the same time, FMoS was also significantly higher in diabetics during walking with</w:t>
      </w:r>
      <w:r w:rsidR="007525F0" w:rsidRPr="006A09D8">
        <w:rPr>
          <w:rFonts w:asciiTheme="majorBidi" w:hAnsiTheme="majorBidi" w:cstheme="majorBidi"/>
          <w:sz w:val="24"/>
          <w:szCs w:val="24"/>
          <w:lang w:bidi="fa-IR"/>
        </w:rPr>
        <w:t xml:space="preserve"> </w:t>
      </w:r>
      <w:r w:rsidRPr="006A09D8">
        <w:rPr>
          <w:rFonts w:asciiTheme="majorBidi" w:hAnsiTheme="majorBidi" w:cstheme="majorBidi"/>
          <w:sz w:val="24"/>
          <w:szCs w:val="24"/>
          <w:lang w:bidi="fa-IR"/>
        </w:rPr>
        <w:t xml:space="preserve">RRSs compared to barefoot. </w:t>
      </w:r>
      <w:r w:rsidR="00641192" w:rsidRPr="006A09D8">
        <w:rPr>
          <w:rFonts w:asciiTheme="majorBidi" w:hAnsiTheme="majorBidi" w:cstheme="majorBidi"/>
          <w:sz w:val="24"/>
          <w:szCs w:val="24"/>
        </w:rPr>
        <w:t>Therefore, patients probably perceived the destabili</w:t>
      </w:r>
      <w:r w:rsidR="00667AB8" w:rsidRPr="006A09D8">
        <w:rPr>
          <w:rFonts w:asciiTheme="majorBidi" w:hAnsiTheme="majorBidi" w:cstheme="majorBidi"/>
          <w:sz w:val="24"/>
          <w:szCs w:val="24"/>
        </w:rPr>
        <w:t>s</w:t>
      </w:r>
      <w:r w:rsidR="00641192" w:rsidRPr="006A09D8">
        <w:rPr>
          <w:rFonts w:asciiTheme="majorBidi" w:hAnsiTheme="majorBidi" w:cstheme="majorBidi"/>
          <w:sz w:val="24"/>
          <w:szCs w:val="24"/>
        </w:rPr>
        <w:t>ing effects of the rocker s</w:t>
      </w:r>
      <w:r w:rsidR="00667AB8" w:rsidRPr="006A09D8">
        <w:rPr>
          <w:rFonts w:asciiTheme="majorBidi" w:hAnsiTheme="majorBidi" w:cstheme="majorBidi"/>
          <w:sz w:val="24"/>
          <w:szCs w:val="24"/>
        </w:rPr>
        <w:t>hoes</w:t>
      </w:r>
      <w:r w:rsidR="00641192" w:rsidRPr="006A09D8">
        <w:rPr>
          <w:rFonts w:asciiTheme="majorBidi" w:hAnsiTheme="majorBidi" w:cstheme="majorBidi"/>
          <w:sz w:val="24"/>
          <w:szCs w:val="24"/>
        </w:rPr>
        <w:t xml:space="preserve"> and thus further constrained their frontal CoM movement in order ‘to overcome’ this destabili</w:t>
      </w:r>
      <w:r w:rsidR="00C4082E" w:rsidRPr="006A09D8">
        <w:rPr>
          <w:rFonts w:asciiTheme="majorBidi" w:hAnsiTheme="majorBidi" w:cstheme="majorBidi"/>
          <w:sz w:val="24"/>
          <w:szCs w:val="24"/>
        </w:rPr>
        <w:t>s</w:t>
      </w:r>
      <w:r w:rsidR="00641192" w:rsidRPr="006A09D8">
        <w:rPr>
          <w:rFonts w:asciiTheme="majorBidi" w:hAnsiTheme="majorBidi" w:cstheme="majorBidi"/>
          <w:sz w:val="24"/>
          <w:szCs w:val="24"/>
        </w:rPr>
        <w:t>ing effect as well.</w:t>
      </w:r>
    </w:p>
    <w:p w14:paraId="3F1CC7CF" w14:textId="77777777" w:rsidR="00C50B14" w:rsidRPr="001763D9" w:rsidRDefault="00714FC6">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lastRenderedPageBreak/>
        <w:t xml:space="preserve">Healthy participants walked faster than both NDPs and Non-NDPs irrespective of the footwear. This is in a good agreement with previous studies </w:t>
      </w:r>
      <w:r w:rsidRPr="001763D9">
        <w:rPr>
          <w:rFonts w:asciiTheme="majorBidi" w:hAnsiTheme="majorBidi" w:cstheme="majorBidi"/>
          <w:sz w:val="24"/>
          <w:szCs w:val="24"/>
          <w:lang w:bidi="fa-IR"/>
        </w:rPr>
        <w:fldChar w:fldCharType="begin" w:fldLock="1"/>
      </w:r>
      <w:r w:rsidRPr="001763D9">
        <w:rPr>
          <w:rFonts w:asciiTheme="majorBidi" w:hAnsiTheme="majorBidi" w:cstheme="majorBidi"/>
          <w:sz w:val="24"/>
          <w:szCs w:val="24"/>
          <w:lang w:bidi="fa-IR"/>
        </w:rPr>
        <w:instrText>ADDIN CSL_CITATION {"citationItems":[{"id":"ITEM-1","itemData":{"DOI":"10.1155/2016/9305025","ISSN":"2314-6133","abstract":"Purpose . The aim of this paper is to review the published studies on the characteristics of impairments in the postural control and gait performance in diabetic peripheral neuropathy (DPN). Methods . A review was performed by obtaining publication of all papers reporting on the postural control and gait performance in DPN from Google Scholar, Ovid, SAGE, Springerlink, Science Direct (SD), EBSCO Discovery Service, and Web of Science databases. The keywords used for searching were “postural control,” “balance,” “gait performance,” “diabetes mellitus,” and “diabetic peripheral neuropathy.” Results . Total of 4,337 studies were hit in the search. 1,524 studies were screened on their titles and citations. Then, 79 studies were screened on their abstract. Only 38 studies were eligible to be selected: 17 studies on postural control and 21 studies on the gait performance. Most previous researches were found to have strong evidence of postural control impairments and noticeable gait deficits in DPN. Deterioration of somatosensory, visual, and vestibular systems with the pathologic condition of diabetes on cognitive impairment causes further instability of postural and gait performance in DPN. Conclusions . Postural instability and gait imbalance in DPN may contribute to high risk of fall incidence, especially in the geriatric population. Thus, further works are crucial to highlight this fact in the hospital based and community adults.","author":[{"dropping-particle":"","family":"Mustapa","given":"Amirah","non-dropping-particle":"","parse-names":false,"suffix":""},{"dropping-particle":"","family":"Justine","given":"Maria","non-dropping-particle":"","parse-names":false,"suffix":""},{"dropping-particle":"","family":"Mohd Mustafah","given":"Nadia","non-dropping-particle":"","parse-names":false,"suffix":""},{"dropping-particle":"","family":"Jamil","given":"Nursuriati","non-dropping-particle":"","parse-names":false,"suffix":""},{"dropping-particle":"","family":"Manaf","given":"Haidzir","non-dropping-particle":"","parse-names":false,"suffix":""}],"container-title":"BioMed Research International","id":"ITEM-1","issued":{"date-parts":[["2016"]]},"page":"1-14","title":"Postural Control and Gait Performance in the Diabetic Peripheral Neuropathy: A Systematic Review","type":"article-journal","volume":"2016"},"uris":["http://www.mendeley.com/documents/?uuid=f55ed939-754c-38f9-a55d-3be57a5b9d9a"]},{"id":"ITEM-2","itemData":{"DOI":"10.1007/s13300-017-0295-y","ISSN":"1869-6953","author":[{"dropping-particle":"","family":"Alam","given":"Uazman","non-dropping-particle":"","parse-names":false,"suffix":""},{"dropping-particle":"","family":"Riley","given":"David R.","non-dropping-particle":"","parse-names":false,"suffix":""},{"dropping-particle":"","family":"Jugdey","given":"Ravinder S.","non-dropping-particle":"","parse-names":false,"suffix":""},{"dropping-particle":"","family":"Azmi","given":"Shazli","non-dropping-particle":"","parse-names":false,"suffix":""},{"dropping-particle":"","family":"Rajbhandari","given":"Satyan","non-dropping-particle":"","parse-names":false,"suffix":""},{"dropping-particle":"","family":"D’Août","given":"Kristiaan","non-dropping-particle":"","parse-names":false,"suffix":""},{"dropping-particle":"","family":"Malik","given":"Rayaz A.","non-dropping-particle":"","parse-names":false,"suffix":""}],"container-title":"Diabetes Therapy","id":"ITEM-2","issued":{"date-parts":[["2017","9","1"]]},"page":"1-12","publisher":"Springer Healthcare","title":"Diabetic Neuropathy and Gait: A Review","type":"article-journal"},"uris":["http://www.mendeley.com/documents/?uuid=b4401410-9890-3307-bf2a-6d5f6dba1e9e"]}],"mendeley":{"formattedCitation":"[22,23]","plainTextFormattedCitation":"[22,23]","previouslyFormattedCitation":"[22,23]"},"properties":{"noteIndex":0},"schema":"https://github.com/citation-style-language/schema/raw/master/csl-citation.json"}</w:instrText>
      </w:r>
      <w:r w:rsidRPr="001763D9">
        <w:rPr>
          <w:rFonts w:asciiTheme="majorBidi" w:hAnsiTheme="majorBidi" w:cstheme="majorBidi"/>
          <w:sz w:val="24"/>
          <w:szCs w:val="24"/>
          <w:lang w:bidi="fa-IR"/>
        </w:rPr>
        <w:fldChar w:fldCharType="separate"/>
      </w:r>
      <w:r w:rsidRPr="001763D9">
        <w:rPr>
          <w:rFonts w:asciiTheme="majorBidi" w:hAnsiTheme="majorBidi" w:cstheme="majorBidi"/>
          <w:sz w:val="24"/>
          <w:szCs w:val="24"/>
          <w:lang w:bidi="fa-IR"/>
        </w:rPr>
        <w:t>[22,23]</w:t>
      </w:r>
      <w:r w:rsidRPr="001763D9">
        <w:rPr>
          <w:rFonts w:asciiTheme="majorBidi" w:hAnsiTheme="majorBidi" w:cstheme="majorBidi"/>
          <w:sz w:val="24"/>
          <w:szCs w:val="24"/>
          <w:lang w:bidi="fa-IR"/>
        </w:rPr>
        <w:fldChar w:fldCharType="end"/>
      </w:r>
      <w:r w:rsidRPr="001763D9">
        <w:rPr>
          <w:rFonts w:asciiTheme="majorBidi" w:hAnsiTheme="majorBidi" w:cstheme="majorBidi"/>
          <w:sz w:val="24"/>
          <w:szCs w:val="24"/>
          <w:lang w:bidi="fa-IR"/>
        </w:rPr>
        <w:t>. Particularly, healthy participants walked faster with R15 and R20 compared to diabetics that can be explained by diabetic conservative walking strategy. Walking speed of NDPs and Non-NDPs was almost equal in all conditions and not affected by mild to moderate neuropathy. However, cadence was lower in Non-NDPs compared to healthy individuals with R15 and R20 that was mainly due to their much slower speed. NDPs walked with the same cadence of healthy participants most likely due to their slower speed and shorter steps, though the latter was not statistically significant.</w:t>
      </w:r>
    </w:p>
    <w:p w14:paraId="4E2A356D" w14:textId="77777777" w:rsidR="00C50B14" w:rsidRPr="001763D9" w:rsidRDefault="004F56EF" w:rsidP="00626B98">
      <w:pPr>
        <w:spacing w:line="480" w:lineRule="auto"/>
        <w:rPr>
          <w:rFonts w:asciiTheme="majorBidi" w:hAnsiTheme="majorBidi" w:cstheme="majorBidi"/>
          <w:i/>
          <w:iCs/>
          <w:sz w:val="24"/>
          <w:szCs w:val="24"/>
          <w:lang w:bidi="fa-IR"/>
        </w:rPr>
      </w:pPr>
      <w:r w:rsidRPr="001763D9">
        <w:rPr>
          <w:rFonts w:asciiTheme="majorBidi" w:hAnsiTheme="majorBidi" w:cstheme="majorBidi"/>
          <w:i/>
          <w:iCs/>
          <w:sz w:val="24"/>
          <w:szCs w:val="24"/>
          <w:lang w:bidi="fa-IR"/>
        </w:rPr>
        <w:t xml:space="preserve">4.1. </w:t>
      </w:r>
      <w:r w:rsidR="00C50B14" w:rsidRPr="001763D9">
        <w:rPr>
          <w:rFonts w:asciiTheme="majorBidi" w:hAnsiTheme="majorBidi" w:cstheme="majorBidi"/>
          <w:i/>
          <w:iCs/>
          <w:sz w:val="24"/>
          <w:szCs w:val="24"/>
          <w:lang w:bidi="fa-IR"/>
        </w:rPr>
        <w:t>Study Limitations</w:t>
      </w:r>
    </w:p>
    <w:p w14:paraId="44507FA6" w14:textId="76ED6D73" w:rsidR="00C50B14" w:rsidRPr="001763D9" w:rsidRDefault="00714FC6" w:rsidP="00180207">
      <w:pPr>
        <w:spacing w:line="480" w:lineRule="auto"/>
        <w:rPr>
          <w:rFonts w:asciiTheme="majorBidi" w:hAnsiTheme="majorBidi" w:cstheme="majorBidi"/>
          <w:sz w:val="24"/>
          <w:szCs w:val="24"/>
          <w:rtl/>
          <w:lang w:bidi="fa-IR"/>
        </w:rPr>
      </w:pPr>
      <w:r w:rsidRPr="001763D9">
        <w:rPr>
          <w:rFonts w:asciiTheme="majorBidi" w:hAnsiTheme="majorBidi" w:cstheme="majorBidi"/>
          <w:sz w:val="24"/>
          <w:szCs w:val="24"/>
          <w:lang w:bidi="fa-IR"/>
        </w:rPr>
        <w:t>Participant groups were not balanced that can be a limitation to the study. However, our statistics showed that results were not significantly affected by the age or BMI</w:t>
      </w:r>
      <w:r w:rsidRPr="006A09D8">
        <w:rPr>
          <w:rFonts w:asciiTheme="majorBidi" w:hAnsiTheme="majorBidi" w:cstheme="majorBidi"/>
          <w:sz w:val="24"/>
          <w:szCs w:val="24"/>
          <w:lang w:bidi="fa-IR"/>
        </w:rPr>
        <w:t>.</w:t>
      </w:r>
      <w:r w:rsidR="005A6EA3" w:rsidRPr="006A09D8">
        <w:rPr>
          <w:rFonts w:asciiTheme="majorBidi" w:hAnsiTheme="majorBidi" w:cstheme="majorBidi"/>
          <w:sz w:val="24"/>
          <w:szCs w:val="24"/>
          <w:lang w:bidi="fa-IR"/>
        </w:rPr>
        <w:t xml:space="preserve"> </w:t>
      </w:r>
      <w:r w:rsidR="00B135F5" w:rsidRPr="006A09D8">
        <w:rPr>
          <w:rFonts w:asciiTheme="majorBidi" w:hAnsiTheme="majorBidi" w:cstheme="majorBidi"/>
          <w:sz w:val="24"/>
          <w:szCs w:val="24"/>
          <w:lang w:bidi="fa-IR"/>
        </w:rPr>
        <w:t xml:space="preserve">None of </w:t>
      </w:r>
      <w:r w:rsidR="00B90C22" w:rsidRPr="006A09D8">
        <w:rPr>
          <w:rFonts w:asciiTheme="majorBidi" w:hAnsiTheme="majorBidi" w:cstheme="majorBidi"/>
          <w:sz w:val="24"/>
          <w:szCs w:val="24"/>
          <w:lang w:bidi="fa-IR"/>
        </w:rPr>
        <w:t xml:space="preserve">the </w:t>
      </w:r>
      <w:r w:rsidR="00B135F5" w:rsidRPr="006A09D8">
        <w:rPr>
          <w:rFonts w:asciiTheme="majorBidi" w:hAnsiTheme="majorBidi" w:cstheme="majorBidi"/>
          <w:sz w:val="24"/>
          <w:szCs w:val="24"/>
          <w:lang w:bidi="fa-IR"/>
        </w:rPr>
        <w:t>participants we</w:t>
      </w:r>
      <w:r w:rsidR="00A828E3" w:rsidRPr="006A09D8">
        <w:rPr>
          <w:rFonts w:asciiTheme="majorBidi" w:hAnsiTheme="majorBidi" w:cstheme="majorBidi"/>
          <w:sz w:val="24"/>
          <w:szCs w:val="24"/>
          <w:lang w:bidi="fa-IR"/>
        </w:rPr>
        <w:t>re</w:t>
      </w:r>
      <w:r w:rsidR="00E07680" w:rsidRPr="006A09D8">
        <w:rPr>
          <w:rFonts w:asciiTheme="majorBidi" w:hAnsiTheme="majorBidi" w:cstheme="majorBidi"/>
          <w:sz w:val="24"/>
          <w:szCs w:val="24"/>
          <w:lang w:bidi="fa-IR"/>
        </w:rPr>
        <w:t xml:space="preserve"> prior users of RRSs</w:t>
      </w:r>
      <w:r w:rsidR="00456A26" w:rsidRPr="006A09D8">
        <w:rPr>
          <w:rFonts w:asciiTheme="majorBidi" w:hAnsiTheme="majorBidi" w:cstheme="majorBidi"/>
          <w:sz w:val="24"/>
          <w:szCs w:val="24"/>
          <w:lang w:bidi="fa-IR"/>
        </w:rPr>
        <w:t xml:space="preserve"> and study</w:t>
      </w:r>
      <w:r w:rsidR="00A828E3" w:rsidRPr="006A09D8">
        <w:rPr>
          <w:rFonts w:asciiTheme="majorBidi" w:hAnsiTheme="majorBidi" w:cstheme="majorBidi"/>
          <w:sz w:val="24"/>
          <w:szCs w:val="24"/>
          <w:lang w:bidi="fa-IR"/>
        </w:rPr>
        <w:t xml:space="preserve"> results might </w:t>
      </w:r>
      <w:r w:rsidR="000D21E5" w:rsidRPr="006A09D8">
        <w:rPr>
          <w:rFonts w:asciiTheme="majorBidi" w:hAnsiTheme="majorBidi" w:cstheme="majorBidi"/>
          <w:sz w:val="24"/>
          <w:szCs w:val="24"/>
          <w:lang w:bidi="fa-IR"/>
        </w:rPr>
        <w:t>be</w:t>
      </w:r>
      <w:r w:rsidR="00A828E3" w:rsidRPr="006A09D8">
        <w:rPr>
          <w:rFonts w:asciiTheme="majorBidi" w:hAnsiTheme="majorBidi" w:cstheme="majorBidi"/>
          <w:sz w:val="24"/>
          <w:szCs w:val="24"/>
          <w:lang w:bidi="fa-IR"/>
        </w:rPr>
        <w:t xml:space="preserve"> </w:t>
      </w:r>
      <w:r w:rsidR="00456A26" w:rsidRPr="006A09D8">
        <w:rPr>
          <w:rFonts w:asciiTheme="majorBidi" w:hAnsiTheme="majorBidi" w:cstheme="majorBidi"/>
          <w:sz w:val="24"/>
          <w:szCs w:val="24"/>
          <w:lang w:bidi="fa-IR"/>
        </w:rPr>
        <w:t>influenced</w:t>
      </w:r>
      <w:r w:rsidR="00A828E3" w:rsidRPr="006A09D8">
        <w:rPr>
          <w:rFonts w:asciiTheme="majorBidi" w:hAnsiTheme="majorBidi" w:cstheme="majorBidi"/>
          <w:sz w:val="24"/>
          <w:szCs w:val="24"/>
          <w:lang w:bidi="fa-IR"/>
        </w:rPr>
        <w:t xml:space="preserve"> by the novelty of the shoes</w:t>
      </w:r>
      <w:r w:rsidR="00B90C22" w:rsidRPr="006A09D8">
        <w:rPr>
          <w:rFonts w:asciiTheme="majorBidi" w:hAnsiTheme="majorBidi" w:cstheme="majorBidi"/>
          <w:sz w:val="24"/>
          <w:szCs w:val="24"/>
          <w:lang w:bidi="fa-IR"/>
        </w:rPr>
        <w:t>.</w:t>
      </w:r>
      <w:r w:rsidR="00E07680" w:rsidRPr="006A09D8">
        <w:rPr>
          <w:rFonts w:asciiTheme="majorBidi" w:hAnsiTheme="majorBidi" w:cstheme="majorBidi"/>
          <w:sz w:val="24"/>
          <w:szCs w:val="24"/>
          <w:lang w:bidi="fa-IR"/>
        </w:rPr>
        <w:t xml:space="preserve"> </w:t>
      </w:r>
      <w:r w:rsidR="00B90C22" w:rsidRPr="006A09D8">
        <w:rPr>
          <w:rFonts w:asciiTheme="majorBidi" w:hAnsiTheme="majorBidi" w:cstheme="majorBidi"/>
          <w:sz w:val="24"/>
          <w:szCs w:val="24"/>
          <w:lang w:bidi="fa-IR"/>
        </w:rPr>
        <w:t>T</w:t>
      </w:r>
      <w:r w:rsidR="00E07680" w:rsidRPr="006A09D8">
        <w:rPr>
          <w:rFonts w:asciiTheme="majorBidi" w:hAnsiTheme="majorBidi" w:cstheme="majorBidi"/>
          <w:sz w:val="24"/>
          <w:szCs w:val="24"/>
          <w:lang w:bidi="fa-IR"/>
        </w:rPr>
        <w:t>herefore,</w:t>
      </w:r>
      <w:r w:rsidR="00B135F5" w:rsidRPr="006A09D8">
        <w:rPr>
          <w:rFonts w:asciiTheme="majorBidi" w:hAnsiTheme="majorBidi" w:cstheme="majorBidi"/>
          <w:sz w:val="24"/>
          <w:szCs w:val="24"/>
          <w:lang w:bidi="fa-IR"/>
        </w:rPr>
        <w:t xml:space="preserve"> </w:t>
      </w:r>
      <w:r w:rsidR="000D21E5" w:rsidRPr="006A09D8">
        <w:rPr>
          <w:rFonts w:asciiTheme="majorBidi" w:hAnsiTheme="majorBidi" w:cstheme="majorBidi"/>
          <w:sz w:val="24"/>
          <w:szCs w:val="24"/>
          <w:lang w:bidi="fa-IR"/>
        </w:rPr>
        <w:t xml:space="preserve">further studies are needed to investigate the </w:t>
      </w:r>
      <w:r w:rsidR="00E07680" w:rsidRPr="006A09D8">
        <w:rPr>
          <w:rFonts w:asciiTheme="majorBidi" w:hAnsiTheme="majorBidi" w:cstheme="majorBidi"/>
          <w:sz w:val="24"/>
          <w:szCs w:val="24"/>
          <w:lang w:bidi="fa-IR"/>
        </w:rPr>
        <w:t>l</w:t>
      </w:r>
      <w:r w:rsidR="005A6EA3" w:rsidRPr="006A09D8">
        <w:rPr>
          <w:rFonts w:asciiTheme="majorBidi" w:hAnsiTheme="majorBidi" w:cstheme="majorBidi"/>
          <w:sz w:val="24"/>
          <w:szCs w:val="24"/>
          <w:lang w:bidi="fa-IR"/>
        </w:rPr>
        <w:t>ong-term effects of RRSs on diabetic gait stability</w:t>
      </w:r>
      <w:r w:rsidR="000D21E5" w:rsidRPr="006A09D8">
        <w:rPr>
          <w:rFonts w:asciiTheme="majorBidi" w:hAnsiTheme="majorBidi" w:cstheme="majorBidi"/>
          <w:sz w:val="24"/>
          <w:szCs w:val="24"/>
          <w:lang w:bidi="fa-IR"/>
        </w:rPr>
        <w:t>.</w:t>
      </w:r>
      <w:bookmarkStart w:id="0" w:name="_GoBack"/>
      <w:bookmarkEnd w:id="0"/>
    </w:p>
    <w:p w14:paraId="5F3DD01B" w14:textId="77777777" w:rsidR="00C50B14" w:rsidRPr="001763D9" w:rsidRDefault="004F56EF" w:rsidP="00626B98">
      <w:pPr>
        <w:spacing w:line="480" w:lineRule="auto"/>
        <w:rPr>
          <w:rFonts w:asciiTheme="majorBidi" w:hAnsiTheme="majorBidi" w:cstheme="majorBidi"/>
          <w:b/>
          <w:bCs/>
          <w:sz w:val="24"/>
          <w:szCs w:val="24"/>
        </w:rPr>
      </w:pPr>
      <w:r w:rsidRPr="001763D9">
        <w:rPr>
          <w:rFonts w:asciiTheme="majorBidi" w:hAnsiTheme="majorBidi" w:cstheme="majorBidi"/>
          <w:b/>
          <w:bCs/>
          <w:sz w:val="24"/>
          <w:szCs w:val="24"/>
        </w:rPr>
        <w:t xml:space="preserve">5. </w:t>
      </w:r>
      <w:r w:rsidR="00714FC6" w:rsidRPr="001763D9">
        <w:rPr>
          <w:rFonts w:asciiTheme="majorBidi" w:hAnsiTheme="majorBidi" w:cstheme="majorBidi"/>
          <w:b/>
          <w:bCs/>
          <w:sz w:val="24"/>
          <w:szCs w:val="24"/>
        </w:rPr>
        <w:t>Conclusions</w:t>
      </w:r>
    </w:p>
    <w:p w14:paraId="61657C9D" w14:textId="78B2A773" w:rsidR="00CA4429" w:rsidRDefault="00714FC6" w:rsidP="00180207">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Our findings suggest that R15 and R20 might increase destabili</w:t>
      </w:r>
      <w:r w:rsidR="00FF510E">
        <w:rPr>
          <w:rFonts w:asciiTheme="majorBidi" w:hAnsiTheme="majorBidi" w:cstheme="majorBidi"/>
          <w:sz w:val="24"/>
          <w:szCs w:val="24"/>
          <w:lang w:bidi="fa-IR"/>
        </w:rPr>
        <w:t>s</w:t>
      </w:r>
      <w:r w:rsidRPr="001763D9">
        <w:rPr>
          <w:rFonts w:asciiTheme="majorBidi" w:hAnsiTheme="majorBidi" w:cstheme="majorBidi"/>
          <w:sz w:val="24"/>
          <w:szCs w:val="24"/>
          <w:lang w:bidi="fa-IR"/>
        </w:rPr>
        <w:t>ing potentials to the gait of diabe</w:t>
      </w:r>
      <w:r w:rsidR="00E70999">
        <w:rPr>
          <w:rFonts w:asciiTheme="majorBidi" w:hAnsiTheme="majorBidi" w:cstheme="majorBidi"/>
          <w:sz w:val="24"/>
          <w:szCs w:val="24"/>
          <w:lang w:bidi="fa-IR"/>
        </w:rPr>
        <w:t>tic patients by restricting Co</w:t>
      </w:r>
      <w:r w:rsidRPr="001763D9">
        <w:rPr>
          <w:rFonts w:asciiTheme="majorBidi" w:hAnsiTheme="majorBidi" w:cstheme="majorBidi"/>
          <w:sz w:val="24"/>
          <w:szCs w:val="24"/>
          <w:lang w:bidi="fa-IR"/>
        </w:rPr>
        <w:t xml:space="preserve">M motion and imposing a tighter control </w:t>
      </w:r>
      <w:r w:rsidR="00FF510E">
        <w:rPr>
          <w:rFonts w:asciiTheme="majorBidi" w:hAnsiTheme="majorBidi" w:cstheme="majorBidi"/>
          <w:sz w:val="24"/>
          <w:szCs w:val="24"/>
          <w:lang w:bidi="fa-IR"/>
        </w:rPr>
        <w:t>over</w:t>
      </w:r>
      <w:r w:rsidR="00FF510E"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lang w:bidi="fa-IR"/>
        </w:rPr>
        <w:t xml:space="preserve">walking. Nevertheless, none of participants experienced instability with </w:t>
      </w:r>
      <w:r w:rsidRPr="001763D9">
        <w:rPr>
          <w:rFonts w:asciiTheme="majorBidi" w:hAnsiTheme="majorBidi" w:cstheme="majorBidi"/>
          <w:sz w:val="24"/>
          <w:szCs w:val="24"/>
        </w:rPr>
        <w:t>RRSs</w:t>
      </w:r>
      <w:r w:rsidRPr="001763D9">
        <w:rPr>
          <w:rFonts w:asciiTheme="majorBidi" w:hAnsiTheme="majorBidi" w:cstheme="majorBidi"/>
          <w:sz w:val="24"/>
          <w:szCs w:val="24"/>
          <w:lang w:bidi="fa-IR"/>
        </w:rPr>
        <w:t xml:space="preserve"> in the present study. Such destabili</w:t>
      </w:r>
      <w:r w:rsidR="00056E91">
        <w:rPr>
          <w:rFonts w:asciiTheme="majorBidi" w:hAnsiTheme="majorBidi" w:cstheme="majorBidi"/>
          <w:sz w:val="24"/>
          <w:szCs w:val="24"/>
          <w:lang w:bidi="fa-IR"/>
        </w:rPr>
        <w:t>s</w:t>
      </w:r>
      <w:r w:rsidRPr="001763D9">
        <w:rPr>
          <w:rFonts w:asciiTheme="majorBidi" w:hAnsiTheme="majorBidi" w:cstheme="majorBidi"/>
          <w:sz w:val="24"/>
          <w:szCs w:val="24"/>
          <w:lang w:bidi="fa-IR"/>
        </w:rPr>
        <w:t>ing potentials are less obvious in NDPs rather than Non-NDPs, as their neuropathy and higher fear of fall force them walk very cautious irrespective of the footwear</w:t>
      </w:r>
      <w:r w:rsidR="00E70999">
        <w:rPr>
          <w:rFonts w:asciiTheme="majorBidi" w:hAnsiTheme="majorBidi" w:cstheme="majorBidi"/>
          <w:sz w:val="24"/>
          <w:szCs w:val="24"/>
          <w:lang w:bidi="fa-IR"/>
        </w:rPr>
        <w:t>. Our study also showed that FMo</w:t>
      </w:r>
      <w:r w:rsidRPr="001763D9">
        <w:rPr>
          <w:rFonts w:asciiTheme="majorBidi" w:hAnsiTheme="majorBidi" w:cstheme="majorBidi"/>
          <w:sz w:val="24"/>
          <w:szCs w:val="24"/>
          <w:lang w:bidi="fa-IR"/>
        </w:rPr>
        <w:t xml:space="preserve">S is a more sensitive indictor of gait stability in this population. This, in turn, is </w:t>
      </w:r>
      <w:r w:rsidRPr="001763D9">
        <w:rPr>
          <w:rFonts w:asciiTheme="majorBidi" w:hAnsiTheme="majorBidi" w:cstheme="majorBidi"/>
          <w:sz w:val="24"/>
          <w:szCs w:val="24"/>
          <w:lang w:bidi="fa-IR"/>
        </w:rPr>
        <w:lastRenderedPageBreak/>
        <w:t xml:space="preserve">the result of active dynamics of </w:t>
      </w:r>
      <w:r w:rsidR="00D94CE8">
        <w:rPr>
          <w:rFonts w:asciiTheme="majorBidi" w:hAnsiTheme="majorBidi" w:cstheme="majorBidi"/>
          <w:sz w:val="24"/>
          <w:szCs w:val="24"/>
          <w:lang w:bidi="fa-IR"/>
        </w:rPr>
        <w:t>walking</w:t>
      </w:r>
      <w:r w:rsidR="00D94CE8" w:rsidRPr="001763D9">
        <w:rPr>
          <w:rFonts w:asciiTheme="majorBidi" w:hAnsiTheme="majorBidi" w:cstheme="majorBidi"/>
          <w:sz w:val="24"/>
          <w:szCs w:val="24"/>
          <w:lang w:bidi="fa-IR"/>
        </w:rPr>
        <w:t xml:space="preserve"> </w:t>
      </w:r>
      <w:r w:rsidRPr="001763D9">
        <w:rPr>
          <w:rFonts w:asciiTheme="majorBidi" w:hAnsiTheme="majorBidi" w:cstheme="majorBidi"/>
          <w:sz w:val="24"/>
          <w:szCs w:val="24"/>
          <w:lang w:bidi="fa-IR"/>
        </w:rPr>
        <w:t xml:space="preserve">in frontal plane where the central </w:t>
      </w:r>
      <w:r w:rsidR="00D94CE8">
        <w:rPr>
          <w:rFonts w:asciiTheme="majorBidi" w:hAnsiTheme="majorBidi" w:cstheme="majorBidi"/>
          <w:sz w:val="24"/>
          <w:szCs w:val="24"/>
          <w:lang w:bidi="fa-IR"/>
        </w:rPr>
        <w:t xml:space="preserve">nervous system </w:t>
      </w:r>
      <w:r w:rsidRPr="001763D9">
        <w:rPr>
          <w:rFonts w:asciiTheme="majorBidi" w:hAnsiTheme="majorBidi" w:cstheme="majorBidi"/>
          <w:sz w:val="24"/>
          <w:szCs w:val="24"/>
          <w:lang w:bidi="fa-IR"/>
        </w:rPr>
        <w:t xml:space="preserve">control has more contribution. </w:t>
      </w:r>
    </w:p>
    <w:p w14:paraId="0D6A86F4" w14:textId="77777777" w:rsidR="00CA4429" w:rsidRDefault="00CA4429">
      <w:pPr>
        <w:rPr>
          <w:rFonts w:asciiTheme="majorBidi" w:hAnsiTheme="majorBidi" w:cstheme="majorBidi"/>
          <w:sz w:val="24"/>
          <w:szCs w:val="24"/>
          <w:lang w:bidi="fa-IR"/>
        </w:rPr>
      </w:pPr>
      <w:r>
        <w:rPr>
          <w:rFonts w:asciiTheme="majorBidi" w:hAnsiTheme="majorBidi" w:cstheme="majorBidi"/>
          <w:sz w:val="24"/>
          <w:szCs w:val="24"/>
          <w:lang w:bidi="fa-IR"/>
        </w:rPr>
        <w:br w:type="page"/>
      </w:r>
    </w:p>
    <w:p w14:paraId="4AC7F20B" w14:textId="77777777" w:rsidR="00D84F72" w:rsidRPr="00DB2B25" w:rsidRDefault="00DB2B25" w:rsidP="00D84F72">
      <w:pPr>
        <w:spacing w:line="480" w:lineRule="auto"/>
        <w:rPr>
          <w:rFonts w:asciiTheme="majorBidi" w:hAnsiTheme="majorBidi" w:cstheme="majorBidi"/>
          <w:b/>
          <w:bCs/>
          <w:sz w:val="24"/>
          <w:szCs w:val="24"/>
        </w:rPr>
      </w:pPr>
      <w:r w:rsidRPr="00DB2B25">
        <w:rPr>
          <w:rFonts w:asciiTheme="majorBidi" w:hAnsiTheme="majorBidi" w:cstheme="majorBidi"/>
          <w:b/>
          <w:bCs/>
          <w:sz w:val="24"/>
          <w:szCs w:val="24"/>
        </w:rPr>
        <w:lastRenderedPageBreak/>
        <w:t xml:space="preserve">Conflict </w:t>
      </w:r>
      <w:r w:rsidR="00D84F72" w:rsidRPr="00DB2B25">
        <w:rPr>
          <w:rFonts w:asciiTheme="majorBidi" w:hAnsiTheme="majorBidi" w:cstheme="majorBidi"/>
          <w:b/>
          <w:bCs/>
          <w:sz w:val="24"/>
          <w:szCs w:val="24"/>
        </w:rPr>
        <w:t>of interest</w:t>
      </w:r>
    </w:p>
    <w:p w14:paraId="739D5AB2" w14:textId="77777777" w:rsidR="00D84F72" w:rsidRPr="001763D9" w:rsidRDefault="00D84F72" w:rsidP="00D84F72">
      <w:pPr>
        <w:spacing w:line="480" w:lineRule="auto"/>
        <w:rPr>
          <w:rFonts w:asciiTheme="majorBidi" w:hAnsiTheme="majorBidi" w:cstheme="majorBidi"/>
          <w:b/>
          <w:bCs/>
          <w:sz w:val="24"/>
          <w:szCs w:val="24"/>
          <w:lang w:bidi="fa-IR"/>
        </w:rPr>
      </w:pPr>
      <w:r w:rsidRPr="00DB2B25">
        <w:rPr>
          <w:rFonts w:asciiTheme="majorBidi" w:hAnsiTheme="majorBidi" w:cstheme="majorBidi"/>
          <w:sz w:val="16"/>
          <w:szCs w:val="16"/>
        </w:rPr>
        <w:t xml:space="preserve"> </w:t>
      </w:r>
      <w:r w:rsidRPr="00DB2B25">
        <w:rPr>
          <w:rFonts w:asciiTheme="majorBidi" w:hAnsiTheme="majorBidi" w:cstheme="majorBidi"/>
          <w:sz w:val="24"/>
          <w:szCs w:val="24"/>
          <w:lang w:bidi="fa-IR"/>
        </w:rPr>
        <w:t>The authors declare that they have no competing interest.</w:t>
      </w:r>
    </w:p>
    <w:p w14:paraId="76AD6289" w14:textId="77777777" w:rsidR="00B8187C" w:rsidRPr="001763D9" w:rsidRDefault="00B8187C" w:rsidP="00626B98">
      <w:pPr>
        <w:spacing w:line="480" w:lineRule="auto"/>
        <w:rPr>
          <w:rFonts w:asciiTheme="majorBidi" w:hAnsiTheme="majorBidi" w:cstheme="majorBidi"/>
          <w:b/>
          <w:bCs/>
          <w:sz w:val="24"/>
          <w:szCs w:val="24"/>
        </w:rPr>
      </w:pPr>
      <w:r w:rsidRPr="001763D9">
        <w:rPr>
          <w:rFonts w:asciiTheme="majorBidi" w:hAnsiTheme="majorBidi" w:cstheme="majorBidi"/>
          <w:b/>
          <w:bCs/>
          <w:sz w:val="24"/>
          <w:szCs w:val="24"/>
        </w:rPr>
        <w:t>Acknowledgements</w:t>
      </w:r>
    </w:p>
    <w:p w14:paraId="74AA15FB" w14:textId="77777777" w:rsidR="00B8187C" w:rsidRPr="001763D9" w:rsidRDefault="00B8187C" w:rsidP="00626B98">
      <w:pPr>
        <w:spacing w:line="480" w:lineRule="auto"/>
        <w:rPr>
          <w:rFonts w:asciiTheme="majorBidi" w:hAnsiTheme="majorBidi" w:cstheme="majorBidi"/>
          <w:lang w:bidi="fa-IR"/>
        </w:rPr>
      </w:pPr>
      <w:r w:rsidRPr="001763D9">
        <w:rPr>
          <w:rFonts w:asciiTheme="majorBidi" w:hAnsiTheme="majorBidi" w:cstheme="majorBidi"/>
          <w:sz w:val="24"/>
          <w:szCs w:val="24"/>
        </w:rPr>
        <w:t>Authors would like to thank Institute of Endocrinology and Metabolism of the affiliated university for patient recruitment.</w:t>
      </w:r>
    </w:p>
    <w:p w14:paraId="3C1A33E6" w14:textId="77777777" w:rsidR="004F56EF" w:rsidRPr="001763D9" w:rsidRDefault="00ED7472" w:rsidP="00626B98">
      <w:pPr>
        <w:spacing w:line="480" w:lineRule="auto"/>
        <w:rPr>
          <w:rFonts w:asciiTheme="majorBidi" w:hAnsiTheme="majorBidi" w:cstheme="majorBidi"/>
          <w:b/>
          <w:bCs/>
          <w:sz w:val="24"/>
          <w:szCs w:val="24"/>
          <w:lang w:bidi="fa-IR"/>
        </w:rPr>
      </w:pPr>
      <w:r w:rsidRPr="001763D9">
        <w:rPr>
          <w:rFonts w:asciiTheme="majorBidi" w:hAnsiTheme="majorBidi" w:cstheme="majorBidi"/>
          <w:b/>
          <w:bCs/>
          <w:sz w:val="24"/>
          <w:szCs w:val="24"/>
          <w:lang w:bidi="fa-IR"/>
        </w:rPr>
        <w:t>Funding</w:t>
      </w:r>
    </w:p>
    <w:p w14:paraId="5445BFD1" w14:textId="77777777" w:rsidR="00ED7472" w:rsidRDefault="00ED7472" w:rsidP="00626B98">
      <w:pPr>
        <w:spacing w:line="480" w:lineRule="auto"/>
        <w:rPr>
          <w:rFonts w:asciiTheme="majorBidi" w:hAnsiTheme="majorBidi" w:cstheme="majorBidi"/>
          <w:sz w:val="24"/>
          <w:szCs w:val="24"/>
          <w:lang w:bidi="fa-IR"/>
        </w:rPr>
      </w:pPr>
      <w:r w:rsidRPr="001763D9">
        <w:rPr>
          <w:rFonts w:asciiTheme="majorBidi" w:hAnsiTheme="majorBidi" w:cstheme="majorBidi"/>
          <w:sz w:val="24"/>
          <w:szCs w:val="24"/>
          <w:lang w:bidi="fa-IR"/>
        </w:rPr>
        <w:t>This work was supported by Iran University of Medical Sciences.</w:t>
      </w:r>
    </w:p>
    <w:p w14:paraId="12DC96C9" w14:textId="77777777" w:rsidR="00C706BC" w:rsidRPr="001763D9" w:rsidRDefault="00C706BC" w:rsidP="00626B98">
      <w:pPr>
        <w:spacing w:line="480" w:lineRule="auto"/>
        <w:rPr>
          <w:rFonts w:asciiTheme="majorBidi" w:hAnsiTheme="majorBidi" w:cstheme="majorBidi"/>
          <w:b/>
          <w:bCs/>
          <w:sz w:val="24"/>
          <w:szCs w:val="24"/>
          <w:lang w:bidi="fa-IR"/>
        </w:rPr>
      </w:pPr>
    </w:p>
    <w:p w14:paraId="3391590A" w14:textId="77777777" w:rsidR="00714FC6" w:rsidRPr="001763D9" w:rsidRDefault="00714FC6" w:rsidP="00626B98">
      <w:pPr>
        <w:spacing w:line="480" w:lineRule="auto"/>
        <w:rPr>
          <w:rFonts w:asciiTheme="majorBidi" w:hAnsiTheme="majorBidi" w:cstheme="majorBidi"/>
          <w:sz w:val="24"/>
          <w:szCs w:val="24"/>
          <w:lang w:bidi="fa-IR"/>
        </w:rPr>
      </w:pPr>
    </w:p>
    <w:p w14:paraId="6A119B10" w14:textId="77777777" w:rsidR="00714FC6" w:rsidRPr="001763D9" w:rsidRDefault="00714FC6" w:rsidP="00626B98">
      <w:pPr>
        <w:spacing w:line="480" w:lineRule="auto"/>
        <w:rPr>
          <w:rFonts w:asciiTheme="majorBidi" w:hAnsiTheme="majorBidi" w:cstheme="majorBidi"/>
          <w:b/>
          <w:bCs/>
          <w:sz w:val="24"/>
          <w:szCs w:val="24"/>
          <w:lang w:bidi="fa-IR"/>
        </w:rPr>
      </w:pPr>
      <w:r w:rsidRPr="001763D9">
        <w:rPr>
          <w:rFonts w:asciiTheme="majorBidi" w:hAnsiTheme="majorBidi" w:cstheme="majorBidi"/>
          <w:b/>
          <w:bCs/>
          <w:sz w:val="24"/>
          <w:szCs w:val="24"/>
          <w:lang w:bidi="fa-IR"/>
        </w:rPr>
        <w:br w:type="page"/>
      </w:r>
    </w:p>
    <w:p w14:paraId="4076AB20" w14:textId="77777777" w:rsidR="000F5C3E" w:rsidRDefault="000F5C3E" w:rsidP="00C706BC">
      <w:pPr>
        <w:spacing w:line="480" w:lineRule="auto"/>
        <w:rPr>
          <w:rFonts w:asciiTheme="majorBidi" w:hAnsiTheme="majorBidi" w:cstheme="majorBidi"/>
          <w:b/>
          <w:bCs/>
          <w:sz w:val="24"/>
          <w:szCs w:val="24"/>
          <w:lang w:bidi="fa-IR"/>
        </w:rPr>
        <w:sectPr w:rsidR="000F5C3E" w:rsidSect="00C511A4">
          <w:endnotePr>
            <w:numFmt w:val="decimal"/>
          </w:endnotePr>
          <w:pgSz w:w="12240" w:h="15840"/>
          <w:pgMar w:top="1440" w:right="1440" w:bottom="1440" w:left="1440" w:header="720" w:footer="720" w:gutter="0"/>
          <w:lnNumType w:countBy="1" w:restart="continuous"/>
          <w:cols w:space="720"/>
          <w:docGrid w:linePitch="360"/>
        </w:sectPr>
      </w:pPr>
    </w:p>
    <w:p w14:paraId="238FBD33" w14:textId="77777777" w:rsidR="000B5B3D" w:rsidRPr="001763D9" w:rsidRDefault="00714FC6" w:rsidP="00C706BC">
      <w:pPr>
        <w:spacing w:line="480" w:lineRule="auto"/>
        <w:rPr>
          <w:rFonts w:asciiTheme="majorBidi" w:hAnsiTheme="majorBidi" w:cstheme="majorBidi"/>
          <w:b/>
          <w:bCs/>
          <w:sz w:val="24"/>
          <w:szCs w:val="24"/>
          <w:lang w:bidi="fa-IR"/>
        </w:rPr>
      </w:pPr>
      <w:r w:rsidRPr="00732716">
        <w:rPr>
          <w:rFonts w:asciiTheme="majorBidi" w:hAnsiTheme="majorBidi" w:cstheme="majorBidi"/>
          <w:b/>
          <w:bCs/>
          <w:sz w:val="24"/>
          <w:szCs w:val="24"/>
          <w:lang w:bidi="fa-IR"/>
        </w:rPr>
        <w:lastRenderedPageBreak/>
        <w:t>References</w:t>
      </w:r>
    </w:p>
    <w:p w14:paraId="2ADA6612" w14:textId="4E0EAC11" w:rsidR="00EE5CD7" w:rsidRPr="00EE5CD7" w:rsidRDefault="00714FC6"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1763D9">
        <w:rPr>
          <w:rFonts w:asciiTheme="majorBidi" w:hAnsiTheme="majorBidi" w:cstheme="majorBidi"/>
          <w:b/>
          <w:bCs/>
          <w:sz w:val="24"/>
          <w:szCs w:val="24"/>
          <w:lang w:bidi="fa-IR"/>
        </w:rPr>
        <w:fldChar w:fldCharType="begin" w:fldLock="1"/>
      </w:r>
      <w:r w:rsidRPr="001763D9">
        <w:rPr>
          <w:rFonts w:asciiTheme="majorBidi" w:hAnsiTheme="majorBidi" w:cstheme="majorBidi"/>
          <w:b/>
          <w:bCs/>
          <w:sz w:val="24"/>
          <w:szCs w:val="24"/>
          <w:lang w:bidi="fa-IR"/>
        </w:rPr>
        <w:instrText xml:space="preserve">ADDIN Mendeley Bibliography CSL_BIBLIOGRAPHY </w:instrText>
      </w:r>
      <w:r w:rsidRPr="001763D9">
        <w:rPr>
          <w:rFonts w:asciiTheme="majorBidi" w:hAnsiTheme="majorBidi" w:cstheme="majorBidi"/>
          <w:b/>
          <w:bCs/>
          <w:sz w:val="24"/>
          <w:szCs w:val="24"/>
          <w:lang w:bidi="fa-IR"/>
        </w:rPr>
        <w:fldChar w:fldCharType="separate"/>
      </w:r>
      <w:r w:rsidR="00EE5CD7" w:rsidRPr="00EE5CD7">
        <w:rPr>
          <w:rFonts w:ascii="Times New Roman" w:hAnsi="Times New Roman" w:cs="Times New Roman"/>
          <w:noProof/>
          <w:sz w:val="24"/>
          <w:szCs w:val="24"/>
        </w:rPr>
        <w:t>[1]</w:t>
      </w:r>
      <w:r w:rsidR="00EE5CD7" w:rsidRPr="00EE5CD7">
        <w:rPr>
          <w:rFonts w:ascii="Times New Roman" w:hAnsi="Times New Roman" w:cs="Times New Roman"/>
          <w:noProof/>
          <w:sz w:val="24"/>
          <w:szCs w:val="24"/>
        </w:rPr>
        <w:tab/>
        <w:t>L. Guariguata, D.R. Whiting, I. Hambleton, J. Beagley, U. Linnenkamp, J.E. Shaw, Global estimates of diabetes prevalence for 2013 and projections for 2035, Diabetes Res. Clin. Pract. 103 (2014) 137–149. doi:10.1016/j.diabres.2013.11.002.</w:t>
      </w:r>
    </w:p>
    <w:p w14:paraId="178A7BA9"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w:t>
      </w:r>
      <w:r w:rsidRPr="00EE5CD7">
        <w:rPr>
          <w:rFonts w:ascii="Times New Roman" w:hAnsi="Times New Roman" w:cs="Times New Roman"/>
          <w:noProof/>
          <w:sz w:val="24"/>
          <w:szCs w:val="24"/>
        </w:rPr>
        <w:tab/>
        <w:t>K.G.M.M. Alberti, P.Z. Zimmet, Definition, diagnosis and classification of diabetes mellitus and its complications. Part 1: diagnosis and classification of diabetes mellitus. Provisional report of a WHO Consultation, Diabet. Med. 15 (1998) 539–553. doi:10.1002/(SICI)1096-9136(199807)15:7&lt;539::AID-DIA668&gt;3.0.CO;2-S.</w:t>
      </w:r>
    </w:p>
    <w:p w14:paraId="36B6C1EF"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w:t>
      </w:r>
      <w:r w:rsidRPr="00EE5CD7">
        <w:rPr>
          <w:rFonts w:ascii="Times New Roman" w:hAnsi="Times New Roman" w:cs="Times New Roman"/>
          <w:noProof/>
          <w:sz w:val="24"/>
          <w:szCs w:val="24"/>
        </w:rPr>
        <w:tab/>
        <w:t>K. Papatheodorou, M. Banach, M. Edmonds, N. Papanas, D. Papazoglou, Complications of Diabetes., J. Diabetes Res. 2015 (2015) 189525. doi:10.1155/2015/189525.</w:t>
      </w:r>
    </w:p>
    <w:p w14:paraId="1C3AC8DD"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[4]</w:t>
      </w:r>
      <w:r w:rsidRPr="00EE5CD7">
        <w:rPr>
          <w:rFonts w:ascii="Times New Roman" w:hAnsi="Times New Roman" w:cs="Times New Roman"/>
          <w:noProof/>
          <w:sz w:val="24"/>
          <w:szCs w:val="24"/>
        </w:rPr>
        <w:tab/>
        <w:t>A.J. Boulton, L. Vileikyte, G. Ragnarson-Tennvall, J. Apelqvist, The global burden of diabetic foot disease, Lancet. 366 (2005) 1719–1724. doi:10.1016/S0140-6736(05)67698-2.</w:t>
      </w:r>
    </w:p>
    <w:p w14:paraId="1638945D"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[5]</w:t>
      </w:r>
      <w:r w:rsidRPr="00EE5CD7">
        <w:rPr>
          <w:rFonts w:ascii="Times New Roman" w:hAnsi="Times New Roman" w:cs="Times New Roman"/>
          <w:noProof/>
          <w:sz w:val="24"/>
          <w:szCs w:val="24"/>
        </w:rPr>
        <w:tab/>
        <w:t>L. Prompers, M. Huijberts, N. Schaper, J. Apelqvist, K. Bakker, M. Edmonds, P. Holstein, E. Jude, A. Jirkovska, D. Mauricio, A. Piaggesi, H. Reike, M. Spraul, K. Van Acker, S. Van Baal, F. Van Merode, L. Uccioli, V. Urbancic, G.R. Tennvall, Resource utilisation and costs associated with the treatment of diabetic foot ulcers. Prospective data from the Eurodiale Study, Diabetologia. 51 (2008) 1826–1834. doi:10.1007/s00125-008-1089-6.</w:t>
      </w:r>
    </w:p>
    <w:p w14:paraId="13A0719B"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[6]</w:t>
      </w:r>
      <w:r w:rsidRPr="00EE5CD7">
        <w:rPr>
          <w:rFonts w:ascii="Times New Roman" w:hAnsi="Times New Roman" w:cs="Times New Roman"/>
          <w:noProof/>
          <w:sz w:val="24"/>
          <w:szCs w:val="24"/>
        </w:rPr>
        <w:tab/>
        <w:t>S.A. Bus, J.J. van Netten, A shift in priority in diabetic foot care and research: 75% of foot ulcers are preventable, Diabetes. Metab. Res. Rev. (2016). doi:10.1002/dmrr.2738.</w:t>
      </w:r>
    </w:p>
    <w:p w14:paraId="0D32F52B"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[7]</w:t>
      </w:r>
      <w:r w:rsidRPr="00EE5CD7">
        <w:rPr>
          <w:rFonts w:ascii="Times New Roman" w:hAnsi="Times New Roman" w:cs="Times New Roman"/>
          <w:noProof/>
          <w:sz w:val="24"/>
          <w:szCs w:val="24"/>
        </w:rPr>
        <w:tab/>
        <w:t xml:space="preserve">S.A. Bus, R.W. van Deursen, D.G. Armstrong, J.E.A. Lewis, C.F. Caravaggi, P.R. </w:t>
      </w:r>
      <w:r w:rsidRPr="00EE5CD7">
        <w:rPr>
          <w:rFonts w:ascii="Times New Roman" w:hAnsi="Times New Roman" w:cs="Times New Roman"/>
          <w:noProof/>
          <w:sz w:val="24"/>
          <w:szCs w:val="24"/>
        </w:rPr>
        <w:lastRenderedPageBreak/>
        <w:t>Cavanagh, Footwear and offloading interventions to prevent and heal foot ulcers and reduce plantar pressure in patients with diabetes: A systematic review, Diabetes. Metab. Res. Rev. (2016). doi:10.1002/dmrr.2702.</w:t>
      </w:r>
    </w:p>
    <w:p w14:paraId="76F42C63"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[8]</w:t>
      </w:r>
      <w:r w:rsidRPr="00EE5CD7">
        <w:rPr>
          <w:rFonts w:ascii="Times New Roman" w:hAnsi="Times New Roman" w:cs="Times New Roman"/>
          <w:noProof/>
          <w:sz w:val="24"/>
          <w:szCs w:val="24"/>
        </w:rPr>
        <w:tab/>
        <w:t>D. Brown, J.J. Wertsch, G.F. Harris, J. Klein, D. Janisse, Effect of rocker soles on plantar pressures, Arch. Phys. Med. Rehabil. 85 (2004) 81–86. doi:10.1016/S0003-9993(03)00374-5.</w:t>
      </w:r>
    </w:p>
    <w:p w14:paraId="1057D3E5" w14:textId="775CF203"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[9]</w:t>
      </w:r>
      <w:r w:rsidRPr="00EE5CD7">
        <w:rPr>
          <w:rFonts w:ascii="Times New Roman" w:hAnsi="Times New Roman" w:cs="Times New Roman"/>
          <w:noProof/>
          <w:sz w:val="24"/>
          <w:szCs w:val="24"/>
        </w:rPr>
        <w:tab/>
        <w:t>J.D. Chapman, S. Preece, B. Braunstein, A. Höhne, C.J. Nester, P. Brueggemann, S. Hutchins, Effect of rocker shoe design features on forefoot plantar pressures in people with and without diabetes.</w:t>
      </w:r>
      <w:r w:rsidR="00CD336D">
        <w:rPr>
          <w:rFonts w:ascii="Times New Roman" w:hAnsi="Times New Roman" w:cs="Times New Roman"/>
          <w:noProof/>
          <w:sz w:val="24"/>
          <w:szCs w:val="24"/>
        </w:rPr>
        <w:t>, Clin. Biomech</w:t>
      </w:r>
      <w:r w:rsidRPr="00EE5CD7">
        <w:rPr>
          <w:rFonts w:ascii="Times New Roman" w:hAnsi="Times New Roman" w:cs="Times New Roman"/>
          <w:noProof/>
          <w:sz w:val="24"/>
          <w:szCs w:val="24"/>
        </w:rPr>
        <w:t>. 28 (2013) 679–85. doi:10.1016/j.clinbiomech.2013.05.005.</w:t>
      </w:r>
    </w:p>
    <w:p w14:paraId="1468AA79"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[10]</w:t>
      </w:r>
      <w:r w:rsidRPr="00EE5CD7">
        <w:rPr>
          <w:rFonts w:ascii="Times New Roman" w:hAnsi="Times New Roman" w:cs="Times New Roman"/>
          <w:noProof/>
          <w:sz w:val="24"/>
          <w:szCs w:val="24"/>
        </w:rPr>
        <w:tab/>
        <w:t>J.D. Chapman, S.J. Preece, C.J. Nester, B. Braunstein, A. Höhne, G.-P. Brüggermann, Evaluating the effect of apex position and rocker in curved rocker shoes, J. Foot Ankle Res. 7 (2014) A66. doi:10.1186/1757-1146-7-S1-A66.</w:t>
      </w:r>
    </w:p>
    <w:p w14:paraId="0E6092DE"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[11]</w:t>
      </w:r>
      <w:r w:rsidRPr="00EE5CD7">
        <w:rPr>
          <w:rFonts w:ascii="Times New Roman" w:hAnsi="Times New Roman" w:cs="Times New Roman"/>
          <w:noProof/>
          <w:sz w:val="24"/>
          <w:szCs w:val="24"/>
        </w:rPr>
        <w:tab/>
        <w:t>R. Waaijman, R. Keukenkamp, M. De Haart, W.P. Polomski, F. Nollet, S.A. Bus, Adherence to wearing prescription custom-made footwear in patients with diabetes at high risk for plantar foot ulceration, Diabetes Care. (2013). doi:10.2337/dc12-1330.</w:t>
      </w:r>
    </w:p>
    <w:p w14:paraId="29EEF6E3"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[12]</w:t>
      </w:r>
      <w:r w:rsidRPr="00EE5CD7">
        <w:rPr>
          <w:rFonts w:ascii="Times New Roman" w:hAnsi="Times New Roman" w:cs="Times New Roman"/>
          <w:noProof/>
          <w:sz w:val="24"/>
          <w:szCs w:val="24"/>
        </w:rPr>
        <w:tab/>
        <w:t>S. Hutchins, P. Bowker, N. Geary, J. Richards, The biomechanics and clinical efficacy of footwear adapted with rocker profiles--evidence in the literature., Foot (Edinb). 19 (2009) 165–70. doi:10.1016/j.foot.2009.01.001.</w:t>
      </w:r>
    </w:p>
    <w:p w14:paraId="4F822AB2"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[13]</w:t>
      </w:r>
      <w:r w:rsidRPr="00EE5CD7">
        <w:rPr>
          <w:rFonts w:ascii="Times New Roman" w:hAnsi="Times New Roman" w:cs="Times New Roman"/>
          <w:noProof/>
          <w:sz w:val="24"/>
          <w:szCs w:val="24"/>
        </w:rPr>
        <w:tab/>
        <w:t>R. van Deursen, Footwear for the neuropathic patient: offloading and stability, Diabetes. Metab. Res. Rev. 24 (2008) S96–S100. doi:10.1002/dmrr.827.</w:t>
      </w:r>
    </w:p>
    <w:p w14:paraId="4FACCC66"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lastRenderedPageBreak/>
        <w:t>[14]</w:t>
      </w:r>
      <w:r w:rsidRPr="00EE5CD7">
        <w:rPr>
          <w:rFonts w:ascii="Times New Roman" w:hAnsi="Times New Roman" w:cs="Times New Roman"/>
          <w:noProof/>
          <w:sz w:val="24"/>
          <w:szCs w:val="24"/>
        </w:rPr>
        <w:tab/>
        <w:t>R. Ahmed, Effect of offloading footwear on postural stability and walking in healthy and diabetics with peripheral neuropathy, in: 142nd APHA Annu. Meet. Expo. (November 15 - Novemb. 19, 2014), APHA, 2014.</w:t>
      </w:r>
    </w:p>
    <w:p w14:paraId="332A47D0"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[15]</w:t>
      </w:r>
      <w:r w:rsidRPr="00EE5CD7">
        <w:rPr>
          <w:rFonts w:ascii="Times New Roman" w:hAnsi="Times New Roman" w:cs="Times New Roman"/>
          <w:noProof/>
          <w:sz w:val="24"/>
          <w:szCs w:val="24"/>
        </w:rPr>
        <w:tab/>
        <w:t>B.C. Albright, W.M. Woodhull-Smith, Rocker bottom soles alter the postural response to backward translation during stance., Gait Posture. 30 (2009) 45–9. doi:10.1016/j.gaitpost.2009.02.012.</w:t>
      </w:r>
    </w:p>
    <w:p w14:paraId="7811B978"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[16]</w:t>
      </w:r>
      <w:r w:rsidRPr="00EE5CD7">
        <w:rPr>
          <w:rFonts w:ascii="Times New Roman" w:hAnsi="Times New Roman" w:cs="Times New Roman"/>
          <w:noProof/>
          <w:sz w:val="24"/>
          <w:szCs w:val="24"/>
        </w:rPr>
        <w:tab/>
        <w:t>D.R. Kimel-Scott, E.N. Gulledge, R.E. Bolena, B.C. Albright, Kinematic analysis of postural reactions to a posterior translation in rocker bottom shoes in younger and older adults., Gait Posture. 39 (2014) 86–90. doi:10.1016/j.gaitpost.2013.06.002.</w:t>
      </w:r>
    </w:p>
    <w:p w14:paraId="5B0538AA"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[17]</w:t>
      </w:r>
      <w:r w:rsidRPr="00EE5CD7">
        <w:rPr>
          <w:rFonts w:ascii="Times New Roman" w:hAnsi="Times New Roman" w:cs="Times New Roman"/>
          <w:noProof/>
          <w:sz w:val="24"/>
          <w:szCs w:val="24"/>
        </w:rPr>
        <w:tab/>
        <w:t>B. Ghomian, M. Kamyab, H. Jafari, M. Khamseh, A. Healy, Rocker outsole shoe is not a threat to postural stability in patients with diabetic neuropathy, Prosthet. Orthot. Int. 40 (2016). doi:10.1177/0309364614543549.</w:t>
      </w:r>
    </w:p>
    <w:p w14:paraId="725BA633"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[18]</w:t>
      </w:r>
      <w:r w:rsidRPr="00EE5CD7">
        <w:rPr>
          <w:rFonts w:ascii="Times New Roman" w:hAnsi="Times New Roman" w:cs="Times New Roman"/>
          <w:noProof/>
          <w:sz w:val="24"/>
          <w:szCs w:val="24"/>
        </w:rPr>
        <w:tab/>
        <w:t>M. Lumeau, M. Lempereur, O. Remy-Neris, Assessment of the rocker sole shoes on postural stability in diabetic patients with distal sensory neuropathy., Comput. Methods Biomech. Biomed. Engin. (2015). doi:10.1080/10255842.2015.1070588.</w:t>
      </w:r>
    </w:p>
    <w:p w14:paraId="4103E791"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[19]</w:t>
      </w:r>
      <w:r w:rsidRPr="00EE5CD7">
        <w:rPr>
          <w:rFonts w:ascii="Times New Roman" w:hAnsi="Times New Roman" w:cs="Times New Roman"/>
          <w:noProof/>
          <w:sz w:val="24"/>
          <w:szCs w:val="24"/>
        </w:rPr>
        <w:tab/>
        <w:t>M. Lumeau, M. Lempereur, E. Sonnet, O. Remy Neris, Assessment of the rocker sole shoes on postural stability in patients with type 2 diabetes and distal sensorimotor polyneuropathy, Ann. Phys. Rehabil. Med. 59 (2016) e123–e124. doi:10.1016/J.REHAB.2016.07.278.</w:t>
      </w:r>
    </w:p>
    <w:p w14:paraId="4DD77506"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[20]</w:t>
      </w:r>
      <w:r w:rsidRPr="00EE5CD7">
        <w:rPr>
          <w:rFonts w:ascii="Times New Roman" w:hAnsi="Times New Roman" w:cs="Times New Roman"/>
          <w:noProof/>
          <w:sz w:val="24"/>
          <w:szCs w:val="24"/>
        </w:rPr>
        <w:tab/>
        <w:t>S.A. Bus, J.C. Maas, N.M. Otterman, Lower-extremity dynamics of walking in neuropathic diabetic patients who wear a forefoot-offloading shoe, Clin. Biomech. 50 (2017) 21–26. doi:10.1016/J.CLINBIOMECH.2017.10.003.</w:t>
      </w:r>
    </w:p>
    <w:p w14:paraId="5DB14EBB"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lastRenderedPageBreak/>
        <w:t>[21]</w:t>
      </w:r>
      <w:r w:rsidRPr="00EE5CD7">
        <w:rPr>
          <w:rFonts w:ascii="Times New Roman" w:hAnsi="Times New Roman" w:cs="Times New Roman"/>
          <w:noProof/>
          <w:sz w:val="24"/>
          <w:szCs w:val="24"/>
        </w:rPr>
        <w:tab/>
        <w:t>A.L. Hof, The “extrapolated center of mass” concept suggests a simple control of balance in walking., Hum. Mov. Sci. 27 (2008) 112–25. doi:10.1016/j.humov.2007.08.003.</w:t>
      </w:r>
    </w:p>
    <w:p w14:paraId="762636D2"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[22]</w:t>
      </w:r>
      <w:r w:rsidRPr="00EE5CD7">
        <w:rPr>
          <w:rFonts w:ascii="Times New Roman" w:hAnsi="Times New Roman" w:cs="Times New Roman"/>
          <w:noProof/>
          <w:sz w:val="24"/>
          <w:szCs w:val="24"/>
        </w:rPr>
        <w:tab/>
        <w:t>A. Mustapa, M. Justine, N. Mohd Mustafah, N. Jamil, H. Manaf, Postural Control and Gait Performance in the Diabetic Peripheral Neuropathy: A Systematic Review, Biomed Res. Int. 2016 (2016) 1–14. doi:10.1155/2016/9305025.</w:t>
      </w:r>
    </w:p>
    <w:p w14:paraId="3311FCCB"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[23]</w:t>
      </w:r>
      <w:r w:rsidRPr="00EE5CD7">
        <w:rPr>
          <w:rFonts w:ascii="Times New Roman" w:hAnsi="Times New Roman" w:cs="Times New Roman"/>
          <w:noProof/>
          <w:sz w:val="24"/>
          <w:szCs w:val="24"/>
        </w:rPr>
        <w:tab/>
        <w:t>U. Alam, D.R. Riley, R.S. Jugdey, S. Azmi, S. Rajbhandari, K. D’Août, R.A. Malik, Diabetic Neuropathy and Gait: A Review, Diabetes Ther. (2017) 1–12. doi:10.1007/s13300-017-0295-y.</w:t>
      </w:r>
    </w:p>
    <w:p w14:paraId="541BBDCE"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[24]</w:t>
      </w:r>
      <w:r w:rsidRPr="00EE5CD7">
        <w:rPr>
          <w:rFonts w:ascii="Times New Roman" w:hAnsi="Times New Roman" w:cs="Times New Roman"/>
          <w:noProof/>
          <w:sz w:val="24"/>
          <w:szCs w:val="24"/>
        </w:rPr>
        <w:tab/>
        <w:t>P. Hewston, N. Deshpande, Falls and Balance Impairments in Older Adults with Type 2 Diabetes: Thinking Beyond Diabetic Peripheral Neuropathy, Can. J. Diabetes. 40 (2016) 6–9. doi:10.1016/j.jcjd.2015.08.005.</w:t>
      </w:r>
    </w:p>
    <w:p w14:paraId="474D5B4E"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[25]</w:t>
      </w:r>
      <w:r w:rsidRPr="00EE5CD7">
        <w:rPr>
          <w:rFonts w:ascii="Times New Roman" w:hAnsi="Times New Roman" w:cs="Times New Roman"/>
          <w:noProof/>
          <w:sz w:val="24"/>
          <w:szCs w:val="24"/>
        </w:rPr>
        <w:tab/>
        <w:t>C. Kelly, A. Fleischer, S. Yalla, G.S. Grewal, R. Albright, D. Berns, R. Crews, B. Najafi, Fear of falling is prevalent in older adults with diabetes mellitus but is unrelated to level of neuropathy., J. Am. Podiatr. Med. Assoc. 103 (2013) 480–8.</w:t>
      </w:r>
    </w:p>
    <w:p w14:paraId="7DB4A682"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[26]</w:t>
      </w:r>
      <w:r w:rsidRPr="00EE5CD7">
        <w:rPr>
          <w:rFonts w:ascii="Times New Roman" w:hAnsi="Times New Roman" w:cs="Times New Roman"/>
          <w:noProof/>
          <w:sz w:val="24"/>
          <w:szCs w:val="24"/>
        </w:rPr>
        <w:tab/>
        <w:t>S.J. Brown, J.C. Handsaker, F.L. Bowling, A.J.M. Boulton, N.D. Reeves, Diabetic peripheral neuropathy compromises balance during daily activities., Diabetes Care. 38 (2015) 1116–22. doi:10.2337/dc14-1982.</w:t>
      </w:r>
    </w:p>
    <w:p w14:paraId="1664CE01"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[27]</w:t>
      </w:r>
      <w:r w:rsidRPr="00EE5CD7">
        <w:rPr>
          <w:rFonts w:ascii="Times New Roman" w:hAnsi="Times New Roman" w:cs="Times New Roman"/>
          <w:noProof/>
          <w:sz w:val="24"/>
          <w:szCs w:val="24"/>
        </w:rPr>
        <w:tab/>
        <w:t>A. Moghtaderi, A. Bakhshipour, H. Rashidi, Validation of Michigan neuropathy screening instrument for diabetic peripheral neuropathy, Clin. Neurol. Neurosurg. 108 (2006) 477–481. doi:10.1016/J.CLINEURO.2005.08.003.</w:t>
      </w:r>
    </w:p>
    <w:p w14:paraId="343FAABF"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[28]</w:t>
      </w:r>
      <w:r w:rsidRPr="00EE5CD7">
        <w:rPr>
          <w:rFonts w:ascii="Times New Roman" w:hAnsi="Times New Roman" w:cs="Times New Roman"/>
          <w:noProof/>
          <w:sz w:val="24"/>
          <w:szCs w:val="24"/>
        </w:rPr>
        <w:tab/>
        <w:t xml:space="preserve">S. Tesfaye, A.J.M. Boulton, P.J. Dyck, R. Freeman, M. Horowitz, P. Kempler, G. Lauria, </w:t>
      </w:r>
      <w:r w:rsidRPr="00EE5CD7">
        <w:rPr>
          <w:rFonts w:ascii="Times New Roman" w:hAnsi="Times New Roman" w:cs="Times New Roman"/>
          <w:noProof/>
          <w:sz w:val="24"/>
          <w:szCs w:val="24"/>
        </w:rPr>
        <w:lastRenderedPageBreak/>
        <w:t>R.A. Malik, V. Spallone, A. Vinik, L. Bernardi, P. Valensi,  on behalf of the T.D.N.E. Toronto Diabetic Neuropathy Expert Group, Diabetic neuropathies: update on definitions, diagnostic criteria, estimation of severity, and treatments., Diabetes Care. 33 (2010) 2285–93. doi:10.2337/dc10-1303.</w:t>
      </w:r>
    </w:p>
    <w:p w14:paraId="09862593"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[29]</w:t>
      </w:r>
      <w:r w:rsidRPr="00EE5CD7">
        <w:rPr>
          <w:rFonts w:ascii="Times New Roman" w:hAnsi="Times New Roman" w:cs="Times New Roman"/>
          <w:noProof/>
          <w:sz w:val="24"/>
          <w:szCs w:val="24"/>
        </w:rPr>
        <w:tab/>
        <w:t>Y. Feng, F.J. Schlösser, B.E. Sumpio, The Semmes Weinstein monofilament examination as a screening tool for diabetic peripheral neuropathy, J. Vasc. Surg. 50 (2009) 675–682.e1. doi:10.1016/j.jvs.2009.05.017.</w:t>
      </w:r>
    </w:p>
    <w:p w14:paraId="7A5C371D"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[30]</w:t>
      </w:r>
      <w:r w:rsidRPr="00EE5CD7">
        <w:rPr>
          <w:rFonts w:ascii="Times New Roman" w:hAnsi="Times New Roman" w:cs="Times New Roman"/>
          <w:noProof/>
          <w:sz w:val="24"/>
          <w:szCs w:val="24"/>
        </w:rPr>
        <w:tab/>
        <w:t>S.J. Preece, J.D. Chapman, B. Braunstein, G.-P. Brüggemann, C.J. Nester, Optimisation of rocker sole footwear for prevention of first plantar ulcer: comparison of group-optimised and individually-selected footwear designs, J. Foot Ankle Res. (2017). doi:10.1186/s13047-017-0208-3.</w:t>
      </w:r>
    </w:p>
    <w:p w14:paraId="3EBB5503"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[31]</w:t>
      </w:r>
      <w:r w:rsidRPr="00EE5CD7">
        <w:rPr>
          <w:rFonts w:ascii="Times New Roman" w:hAnsi="Times New Roman" w:cs="Times New Roman"/>
          <w:noProof/>
          <w:sz w:val="24"/>
          <w:szCs w:val="24"/>
        </w:rPr>
        <w:tab/>
        <w:t>L. Yardley, N. Beyer, K. Hauer, G. Kempen, C. Piot-Ziegler, C. Todd, Development and initial validation of the Falls Efficacy Scale-International (FES-I), Age Ageing. 34 (2005) 614–619. doi:10.1093/ageing/afi196.</w:t>
      </w:r>
    </w:p>
    <w:p w14:paraId="33B92922"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[32]</w:t>
      </w:r>
      <w:r w:rsidRPr="00EE5CD7">
        <w:rPr>
          <w:rFonts w:ascii="Times New Roman" w:hAnsi="Times New Roman" w:cs="Times New Roman"/>
          <w:noProof/>
          <w:sz w:val="24"/>
          <w:szCs w:val="24"/>
        </w:rPr>
        <w:tab/>
        <w:t>Vicon®, Plug-in-Gait Marker Placement, Mocap. (2006) 1–4.</w:t>
      </w:r>
    </w:p>
    <w:p w14:paraId="616BDD68"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[33]</w:t>
      </w:r>
      <w:r w:rsidRPr="00EE5CD7">
        <w:rPr>
          <w:rFonts w:ascii="Times New Roman" w:hAnsi="Times New Roman" w:cs="Times New Roman"/>
          <w:noProof/>
          <w:sz w:val="24"/>
          <w:szCs w:val="24"/>
        </w:rPr>
        <w:tab/>
        <w:t>J.M.A. Melvin, S. Preece, C.J. Nester, D. Howard, An investigation into plantar pressure measurement protocols for footwear research., Gait Posture. 40 (2014) 682–7. doi:10.1016/j.gaitpost.2014.07.026.</w:t>
      </w:r>
    </w:p>
    <w:p w14:paraId="0219D9BE"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[34]</w:t>
      </w:r>
      <w:r w:rsidRPr="00EE5CD7">
        <w:rPr>
          <w:rFonts w:ascii="Times New Roman" w:hAnsi="Times New Roman" w:cs="Times New Roman"/>
          <w:noProof/>
          <w:sz w:val="24"/>
          <w:szCs w:val="24"/>
        </w:rPr>
        <w:tab/>
        <w:t>P.M. McAndrew Young, J.B. Dingwell, Voluntary changes in step width and step length during human walking affect dynamic margins of stability., Gait Posture. 36 (2012) 219–24. doi:10.1016/j.gaitpost.2012.02.020.</w:t>
      </w:r>
    </w:p>
    <w:p w14:paraId="34C30446"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lastRenderedPageBreak/>
        <w:t>[35]</w:t>
      </w:r>
      <w:r w:rsidRPr="00EE5CD7">
        <w:rPr>
          <w:rFonts w:ascii="Times New Roman" w:hAnsi="Times New Roman" w:cs="Times New Roman"/>
          <w:noProof/>
          <w:sz w:val="24"/>
          <w:szCs w:val="24"/>
        </w:rPr>
        <w:tab/>
        <w:t xml:space="preserve">S. Nakagawa, H. Schielzeth, A general and simple method for obtaining </w:t>
      </w:r>
      <w:r w:rsidRPr="00EE5CD7">
        <w:rPr>
          <w:rFonts w:ascii="Times New Roman" w:hAnsi="Times New Roman" w:cs="Times New Roman"/>
          <w:i/>
          <w:iCs/>
          <w:noProof/>
          <w:sz w:val="24"/>
          <w:szCs w:val="24"/>
        </w:rPr>
        <w:t>R</w:t>
      </w:r>
      <w:r w:rsidRPr="00EE5CD7">
        <w:rPr>
          <w:rFonts w:ascii="Times New Roman" w:hAnsi="Times New Roman" w:cs="Times New Roman"/>
          <w:noProof/>
          <w:sz w:val="24"/>
          <w:szCs w:val="24"/>
        </w:rPr>
        <w:t xml:space="preserve"> </w:t>
      </w:r>
      <w:r w:rsidRPr="00EE5CD7">
        <w:rPr>
          <w:rFonts w:ascii="Times New Roman" w:hAnsi="Times New Roman" w:cs="Times New Roman"/>
          <w:noProof/>
          <w:sz w:val="24"/>
          <w:szCs w:val="24"/>
          <w:vertAlign w:val="superscript"/>
        </w:rPr>
        <w:t>2</w:t>
      </w:r>
      <w:r w:rsidRPr="00EE5CD7">
        <w:rPr>
          <w:rFonts w:ascii="Times New Roman" w:hAnsi="Times New Roman" w:cs="Times New Roman"/>
          <w:noProof/>
          <w:sz w:val="24"/>
          <w:szCs w:val="24"/>
        </w:rPr>
        <w:t xml:space="preserve"> from generalized linear mixed-effects models, Methods Ecol. Evol. 4 (2013) 133–142. doi:10.1111/j.2041-210x.2012.00261.x.</w:t>
      </w:r>
    </w:p>
    <w:p w14:paraId="3887B864"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[36]</w:t>
      </w:r>
      <w:r w:rsidRPr="00EE5CD7">
        <w:rPr>
          <w:rFonts w:ascii="Times New Roman" w:hAnsi="Times New Roman" w:cs="Times New Roman"/>
          <w:noProof/>
          <w:sz w:val="24"/>
          <w:szCs w:val="24"/>
        </w:rPr>
        <w:tab/>
        <w:t>A.S. Selya, J.S. Rose, L.C. Dierker, D. Hedeker, R.J. Mermelstein, A Practical Guide to Calculating Cohen’s f(2), a Measure of Local Effect Size, from PROC MIXED., Front. Psychol. 3 (2012) 111. doi:10.3389/fpsyg.2012.00111.</w:t>
      </w:r>
    </w:p>
    <w:p w14:paraId="49B99F55"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szCs w:val="24"/>
        </w:rPr>
      </w:pPr>
      <w:r w:rsidRPr="00EE5CD7">
        <w:rPr>
          <w:rFonts w:ascii="Times New Roman" w:hAnsi="Times New Roman" w:cs="Times New Roman"/>
          <w:noProof/>
          <w:sz w:val="24"/>
          <w:szCs w:val="24"/>
        </w:rPr>
        <w:t>[37]</w:t>
      </w:r>
      <w:r w:rsidRPr="00EE5CD7">
        <w:rPr>
          <w:rFonts w:ascii="Times New Roman" w:hAnsi="Times New Roman" w:cs="Times New Roman"/>
          <w:noProof/>
          <w:sz w:val="24"/>
          <w:szCs w:val="24"/>
        </w:rPr>
        <w:tab/>
        <w:t>R Core Team (2017), R: A language and environment for statistical computing, R Found. Stat. Comput. Vienna, Austria. (n.d.).</w:t>
      </w:r>
    </w:p>
    <w:p w14:paraId="712252E6" w14:textId="77777777" w:rsidR="00EE5CD7" w:rsidRPr="00EE5CD7" w:rsidRDefault="00EE5CD7" w:rsidP="00EE5CD7">
      <w:pPr>
        <w:widowControl w:val="0"/>
        <w:autoSpaceDE w:val="0"/>
        <w:autoSpaceDN w:val="0"/>
        <w:adjustRightInd w:val="0"/>
        <w:spacing w:line="480" w:lineRule="auto"/>
        <w:ind w:left="640" w:hanging="640"/>
        <w:rPr>
          <w:rFonts w:ascii="Times New Roman" w:hAnsi="Times New Roman" w:cs="Times New Roman"/>
          <w:noProof/>
          <w:sz w:val="24"/>
        </w:rPr>
      </w:pPr>
      <w:r w:rsidRPr="00EE5CD7">
        <w:rPr>
          <w:rFonts w:ascii="Times New Roman" w:hAnsi="Times New Roman" w:cs="Times New Roman"/>
          <w:noProof/>
          <w:sz w:val="24"/>
          <w:szCs w:val="24"/>
        </w:rPr>
        <w:t>[38]</w:t>
      </w:r>
      <w:r w:rsidRPr="00EE5CD7">
        <w:rPr>
          <w:rFonts w:ascii="Times New Roman" w:hAnsi="Times New Roman" w:cs="Times New Roman"/>
          <w:noProof/>
          <w:sz w:val="24"/>
          <w:szCs w:val="24"/>
        </w:rPr>
        <w:tab/>
        <w:t>J.B. Dingwell, J.P. Cusumano, D. Sternad, P.R. Cavanagh, Slower speeds in patients with diabetic neuropathy lead to improved local dynamic stability of continuous overground walking., J. Biomech. 33 (2000) 1269–77.</w:t>
      </w:r>
    </w:p>
    <w:p w14:paraId="525E5D76" w14:textId="77777777" w:rsidR="00732716" w:rsidRDefault="00714FC6" w:rsidP="00626B98">
      <w:pPr>
        <w:spacing w:before="240" w:line="480" w:lineRule="auto"/>
        <w:rPr>
          <w:rFonts w:asciiTheme="majorBidi" w:hAnsiTheme="majorBidi" w:cstheme="majorBidi"/>
          <w:b/>
          <w:bCs/>
          <w:sz w:val="24"/>
          <w:szCs w:val="24"/>
          <w:lang w:bidi="fa-IR"/>
        </w:rPr>
      </w:pPr>
      <w:r w:rsidRPr="001763D9">
        <w:rPr>
          <w:rFonts w:asciiTheme="majorBidi" w:hAnsiTheme="majorBidi" w:cstheme="majorBidi"/>
          <w:b/>
          <w:bCs/>
          <w:sz w:val="24"/>
          <w:szCs w:val="24"/>
          <w:lang w:bidi="fa-IR"/>
        </w:rPr>
        <w:fldChar w:fldCharType="end"/>
      </w:r>
    </w:p>
    <w:p w14:paraId="093467E3" w14:textId="77777777" w:rsidR="00330FAD" w:rsidRPr="001763D9" w:rsidRDefault="00732716" w:rsidP="00126ABD">
      <w:pPr>
        <w:rPr>
          <w:rFonts w:asciiTheme="majorBidi" w:hAnsiTheme="majorBidi" w:cstheme="majorBidi"/>
          <w:b/>
          <w:bCs/>
          <w:sz w:val="24"/>
          <w:szCs w:val="24"/>
          <w:lang w:bidi="fa-IR"/>
        </w:rPr>
      </w:pPr>
      <w:r>
        <w:rPr>
          <w:rFonts w:asciiTheme="majorBidi" w:hAnsiTheme="majorBidi" w:cstheme="majorBidi"/>
          <w:b/>
          <w:bCs/>
          <w:sz w:val="24"/>
          <w:szCs w:val="24"/>
          <w:lang w:bidi="fa-IR"/>
        </w:rPr>
        <w:br w:type="page"/>
      </w:r>
    </w:p>
    <w:p w14:paraId="3A823825" w14:textId="77777777" w:rsidR="001A6439" w:rsidRDefault="006913B6" w:rsidP="001A6439">
      <w:pPr>
        <w:keepNext/>
        <w:spacing w:before="240" w:line="480" w:lineRule="auto"/>
      </w:pPr>
      <w:bookmarkStart w:id="1" w:name="_Ref528957080"/>
      <w:r w:rsidRPr="001763D9">
        <w:rPr>
          <w:rFonts w:asciiTheme="majorBidi" w:hAnsiTheme="majorBidi" w:cstheme="majorBidi"/>
          <w:noProof/>
          <w:lang w:val="en-US"/>
        </w:rPr>
        <w:lastRenderedPageBreak/>
        <w:drawing>
          <wp:inline distT="0" distB="0" distL="0" distR="0" wp14:anchorId="064CB9BE" wp14:editId="487E6505">
            <wp:extent cx="5936385" cy="1422123"/>
            <wp:effectExtent l="0" t="0" r="7620"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36385" cy="1422123"/>
                    </a:xfrm>
                    <a:prstGeom prst="rect">
                      <a:avLst/>
                    </a:prstGeom>
                    <a:noFill/>
                    <a:ln>
                      <a:noFill/>
                    </a:ln>
                  </pic:spPr>
                </pic:pic>
              </a:graphicData>
            </a:graphic>
          </wp:inline>
        </w:drawing>
      </w:r>
    </w:p>
    <w:p w14:paraId="30B0C4A0" w14:textId="77777777" w:rsidR="000B5B3D" w:rsidRPr="001A6439" w:rsidRDefault="001A6439" w:rsidP="001A6439">
      <w:pPr>
        <w:pStyle w:val="Caption"/>
        <w:rPr>
          <w:rFonts w:asciiTheme="majorBidi" w:hAnsiTheme="majorBidi" w:cstheme="majorBidi"/>
          <w:i w:val="0"/>
          <w:iCs w:val="0"/>
          <w:color w:val="auto"/>
          <w:sz w:val="22"/>
          <w:szCs w:val="22"/>
        </w:rPr>
      </w:pPr>
      <w:bookmarkStart w:id="2" w:name="_Ref798860"/>
      <w:r w:rsidRPr="001A6439">
        <w:rPr>
          <w:rFonts w:asciiTheme="majorBidi" w:hAnsiTheme="majorBidi" w:cstheme="majorBidi"/>
          <w:b/>
          <w:bCs/>
          <w:i w:val="0"/>
          <w:iCs w:val="0"/>
          <w:color w:val="auto"/>
        </w:rPr>
        <w:t xml:space="preserve">Fig. </w:t>
      </w:r>
      <w:r w:rsidRPr="001A6439">
        <w:rPr>
          <w:rFonts w:asciiTheme="majorBidi" w:hAnsiTheme="majorBidi" w:cstheme="majorBidi"/>
          <w:b/>
          <w:bCs/>
          <w:i w:val="0"/>
          <w:iCs w:val="0"/>
          <w:color w:val="auto"/>
        </w:rPr>
        <w:fldChar w:fldCharType="begin"/>
      </w:r>
      <w:r w:rsidRPr="001A6439">
        <w:rPr>
          <w:rFonts w:asciiTheme="majorBidi" w:hAnsiTheme="majorBidi" w:cstheme="majorBidi"/>
          <w:b/>
          <w:bCs/>
          <w:i w:val="0"/>
          <w:iCs w:val="0"/>
          <w:color w:val="auto"/>
        </w:rPr>
        <w:instrText xml:space="preserve"> SEQ Fig. \* ARABIC </w:instrText>
      </w:r>
      <w:r w:rsidRPr="001A6439">
        <w:rPr>
          <w:rFonts w:asciiTheme="majorBidi" w:hAnsiTheme="majorBidi" w:cstheme="majorBidi"/>
          <w:b/>
          <w:bCs/>
          <w:i w:val="0"/>
          <w:iCs w:val="0"/>
          <w:color w:val="auto"/>
        </w:rPr>
        <w:fldChar w:fldCharType="separate"/>
      </w:r>
      <w:r w:rsidRPr="001A6439">
        <w:rPr>
          <w:rFonts w:asciiTheme="majorBidi" w:hAnsiTheme="majorBidi" w:cstheme="majorBidi"/>
          <w:b/>
          <w:bCs/>
          <w:i w:val="0"/>
          <w:iCs w:val="0"/>
          <w:noProof/>
          <w:color w:val="auto"/>
        </w:rPr>
        <w:t>1</w:t>
      </w:r>
      <w:r w:rsidRPr="001A6439">
        <w:rPr>
          <w:rFonts w:asciiTheme="majorBidi" w:hAnsiTheme="majorBidi" w:cstheme="majorBidi"/>
          <w:b/>
          <w:bCs/>
          <w:i w:val="0"/>
          <w:iCs w:val="0"/>
          <w:color w:val="auto"/>
        </w:rPr>
        <w:fldChar w:fldCharType="end"/>
      </w:r>
      <w:bookmarkEnd w:id="2"/>
      <w:r w:rsidRPr="001A6439">
        <w:rPr>
          <w:rFonts w:asciiTheme="majorBidi" w:hAnsiTheme="majorBidi" w:cstheme="majorBidi"/>
          <w:b/>
          <w:bCs/>
          <w:i w:val="0"/>
          <w:iCs w:val="0"/>
          <w:color w:val="auto"/>
        </w:rPr>
        <w:t>.</w:t>
      </w:r>
      <w:r w:rsidRPr="001A6439">
        <w:rPr>
          <w:rFonts w:asciiTheme="majorBidi" w:hAnsiTheme="majorBidi" w:cstheme="majorBidi"/>
          <w:i w:val="0"/>
          <w:iCs w:val="0"/>
          <w:color w:val="auto"/>
        </w:rPr>
        <w:t xml:space="preserve"> Experimental shoes; A: R10 (rocker angle:10°, apex position: 60%, apex angle: 80°), B: R15 (rocker angle:15°, apex position: 55%, apex angle: 95°), and C: R20 (rocker angle:20°, apex position: 60%, apex angle: 95°)</w:t>
      </w:r>
      <w:r>
        <w:rPr>
          <w:rFonts w:asciiTheme="majorBidi" w:hAnsiTheme="majorBidi" w:cstheme="majorBidi"/>
          <w:i w:val="0"/>
          <w:iCs w:val="0"/>
          <w:color w:val="auto"/>
        </w:rPr>
        <w:t>.</w:t>
      </w:r>
    </w:p>
    <w:p w14:paraId="0873F828" w14:textId="77777777" w:rsidR="000B5B3D" w:rsidRPr="001763D9" w:rsidRDefault="000B5B3D" w:rsidP="00626B98">
      <w:pPr>
        <w:spacing w:before="240" w:line="480" w:lineRule="auto"/>
        <w:rPr>
          <w:rFonts w:asciiTheme="majorBidi" w:hAnsiTheme="majorBidi" w:cstheme="majorBidi"/>
          <w:b/>
          <w:bCs/>
          <w:sz w:val="24"/>
          <w:szCs w:val="24"/>
        </w:rPr>
      </w:pPr>
    </w:p>
    <w:bookmarkEnd w:id="1"/>
    <w:p w14:paraId="6403DBB0" w14:textId="77777777" w:rsidR="0003066E" w:rsidRPr="001763D9" w:rsidRDefault="0003066E" w:rsidP="00626B98">
      <w:pPr>
        <w:spacing w:line="480" w:lineRule="auto"/>
        <w:rPr>
          <w:rFonts w:asciiTheme="majorBidi" w:hAnsiTheme="majorBidi" w:cstheme="majorBidi"/>
          <w:b/>
          <w:bCs/>
          <w:sz w:val="24"/>
          <w:szCs w:val="24"/>
        </w:rPr>
      </w:pPr>
      <w:r w:rsidRPr="001763D9">
        <w:rPr>
          <w:rFonts w:asciiTheme="majorBidi" w:hAnsiTheme="majorBidi" w:cstheme="majorBidi"/>
          <w:b/>
          <w:bCs/>
          <w:sz w:val="24"/>
          <w:szCs w:val="24"/>
        </w:rPr>
        <w:br w:type="page"/>
      </w:r>
    </w:p>
    <w:p w14:paraId="030FE1E2" w14:textId="77777777" w:rsidR="008012ED" w:rsidRDefault="008238BF" w:rsidP="008012ED">
      <w:pPr>
        <w:keepNext/>
        <w:spacing w:line="480" w:lineRule="auto"/>
      </w:pPr>
      <w:r w:rsidRPr="001763D9">
        <w:rPr>
          <w:rFonts w:asciiTheme="majorBidi" w:hAnsiTheme="majorBidi" w:cstheme="majorBidi"/>
          <w:noProof/>
          <w:sz w:val="24"/>
          <w:szCs w:val="24"/>
          <w:lang w:val="en-US"/>
        </w:rPr>
        <w:lastRenderedPageBreak/>
        <w:drawing>
          <wp:inline distT="0" distB="0" distL="0" distR="0" wp14:anchorId="33F65718" wp14:editId="0C780B3D">
            <wp:extent cx="5480050" cy="822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_Plot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0050" cy="8229600"/>
                    </a:xfrm>
                    <a:prstGeom prst="rect">
                      <a:avLst/>
                    </a:prstGeom>
                  </pic:spPr>
                </pic:pic>
              </a:graphicData>
            </a:graphic>
          </wp:inline>
        </w:drawing>
      </w:r>
    </w:p>
    <w:p w14:paraId="135940A5" w14:textId="77777777" w:rsidR="00FF1708" w:rsidRPr="008012ED" w:rsidRDefault="008012ED" w:rsidP="008012ED">
      <w:pPr>
        <w:pStyle w:val="Caption"/>
        <w:rPr>
          <w:rFonts w:asciiTheme="majorBidi" w:hAnsiTheme="majorBidi" w:cstheme="majorBidi"/>
          <w:i w:val="0"/>
          <w:iCs w:val="0"/>
          <w:color w:val="auto"/>
        </w:rPr>
      </w:pPr>
      <w:bookmarkStart w:id="3" w:name="_Ref798882"/>
      <w:r w:rsidRPr="008012ED">
        <w:rPr>
          <w:rFonts w:asciiTheme="majorBidi" w:hAnsiTheme="majorBidi" w:cstheme="majorBidi"/>
          <w:b/>
          <w:bCs/>
          <w:i w:val="0"/>
          <w:iCs w:val="0"/>
          <w:color w:val="auto"/>
        </w:rPr>
        <w:lastRenderedPageBreak/>
        <w:t xml:space="preserve">Fig. </w:t>
      </w:r>
      <w:r w:rsidRPr="008012ED">
        <w:rPr>
          <w:rFonts w:asciiTheme="majorBidi" w:hAnsiTheme="majorBidi" w:cstheme="majorBidi"/>
          <w:b/>
          <w:bCs/>
          <w:i w:val="0"/>
          <w:iCs w:val="0"/>
          <w:color w:val="auto"/>
        </w:rPr>
        <w:fldChar w:fldCharType="begin"/>
      </w:r>
      <w:r w:rsidRPr="008012ED">
        <w:rPr>
          <w:rFonts w:asciiTheme="majorBidi" w:hAnsiTheme="majorBidi" w:cstheme="majorBidi"/>
          <w:b/>
          <w:bCs/>
          <w:i w:val="0"/>
          <w:iCs w:val="0"/>
          <w:color w:val="auto"/>
        </w:rPr>
        <w:instrText xml:space="preserve"> SEQ Fig. \* ARABIC </w:instrText>
      </w:r>
      <w:r w:rsidRPr="008012ED">
        <w:rPr>
          <w:rFonts w:asciiTheme="majorBidi" w:hAnsiTheme="majorBidi" w:cstheme="majorBidi"/>
          <w:b/>
          <w:bCs/>
          <w:i w:val="0"/>
          <w:iCs w:val="0"/>
          <w:color w:val="auto"/>
        </w:rPr>
        <w:fldChar w:fldCharType="separate"/>
      </w:r>
      <w:r w:rsidR="001A6439">
        <w:rPr>
          <w:rFonts w:asciiTheme="majorBidi" w:hAnsiTheme="majorBidi" w:cstheme="majorBidi"/>
          <w:b/>
          <w:bCs/>
          <w:i w:val="0"/>
          <w:iCs w:val="0"/>
          <w:noProof/>
          <w:color w:val="auto"/>
        </w:rPr>
        <w:t>2</w:t>
      </w:r>
      <w:r w:rsidRPr="008012ED">
        <w:rPr>
          <w:rFonts w:asciiTheme="majorBidi" w:hAnsiTheme="majorBidi" w:cstheme="majorBidi"/>
          <w:b/>
          <w:bCs/>
          <w:i w:val="0"/>
          <w:iCs w:val="0"/>
          <w:color w:val="auto"/>
        </w:rPr>
        <w:fldChar w:fldCharType="end"/>
      </w:r>
      <w:bookmarkEnd w:id="3"/>
      <w:r w:rsidRPr="008012ED">
        <w:rPr>
          <w:rFonts w:asciiTheme="majorBidi" w:hAnsiTheme="majorBidi" w:cstheme="majorBidi"/>
          <w:b/>
          <w:bCs/>
          <w:i w:val="0"/>
          <w:iCs w:val="0"/>
          <w:color w:val="auto"/>
        </w:rPr>
        <w:t>.</w:t>
      </w:r>
      <w:r>
        <w:rPr>
          <w:rFonts w:asciiTheme="majorBidi" w:hAnsiTheme="majorBidi" w:cstheme="majorBidi"/>
          <w:i w:val="0"/>
          <w:iCs w:val="0"/>
          <w:color w:val="auto"/>
        </w:rPr>
        <w:t xml:space="preserve"> </w:t>
      </w:r>
      <w:r w:rsidRPr="008012ED">
        <w:rPr>
          <w:rFonts w:asciiTheme="majorBidi" w:hAnsiTheme="majorBidi" w:cstheme="majorBidi"/>
          <w:i w:val="0"/>
          <w:iCs w:val="0"/>
          <w:color w:val="auto"/>
        </w:rPr>
        <w:t>Mixed model results for each outcome variable. Error bars represent Confidence Intervals (CI). BF: Barefoot.</w:t>
      </w:r>
      <w:r w:rsidR="00FF1708" w:rsidRPr="001763D9">
        <w:rPr>
          <w:rFonts w:asciiTheme="majorBidi" w:hAnsiTheme="majorBidi" w:cstheme="majorBidi"/>
          <w:sz w:val="24"/>
          <w:szCs w:val="24"/>
        </w:rPr>
        <w:br w:type="page"/>
      </w:r>
    </w:p>
    <w:p w14:paraId="6211AD7E" w14:textId="77777777" w:rsidR="0023331D" w:rsidRPr="001763D9" w:rsidRDefault="00491148" w:rsidP="00626B98">
      <w:pPr>
        <w:pStyle w:val="Caption"/>
        <w:spacing w:line="480" w:lineRule="auto"/>
        <w:rPr>
          <w:rFonts w:asciiTheme="majorBidi" w:hAnsiTheme="majorBidi" w:cstheme="majorBidi"/>
          <w:b/>
          <w:bCs/>
          <w:i w:val="0"/>
          <w:iCs w:val="0"/>
          <w:color w:val="auto"/>
        </w:rPr>
      </w:pPr>
      <w:bookmarkStart w:id="4" w:name="_Ref798448"/>
      <w:r w:rsidRPr="001763D9">
        <w:rPr>
          <w:rFonts w:asciiTheme="majorBidi" w:hAnsiTheme="majorBidi" w:cstheme="majorBidi"/>
          <w:b/>
          <w:bCs/>
          <w:i w:val="0"/>
          <w:iCs w:val="0"/>
          <w:color w:val="auto"/>
        </w:rPr>
        <w:lastRenderedPageBreak/>
        <w:t xml:space="preserve">Table </w:t>
      </w:r>
      <w:r w:rsidRPr="001763D9">
        <w:rPr>
          <w:rFonts w:asciiTheme="majorBidi" w:hAnsiTheme="majorBidi" w:cstheme="majorBidi"/>
          <w:b/>
          <w:bCs/>
          <w:i w:val="0"/>
          <w:iCs w:val="0"/>
          <w:color w:val="auto"/>
        </w:rPr>
        <w:fldChar w:fldCharType="begin"/>
      </w:r>
      <w:r w:rsidRPr="001763D9">
        <w:rPr>
          <w:rFonts w:asciiTheme="majorBidi" w:hAnsiTheme="majorBidi" w:cstheme="majorBidi"/>
          <w:b/>
          <w:bCs/>
          <w:i w:val="0"/>
          <w:iCs w:val="0"/>
          <w:color w:val="auto"/>
        </w:rPr>
        <w:instrText xml:space="preserve"> SEQ Table \* ARABIC </w:instrText>
      </w:r>
      <w:r w:rsidRPr="001763D9">
        <w:rPr>
          <w:rFonts w:asciiTheme="majorBidi" w:hAnsiTheme="majorBidi" w:cstheme="majorBidi"/>
          <w:b/>
          <w:bCs/>
          <w:i w:val="0"/>
          <w:iCs w:val="0"/>
          <w:color w:val="auto"/>
        </w:rPr>
        <w:fldChar w:fldCharType="separate"/>
      </w:r>
      <w:r w:rsidR="001D1883">
        <w:rPr>
          <w:rFonts w:asciiTheme="majorBidi" w:hAnsiTheme="majorBidi" w:cstheme="majorBidi"/>
          <w:b/>
          <w:bCs/>
          <w:i w:val="0"/>
          <w:iCs w:val="0"/>
          <w:noProof/>
          <w:color w:val="auto"/>
        </w:rPr>
        <w:t>1</w:t>
      </w:r>
      <w:r w:rsidRPr="001763D9">
        <w:rPr>
          <w:rFonts w:asciiTheme="majorBidi" w:hAnsiTheme="majorBidi" w:cstheme="majorBidi"/>
          <w:b/>
          <w:bCs/>
          <w:i w:val="0"/>
          <w:iCs w:val="0"/>
          <w:color w:val="auto"/>
        </w:rPr>
        <w:fldChar w:fldCharType="end"/>
      </w:r>
      <w:bookmarkEnd w:id="4"/>
    </w:p>
    <w:p w14:paraId="5B39AA6A" w14:textId="77777777" w:rsidR="00491148" w:rsidRPr="001763D9" w:rsidRDefault="00491148" w:rsidP="00626B98">
      <w:pPr>
        <w:pStyle w:val="Caption"/>
        <w:spacing w:line="480" w:lineRule="auto"/>
        <w:rPr>
          <w:rFonts w:asciiTheme="majorBidi" w:hAnsiTheme="majorBidi" w:cstheme="majorBidi"/>
          <w:i w:val="0"/>
          <w:iCs w:val="0"/>
          <w:color w:val="auto"/>
        </w:rPr>
      </w:pPr>
      <w:r w:rsidRPr="001763D9">
        <w:rPr>
          <w:rFonts w:asciiTheme="majorBidi" w:hAnsiTheme="majorBidi" w:cstheme="majorBidi"/>
          <w:i w:val="0"/>
          <w:iCs w:val="0"/>
          <w:color w:val="auto"/>
        </w:rPr>
        <w:t>Participant characteristics</w:t>
      </w:r>
    </w:p>
    <w:tbl>
      <w:tblPr>
        <w:tblW w:w="0" w:type="auto"/>
        <w:tblBorders>
          <w:top w:val="single" w:sz="4" w:space="0" w:color="000000"/>
          <w:bottom w:val="single" w:sz="4" w:space="0" w:color="000000"/>
        </w:tblBorders>
        <w:tblLook w:val="04A0" w:firstRow="1" w:lastRow="0" w:firstColumn="1" w:lastColumn="0" w:noHBand="0" w:noVBand="1"/>
      </w:tblPr>
      <w:tblGrid>
        <w:gridCol w:w="2340"/>
        <w:gridCol w:w="1710"/>
        <w:gridCol w:w="1170"/>
        <w:gridCol w:w="1350"/>
      </w:tblGrid>
      <w:tr w:rsidR="00491148" w:rsidRPr="001763D9" w14:paraId="41D3EA55" w14:textId="77777777" w:rsidTr="007251F2">
        <w:tc>
          <w:tcPr>
            <w:tcW w:w="2340" w:type="dxa"/>
            <w:tcBorders>
              <w:bottom w:val="single" w:sz="4" w:space="0" w:color="000000"/>
            </w:tcBorders>
            <w:shd w:val="clear" w:color="auto" w:fill="auto"/>
            <w:vAlign w:val="center"/>
          </w:tcPr>
          <w:p w14:paraId="4E4B9713" w14:textId="77777777" w:rsidR="00491148" w:rsidRPr="001763D9" w:rsidRDefault="00491148" w:rsidP="00626B98">
            <w:pPr>
              <w:spacing w:after="0" w:line="480" w:lineRule="auto"/>
              <w:jc w:val="center"/>
              <w:rPr>
                <w:rFonts w:asciiTheme="majorBidi" w:hAnsiTheme="majorBidi" w:cstheme="majorBidi"/>
                <w:b/>
                <w:bCs/>
                <w:color w:val="000000"/>
                <w:lang w:bidi="fa-IR"/>
              </w:rPr>
            </w:pPr>
            <w:r w:rsidRPr="001763D9">
              <w:rPr>
                <w:rFonts w:asciiTheme="majorBidi" w:hAnsiTheme="majorBidi" w:cstheme="majorBidi"/>
                <w:b/>
                <w:bCs/>
                <w:color w:val="000000"/>
                <w:sz w:val="18"/>
                <w:szCs w:val="18"/>
                <w:lang w:bidi="fa-IR"/>
              </w:rPr>
              <w:t>Parameters</w:t>
            </w:r>
          </w:p>
        </w:tc>
        <w:tc>
          <w:tcPr>
            <w:tcW w:w="1710" w:type="dxa"/>
            <w:tcBorders>
              <w:bottom w:val="single" w:sz="4" w:space="0" w:color="000000"/>
            </w:tcBorders>
            <w:shd w:val="clear" w:color="auto" w:fill="auto"/>
            <w:vAlign w:val="center"/>
          </w:tcPr>
          <w:p w14:paraId="44EF8354"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Healthy participants</w:t>
            </w:r>
          </w:p>
          <w:p w14:paraId="338DF5AC"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color w:val="000000"/>
                <w:sz w:val="18"/>
                <w:szCs w:val="18"/>
              </w:rPr>
              <w:t>Mean (SD)</w:t>
            </w:r>
          </w:p>
        </w:tc>
        <w:tc>
          <w:tcPr>
            <w:tcW w:w="1170" w:type="dxa"/>
            <w:tcBorders>
              <w:bottom w:val="single" w:sz="4" w:space="0" w:color="000000"/>
            </w:tcBorders>
            <w:vAlign w:val="center"/>
          </w:tcPr>
          <w:p w14:paraId="68169E40"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Non-NDPs</w:t>
            </w:r>
          </w:p>
          <w:p w14:paraId="46C1E420"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color w:val="000000"/>
                <w:sz w:val="18"/>
                <w:szCs w:val="18"/>
              </w:rPr>
              <w:t>Mean (SD)</w:t>
            </w:r>
          </w:p>
        </w:tc>
        <w:tc>
          <w:tcPr>
            <w:tcW w:w="1350" w:type="dxa"/>
            <w:tcBorders>
              <w:bottom w:val="single" w:sz="4" w:space="0" w:color="000000"/>
            </w:tcBorders>
            <w:shd w:val="clear" w:color="auto" w:fill="auto"/>
            <w:vAlign w:val="center"/>
          </w:tcPr>
          <w:p w14:paraId="17598887"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NDPs</w:t>
            </w:r>
          </w:p>
          <w:p w14:paraId="60D761E8" w14:textId="77777777" w:rsidR="00491148" w:rsidRPr="001763D9" w:rsidRDefault="00491148" w:rsidP="00626B98">
            <w:pPr>
              <w:spacing w:after="0" w:line="480" w:lineRule="auto"/>
              <w:jc w:val="center"/>
              <w:rPr>
                <w:rFonts w:asciiTheme="majorBidi" w:hAnsiTheme="majorBidi" w:cstheme="majorBidi"/>
                <w:b/>
                <w:bCs/>
                <w:color w:val="000000"/>
                <w:sz w:val="18"/>
                <w:szCs w:val="18"/>
                <w:lang w:bidi="fa-IR"/>
              </w:rPr>
            </w:pPr>
            <w:r w:rsidRPr="001763D9">
              <w:rPr>
                <w:rFonts w:asciiTheme="majorBidi" w:hAnsiTheme="majorBidi" w:cstheme="majorBidi"/>
                <w:color w:val="000000"/>
                <w:sz w:val="18"/>
                <w:szCs w:val="18"/>
              </w:rPr>
              <w:t>Mean (SD)</w:t>
            </w:r>
          </w:p>
        </w:tc>
      </w:tr>
      <w:tr w:rsidR="00491148" w:rsidRPr="001763D9" w14:paraId="1A948296" w14:textId="77777777" w:rsidTr="007251F2">
        <w:tc>
          <w:tcPr>
            <w:tcW w:w="2340" w:type="dxa"/>
            <w:shd w:val="clear" w:color="auto" w:fill="auto"/>
          </w:tcPr>
          <w:p w14:paraId="79D18BAD"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Age (years)</w:t>
            </w:r>
          </w:p>
        </w:tc>
        <w:tc>
          <w:tcPr>
            <w:tcW w:w="1710" w:type="dxa"/>
            <w:shd w:val="clear" w:color="auto" w:fill="auto"/>
          </w:tcPr>
          <w:p w14:paraId="76E87304"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33.16 (9.3)</w:t>
            </w:r>
          </w:p>
        </w:tc>
        <w:tc>
          <w:tcPr>
            <w:tcW w:w="1170" w:type="dxa"/>
          </w:tcPr>
          <w:p w14:paraId="4E91545E"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54.39 (5.1)</w:t>
            </w:r>
          </w:p>
        </w:tc>
        <w:tc>
          <w:tcPr>
            <w:tcW w:w="1350" w:type="dxa"/>
            <w:shd w:val="clear" w:color="auto" w:fill="auto"/>
          </w:tcPr>
          <w:p w14:paraId="385E73FD"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58.72 (4.7)</w:t>
            </w:r>
          </w:p>
        </w:tc>
      </w:tr>
      <w:tr w:rsidR="00491148" w:rsidRPr="001763D9" w14:paraId="49BAEBF4" w14:textId="77777777" w:rsidTr="007251F2">
        <w:tc>
          <w:tcPr>
            <w:tcW w:w="2340" w:type="dxa"/>
            <w:shd w:val="clear" w:color="auto" w:fill="auto"/>
          </w:tcPr>
          <w:p w14:paraId="4E626785"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BMI (kg/m</w:t>
            </w:r>
            <w:r w:rsidRPr="001763D9">
              <w:rPr>
                <w:rFonts w:asciiTheme="majorBidi" w:hAnsiTheme="majorBidi" w:cstheme="majorBidi"/>
                <w:b/>
                <w:bCs/>
                <w:color w:val="000000"/>
                <w:sz w:val="18"/>
                <w:szCs w:val="18"/>
                <w:vertAlign w:val="superscript"/>
                <w:lang w:bidi="fa-IR"/>
              </w:rPr>
              <w:t>2</w:t>
            </w:r>
            <w:r w:rsidRPr="001763D9">
              <w:rPr>
                <w:rFonts w:asciiTheme="majorBidi" w:hAnsiTheme="majorBidi" w:cstheme="majorBidi"/>
                <w:b/>
                <w:bCs/>
                <w:color w:val="000000"/>
                <w:sz w:val="18"/>
                <w:szCs w:val="18"/>
                <w:lang w:bidi="fa-IR"/>
              </w:rPr>
              <w:t>)</w:t>
            </w:r>
          </w:p>
        </w:tc>
        <w:tc>
          <w:tcPr>
            <w:tcW w:w="1710" w:type="dxa"/>
            <w:shd w:val="clear" w:color="auto" w:fill="auto"/>
          </w:tcPr>
          <w:p w14:paraId="302A278B"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22.2 (2)</w:t>
            </w:r>
          </w:p>
        </w:tc>
        <w:tc>
          <w:tcPr>
            <w:tcW w:w="1170" w:type="dxa"/>
          </w:tcPr>
          <w:p w14:paraId="5C3BCB3F"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27.9 (3.1)</w:t>
            </w:r>
          </w:p>
        </w:tc>
        <w:tc>
          <w:tcPr>
            <w:tcW w:w="1350" w:type="dxa"/>
            <w:shd w:val="clear" w:color="auto" w:fill="auto"/>
          </w:tcPr>
          <w:p w14:paraId="7CF12239"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25.67(2.8)</w:t>
            </w:r>
          </w:p>
        </w:tc>
      </w:tr>
      <w:tr w:rsidR="00491148" w:rsidRPr="001763D9" w14:paraId="3B086549" w14:textId="77777777" w:rsidTr="007251F2">
        <w:tc>
          <w:tcPr>
            <w:tcW w:w="2340" w:type="dxa"/>
            <w:shd w:val="clear" w:color="auto" w:fill="auto"/>
          </w:tcPr>
          <w:p w14:paraId="22FAC43D"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Duration of diabetes (years)</w:t>
            </w:r>
          </w:p>
        </w:tc>
        <w:tc>
          <w:tcPr>
            <w:tcW w:w="1710" w:type="dxa"/>
            <w:shd w:val="clear" w:color="auto" w:fill="auto"/>
          </w:tcPr>
          <w:p w14:paraId="09470E69"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w:t>
            </w:r>
          </w:p>
        </w:tc>
        <w:tc>
          <w:tcPr>
            <w:tcW w:w="1170" w:type="dxa"/>
          </w:tcPr>
          <w:p w14:paraId="0600991B"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8.04 (3.52)</w:t>
            </w:r>
          </w:p>
        </w:tc>
        <w:tc>
          <w:tcPr>
            <w:tcW w:w="1350" w:type="dxa"/>
            <w:shd w:val="clear" w:color="auto" w:fill="auto"/>
          </w:tcPr>
          <w:p w14:paraId="5FFE54CF"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10.46 (5.9)</w:t>
            </w:r>
          </w:p>
        </w:tc>
      </w:tr>
      <w:tr w:rsidR="00491148" w:rsidRPr="001763D9" w14:paraId="03A2D476" w14:textId="77777777" w:rsidTr="007251F2">
        <w:tc>
          <w:tcPr>
            <w:tcW w:w="2340" w:type="dxa"/>
            <w:shd w:val="clear" w:color="auto" w:fill="auto"/>
          </w:tcPr>
          <w:p w14:paraId="4C22846D"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MNSI score</w:t>
            </w:r>
          </w:p>
        </w:tc>
        <w:tc>
          <w:tcPr>
            <w:tcW w:w="1710" w:type="dxa"/>
            <w:shd w:val="clear" w:color="auto" w:fill="auto"/>
          </w:tcPr>
          <w:p w14:paraId="633F1A72"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w:t>
            </w:r>
          </w:p>
        </w:tc>
        <w:tc>
          <w:tcPr>
            <w:tcW w:w="1170" w:type="dxa"/>
          </w:tcPr>
          <w:p w14:paraId="06E660E2"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3.5 (4)</w:t>
            </w:r>
          </w:p>
        </w:tc>
        <w:tc>
          <w:tcPr>
            <w:tcW w:w="1350" w:type="dxa"/>
            <w:shd w:val="clear" w:color="auto" w:fill="auto"/>
          </w:tcPr>
          <w:p w14:paraId="4F1F6CEE"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5.5 (4.5)</w:t>
            </w:r>
          </w:p>
        </w:tc>
      </w:tr>
      <w:tr w:rsidR="00491148" w:rsidRPr="001763D9" w14:paraId="6A151E5C" w14:textId="77777777" w:rsidTr="007251F2">
        <w:tc>
          <w:tcPr>
            <w:tcW w:w="2340" w:type="dxa"/>
            <w:tcBorders>
              <w:bottom w:val="nil"/>
            </w:tcBorders>
            <w:shd w:val="clear" w:color="auto" w:fill="auto"/>
          </w:tcPr>
          <w:p w14:paraId="18BD58DC"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Motor NCV (m/s)</w:t>
            </w:r>
          </w:p>
          <w:p w14:paraId="3306A6EC"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Sensory NCV (m/s)</w:t>
            </w:r>
          </w:p>
        </w:tc>
        <w:tc>
          <w:tcPr>
            <w:tcW w:w="1710" w:type="dxa"/>
            <w:tcBorders>
              <w:bottom w:val="nil"/>
            </w:tcBorders>
            <w:shd w:val="clear" w:color="auto" w:fill="auto"/>
          </w:tcPr>
          <w:p w14:paraId="213E6BA7"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w:t>
            </w:r>
          </w:p>
          <w:p w14:paraId="72B496D1"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w:t>
            </w:r>
          </w:p>
        </w:tc>
        <w:tc>
          <w:tcPr>
            <w:tcW w:w="1170" w:type="dxa"/>
            <w:tcBorders>
              <w:bottom w:val="nil"/>
            </w:tcBorders>
          </w:tcPr>
          <w:p w14:paraId="150AD620"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38.1 (2.1)</w:t>
            </w:r>
          </w:p>
          <w:p w14:paraId="5BC54963"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24.14 (3.6)</w:t>
            </w:r>
          </w:p>
        </w:tc>
        <w:tc>
          <w:tcPr>
            <w:tcW w:w="1350" w:type="dxa"/>
            <w:tcBorders>
              <w:bottom w:val="nil"/>
            </w:tcBorders>
            <w:shd w:val="clear" w:color="auto" w:fill="auto"/>
          </w:tcPr>
          <w:p w14:paraId="3A9D4AE9"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42.7 (8.7)</w:t>
            </w:r>
          </w:p>
          <w:p w14:paraId="3F4F8E5B"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33.65 (11.3)</w:t>
            </w:r>
          </w:p>
        </w:tc>
      </w:tr>
      <w:tr w:rsidR="00491148" w:rsidRPr="001763D9" w14:paraId="1031589F" w14:textId="77777777" w:rsidTr="007251F2">
        <w:tc>
          <w:tcPr>
            <w:tcW w:w="2340" w:type="dxa"/>
            <w:tcBorders>
              <w:top w:val="nil"/>
              <w:bottom w:val="single" w:sz="4" w:space="0" w:color="auto"/>
            </w:tcBorders>
            <w:shd w:val="clear" w:color="auto" w:fill="auto"/>
          </w:tcPr>
          <w:p w14:paraId="473A9F71" w14:textId="77777777" w:rsidR="00491148" w:rsidRPr="001763D9" w:rsidRDefault="0049114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FES-I score</w:t>
            </w:r>
          </w:p>
        </w:tc>
        <w:tc>
          <w:tcPr>
            <w:tcW w:w="1710" w:type="dxa"/>
            <w:tcBorders>
              <w:top w:val="nil"/>
              <w:bottom w:val="single" w:sz="4" w:space="0" w:color="auto"/>
            </w:tcBorders>
            <w:shd w:val="clear" w:color="auto" w:fill="auto"/>
          </w:tcPr>
          <w:p w14:paraId="2F037ABC"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 (0.1)</w:t>
            </w:r>
          </w:p>
        </w:tc>
        <w:tc>
          <w:tcPr>
            <w:tcW w:w="1170" w:type="dxa"/>
            <w:tcBorders>
              <w:top w:val="nil"/>
              <w:bottom w:val="single" w:sz="4" w:space="0" w:color="auto"/>
            </w:tcBorders>
          </w:tcPr>
          <w:p w14:paraId="3388391E"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29.7 (7)</w:t>
            </w:r>
          </w:p>
        </w:tc>
        <w:tc>
          <w:tcPr>
            <w:tcW w:w="1350" w:type="dxa"/>
            <w:tcBorders>
              <w:top w:val="nil"/>
              <w:bottom w:val="single" w:sz="4" w:space="0" w:color="auto"/>
            </w:tcBorders>
            <w:shd w:val="clear" w:color="auto" w:fill="auto"/>
          </w:tcPr>
          <w:p w14:paraId="0C03FDEE" w14:textId="77777777" w:rsidR="00491148" w:rsidRPr="001763D9" w:rsidRDefault="0049114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35.54 (9.6)</w:t>
            </w:r>
          </w:p>
        </w:tc>
      </w:tr>
    </w:tbl>
    <w:p w14:paraId="50219856" w14:textId="77777777" w:rsidR="0023331D" w:rsidRPr="001763D9" w:rsidRDefault="0023331D" w:rsidP="00626B98">
      <w:pPr>
        <w:spacing w:before="240" w:line="480" w:lineRule="auto"/>
        <w:rPr>
          <w:rFonts w:asciiTheme="majorBidi" w:hAnsiTheme="majorBidi" w:cstheme="majorBidi"/>
          <w:sz w:val="24"/>
          <w:szCs w:val="24"/>
        </w:rPr>
      </w:pPr>
    </w:p>
    <w:p w14:paraId="33DE0D82" w14:textId="77777777" w:rsidR="0023331D" w:rsidRPr="001763D9" w:rsidRDefault="0023331D" w:rsidP="00626B98">
      <w:pPr>
        <w:spacing w:line="480" w:lineRule="auto"/>
        <w:rPr>
          <w:rFonts w:asciiTheme="majorBidi" w:hAnsiTheme="majorBidi" w:cstheme="majorBidi"/>
        </w:rPr>
      </w:pPr>
      <w:r w:rsidRPr="001763D9">
        <w:rPr>
          <w:rFonts w:asciiTheme="majorBidi" w:hAnsiTheme="majorBidi" w:cstheme="majorBidi"/>
        </w:rPr>
        <w:br w:type="page"/>
      </w:r>
    </w:p>
    <w:p w14:paraId="68B90E23" w14:textId="77777777" w:rsidR="007251F2" w:rsidRPr="001763D9" w:rsidRDefault="007251F2" w:rsidP="00626B98">
      <w:pPr>
        <w:pStyle w:val="Caption"/>
        <w:keepNext/>
        <w:spacing w:line="480" w:lineRule="auto"/>
        <w:rPr>
          <w:rFonts w:asciiTheme="majorBidi" w:hAnsiTheme="majorBidi" w:cstheme="majorBidi"/>
          <w:b/>
          <w:bCs/>
          <w:i w:val="0"/>
          <w:iCs w:val="0"/>
          <w:color w:val="auto"/>
        </w:rPr>
      </w:pPr>
      <w:bookmarkStart w:id="5" w:name="_Ref798592"/>
      <w:r w:rsidRPr="001763D9">
        <w:rPr>
          <w:rFonts w:asciiTheme="majorBidi" w:hAnsiTheme="majorBidi" w:cstheme="majorBidi"/>
          <w:b/>
          <w:bCs/>
          <w:i w:val="0"/>
          <w:iCs w:val="0"/>
          <w:color w:val="auto"/>
        </w:rPr>
        <w:lastRenderedPageBreak/>
        <w:t xml:space="preserve">Table </w:t>
      </w:r>
      <w:r w:rsidRPr="001763D9">
        <w:rPr>
          <w:rFonts w:asciiTheme="majorBidi" w:hAnsiTheme="majorBidi" w:cstheme="majorBidi"/>
          <w:b/>
          <w:bCs/>
          <w:i w:val="0"/>
          <w:iCs w:val="0"/>
          <w:color w:val="auto"/>
        </w:rPr>
        <w:fldChar w:fldCharType="begin"/>
      </w:r>
      <w:r w:rsidRPr="001763D9">
        <w:rPr>
          <w:rFonts w:asciiTheme="majorBidi" w:hAnsiTheme="majorBidi" w:cstheme="majorBidi"/>
          <w:b/>
          <w:bCs/>
          <w:i w:val="0"/>
          <w:iCs w:val="0"/>
          <w:color w:val="auto"/>
        </w:rPr>
        <w:instrText xml:space="preserve"> SEQ Table \* ARABIC </w:instrText>
      </w:r>
      <w:r w:rsidRPr="001763D9">
        <w:rPr>
          <w:rFonts w:asciiTheme="majorBidi" w:hAnsiTheme="majorBidi" w:cstheme="majorBidi"/>
          <w:b/>
          <w:bCs/>
          <w:i w:val="0"/>
          <w:iCs w:val="0"/>
          <w:color w:val="auto"/>
        </w:rPr>
        <w:fldChar w:fldCharType="separate"/>
      </w:r>
      <w:r w:rsidR="001D1883">
        <w:rPr>
          <w:rFonts w:asciiTheme="majorBidi" w:hAnsiTheme="majorBidi" w:cstheme="majorBidi"/>
          <w:b/>
          <w:bCs/>
          <w:i w:val="0"/>
          <w:iCs w:val="0"/>
          <w:noProof/>
          <w:color w:val="auto"/>
        </w:rPr>
        <w:t>2</w:t>
      </w:r>
      <w:r w:rsidRPr="001763D9">
        <w:rPr>
          <w:rFonts w:asciiTheme="majorBidi" w:hAnsiTheme="majorBidi" w:cstheme="majorBidi"/>
          <w:b/>
          <w:bCs/>
          <w:i w:val="0"/>
          <w:iCs w:val="0"/>
          <w:color w:val="auto"/>
        </w:rPr>
        <w:fldChar w:fldCharType="end"/>
      </w:r>
      <w:bookmarkEnd w:id="5"/>
    </w:p>
    <w:p w14:paraId="1E6053B8" w14:textId="77777777" w:rsidR="007251F2" w:rsidRPr="001763D9" w:rsidRDefault="007251F2" w:rsidP="00626B98">
      <w:pPr>
        <w:pStyle w:val="Caption"/>
        <w:keepNext/>
        <w:spacing w:line="480" w:lineRule="auto"/>
        <w:rPr>
          <w:rFonts w:asciiTheme="majorBidi" w:hAnsiTheme="majorBidi" w:cstheme="majorBidi"/>
          <w:i w:val="0"/>
          <w:iCs w:val="0"/>
          <w:color w:val="auto"/>
        </w:rPr>
      </w:pPr>
      <w:r w:rsidRPr="001763D9">
        <w:rPr>
          <w:rFonts w:asciiTheme="majorBidi" w:hAnsiTheme="majorBidi" w:cstheme="majorBidi"/>
          <w:i w:val="0"/>
          <w:iCs w:val="0"/>
          <w:color w:val="auto"/>
        </w:rPr>
        <w:t>Comparisons of stability and spatiotemporal measures between experimental conditions and group participants</w:t>
      </w:r>
    </w:p>
    <w:tbl>
      <w:tblPr>
        <w:tblW w:w="0" w:type="auto"/>
        <w:tblBorders>
          <w:top w:val="single" w:sz="4" w:space="0" w:color="000000"/>
          <w:bottom w:val="single" w:sz="4" w:space="0" w:color="000000"/>
        </w:tblBorders>
        <w:tblLook w:val="04A0" w:firstRow="1" w:lastRow="0" w:firstColumn="1" w:lastColumn="0" w:noHBand="0" w:noVBand="1"/>
      </w:tblPr>
      <w:tblGrid>
        <w:gridCol w:w="1869"/>
        <w:gridCol w:w="1281"/>
        <w:gridCol w:w="1249"/>
        <w:gridCol w:w="1236"/>
        <w:gridCol w:w="1053"/>
        <w:gridCol w:w="1596"/>
        <w:gridCol w:w="1076"/>
      </w:tblGrid>
      <w:tr w:rsidR="00487796" w:rsidRPr="001763D9" w14:paraId="0039883A" w14:textId="77777777" w:rsidTr="0042622E">
        <w:trPr>
          <w:trHeight w:val="689"/>
        </w:trPr>
        <w:tc>
          <w:tcPr>
            <w:tcW w:w="1869" w:type="dxa"/>
            <w:vMerge w:val="restart"/>
            <w:shd w:val="clear" w:color="auto" w:fill="auto"/>
            <w:vAlign w:val="center"/>
          </w:tcPr>
          <w:p w14:paraId="70788F1C"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Parameters</w:t>
            </w:r>
          </w:p>
        </w:tc>
        <w:tc>
          <w:tcPr>
            <w:tcW w:w="1281" w:type="dxa"/>
            <w:vMerge w:val="restart"/>
            <w:shd w:val="clear" w:color="auto" w:fill="auto"/>
            <w:vAlign w:val="center"/>
          </w:tcPr>
          <w:p w14:paraId="5C171A22"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Healthy participants</w:t>
            </w:r>
          </w:p>
          <w:p w14:paraId="7D527904" w14:textId="77777777" w:rsidR="00487796" w:rsidRPr="001763D9" w:rsidRDefault="00487796" w:rsidP="0081156E">
            <w:pPr>
              <w:spacing w:after="0" w:line="24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(n = 11)</w:t>
            </w:r>
          </w:p>
          <w:p w14:paraId="5FF99985" w14:textId="77777777" w:rsidR="00487796" w:rsidRPr="001763D9" w:rsidRDefault="00487796" w:rsidP="0081156E">
            <w:pPr>
              <w:spacing w:after="0" w:line="24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Estimated Mean (SE)</w:t>
            </w:r>
          </w:p>
        </w:tc>
        <w:tc>
          <w:tcPr>
            <w:tcW w:w="1249" w:type="dxa"/>
            <w:vMerge w:val="restart"/>
            <w:shd w:val="clear" w:color="auto" w:fill="auto"/>
            <w:vAlign w:val="center"/>
          </w:tcPr>
          <w:p w14:paraId="058361F4" w14:textId="77777777" w:rsidR="00487796" w:rsidRPr="001763D9" w:rsidRDefault="00487796" w:rsidP="0081156E">
            <w:pPr>
              <w:spacing w:after="0" w:line="240" w:lineRule="auto"/>
              <w:jc w:val="center"/>
              <w:rPr>
                <w:rFonts w:asciiTheme="majorBidi" w:hAnsiTheme="majorBidi" w:cstheme="majorBidi"/>
                <w:color w:val="000000"/>
                <w:sz w:val="18"/>
                <w:szCs w:val="18"/>
              </w:rPr>
            </w:pPr>
            <w:r w:rsidRPr="001763D9">
              <w:rPr>
                <w:rFonts w:asciiTheme="majorBidi" w:hAnsiTheme="majorBidi" w:cstheme="majorBidi"/>
                <w:b/>
                <w:bCs/>
                <w:color w:val="000000"/>
                <w:sz w:val="18"/>
                <w:szCs w:val="18"/>
              </w:rPr>
              <w:t xml:space="preserve">Non-NDP </w:t>
            </w:r>
            <w:r w:rsidRPr="001763D9">
              <w:rPr>
                <w:rFonts w:asciiTheme="majorBidi" w:hAnsiTheme="majorBidi" w:cstheme="majorBidi"/>
                <w:b/>
                <w:bCs/>
                <w:color w:val="000000"/>
                <w:sz w:val="18"/>
                <w:szCs w:val="18"/>
              </w:rPr>
              <w:br/>
            </w:r>
            <w:r w:rsidRPr="001763D9">
              <w:rPr>
                <w:rFonts w:asciiTheme="majorBidi" w:hAnsiTheme="majorBidi" w:cstheme="majorBidi"/>
                <w:color w:val="000000"/>
                <w:sz w:val="18"/>
                <w:szCs w:val="18"/>
              </w:rPr>
              <w:t>(n = 14)</w:t>
            </w:r>
          </w:p>
          <w:p w14:paraId="1C5190EE"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Estimated Mean (SE)</w:t>
            </w:r>
          </w:p>
        </w:tc>
        <w:tc>
          <w:tcPr>
            <w:tcW w:w="1236" w:type="dxa"/>
            <w:vMerge w:val="restart"/>
            <w:shd w:val="clear" w:color="auto" w:fill="auto"/>
            <w:vAlign w:val="center"/>
          </w:tcPr>
          <w:p w14:paraId="0031B249"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 xml:space="preserve">NDP </w:t>
            </w:r>
            <w:r w:rsidRPr="001763D9">
              <w:rPr>
                <w:rFonts w:asciiTheme="majorBidi" w:hAnsiTheme="majorBidi" w:cstheme="majorBidi"/>
                <w:b/>
                <w:bCs/>
                <w:color w:val="000000"/>
                <w:sz w:val="18"/>
                <w:szCs w:val="18"/>
              </w:rPr>
              <w:br/>
            </w:r>
            <w:r w:rsidRPr="001763D9">
              <w:rPr>
                <w:rFonts w:asciiTheme="majorBidi" w:hAnsiTheme="majorBidi" w:cstheme="majorBidi"/>
                <w:color w:val="000000"/>
                <w:sz w:val="18"/>
                <w:szCs w:val="18"/>
              </w:rPr>
              <w:t>(n = 9)</w:t>
            </w:r>
          </w:p>
          <w:p w14:paraId="0D915A5D"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Estimated Mean (SE)</w:t>
            </w:r>
          </w:p>
        </w:tc>
        <w:tc>
          <w:tcPr>
            <w:tcW w:w="1053" w:type="dxa"/>
            <w:tcBorders>
              <w:bottom w:val="single" w:sz="4" w:space="0" w:color="000000"/>
            </w:tcBorders>
            <w:shd w:val="clear" w:color="auto" w:fill="auto"/>
            <w:vAlign w:val="center"/>
          </w:tcPr>
          <w:p w14:paraId="1C444BF9"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Group effect</w:t>
            </w:r>
          </w:p>
          <w:p w14:paraId="03235B6B"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c>
          <w:tcPr>
            <w:tcW w:w="1596" w:type="dxa"/>
            <w:tcBorders>
              <w:top w:val="single" w:sz="4" w:space="0" w:color="000000"/>
              <w:bottom w:val="single" w:sz="4" w:space="0" w:color="auto"/>
            </w:tcBorders>
            <w:vAlign w:val="center"/>
          </w:tcPr>
          <w:p w14:paraId="7E76DA41" w14:textId="3528F707" w:rsidR="00487796" w:rsidRPr="001763D9" w:rsidRDefault="0042622E" w:rsidP="0081156E">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Experimental</w:t>
            </w:r>
            <w:r w:rsidR="00487796" w:rsidRPr="001763D9">
              <w:rPr>
                <w:rFonts w:asciiTheme="majorBidi" w:hAnsiTheme="majorBidi" w:cstheme="majorBidi"/>
                <w:b/>
                <w:bCs/>
                <w:color w:val="000000"/>
                <w:sz w:val="18"/>
                <w:szCs w:val="18"/>
              </w:rPr>
              <w:t xml:space="preserve"> condition</w:t>
            </w:r>
          </w:p>
          <w:p w14:paraId="309FED46"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c>
          <w:tcPr>
            <w:tcW w:w="1076" w:type="dxa"/>
            <w:tcBorders>
              <w:top w:val="single" w:sz="4" w:space="0" w:color="000000"/>
              <w:bottom w:val="single" w:sz="4" w:space="0" w:color="auto"/>
            </w:tcBorders>
            <w:vAlign w:val="center"/>
          </w:tcPr>
          <w:p w14:paraId="025E5200"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Interaction</w:t>
            </w:r>
          </w:p>
          <w:p w14:paraId="777C8CFC" w14:textId="77777777" w:rsidR="00487796" w:rsidRPr="001763D9" w:rsidRDefault="00487796" w:rsidP="0081156E">
            <w:pPr>
              <w:spacing w:after="0" w:line="24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r>
      <w:tr w:rsidR="00F8765D" w:rsidRPr="001763D9" w14:paraId="70DF4E5E" w14:textId="77777777" w:rsidTr="0042622E">
        <w:trPr>
          <w:trHeight w:val="688"/>
        </w:trPr>
        <w:tc>
          <w:tcPr>
            <w:tcW w:w="1869" w:type="dxa"/>
            <w:vMerge/>
            <w:tcBorders>
              <w:bottom w:val="single" w:sz="4" w:space="0" w:color="000000"/>
            </w:tcBorders>
            <w:shd w:val="clear" w:color="auto" w:fill="auto"/>
            <w:vAlign w:val="center"/>
          </w:tcPr>
          <w:p w14:paraId="37AD8B19" w14:textId="77777777" w:rsidR="00F8765D" w:rsidRPr="001763D9" w:rsidRDefault="00F8765D" w:rsidP="0081156E">
            <w:pPr>
              <w:spacing w:after="0" w:line="240" w:lineRule="auto"/>
              <w:jc w:val="center"/>
              <w:rPr>
                <w:rFonts w:asciiTheme="majorBidi" w:hAnsiTheme="majorBidi" w:cstheme="majorBidi"/>
                <w:b/>
                <w:bCs/>
                <w:color w:val="000000"/>
                <w:sz w:val="18"/>
                <w:szCs w:val="18"/>
              </w:rPr>
            </w:pPr>
          </w:p>
        </w:tc>
        <w:tc>
          <w:tcPr>
            <w:tcW w:w="1281" w:type="dxa"/>
            <w:vMerge/>
            <w:tcBorders>
              <w:bottom w:val="single" w:sz="4" w:space="0" w:color="000000"/>
            </w:tcBorders>
            <w:shd w:val="clear" w:color="auto" w:fill="auto"/>
            <w:vAlign w:val="center"/>
          </w:tcPr>
          <w:p w14:paraId="17BE0857" w14:textId="77777777" w:rsidR="00F8765D" w:rsidRPr="001763D9" w:rsidRDefault="00F8765D" w:rsidP="0081156E">
            <w:pPr>
              <w:spacing w:after="0" w:line="240" w:lineRule="auto"/>
              <w:jc w:val="center"/>
              <w:rPr>
                <w:rFonts w:asciiTheme="majorBidi" w:hAnsiTheme="majorBidi" w:cstheme="majorBidi"/>
                <w:b/>
                <w:bCs/>
                <w:color w:val="000000"/>
                <w:sz w:val="18"/>
                <w:szCs w:val="18"/>
              </w:rPr>
            </w:pPr>
          </w:p>
        </w:tc>
        <w:tc>
          <w:tcPr>
            <w:tcW w:w="1249" w:type="dxa"/>
            <w:vMerge/>
            <w:tcBorders>
              <w:bottom w:val="single" w:sz="4" w:space="0" w:color="000000"/>
            </w:tcBorders>
            <w:shd w:val="clear" w:color="auto" w:fill="auto"/>
            <w:vAlign w:val="center"/>
          </w:tcPr>
          <w:p w14:paraId="7052A54E" w14:textId="77777777" w:rsidR="00F8765D" w:rsidRPr="001763D9" w:rsidRDefault="00F8765D" w:rsidP="0081156E">
            <w:pPr>
              <w:spacing w:after="0" w:line="240" w:lineRule="auto"/>
              <w:jc w:val="center"/>
              <w:rPr>
                <w:rFonts w:asciiTheme="majorBidi" w:hAnsiTheme="majorBidi" w:cstheme="majorBidi"/>
                <w:b/>
                <w:bCs/>
                <w:color w:val="000000"/>
                <w:sz w:val="18"/>
                <w:szCs w:val="18"/>
              </w:rPr>
            </w:pPr>
          </w:p>
        </w:tc>
        <w:tc>
          <w:tcPr>
            <w:tcW w:w="1236" w:type="dxa"/>
            <w:vMerge/>
            <w:tcBorders>
              <w:bottom w:val="single" w:sz="4" w:space="0" w:color="000000"/>
            </w:tcBorders>
            <w:shd w:val="clear" w:color="auto" w:fill="auto"/>
            <w:vAlign w:val="center"/>
          </w:tcPr>
          <w:p w14:paraId="2D9C87EA" w14:textId="77777777" w:rsidR="00F8765D" w:rsidRPr="001763D9" w:rsidRDefault="00F8765D" w:rsidP="0081156E">
            <w:pPr>
              <w:spacing w:after="0" w:line="240" w:lineRule="auto"/>
              <w:jc w:val="center"/>
              <w:rPr>
                <w:rFonts w:asciiTheme="majorBidi" w:hAnsiTheme="majorBidi" w:cstheme="majorBidi"/>
                <w:b/>
                <w:bCs/>
                <w:color w:val="000000"/>
                <w:sz w:val="18"/>
                <w:szCs w:val="18"/>
              </w:rPr>
            </w:pPr>
          </w:p>
        </w:tc>
        <w:tc>
          <w:tcPr>
            <w:tcW w:w="1053" w:type="dxa"/>
            <w:tcBorders>
              <w:bottom w:val="single" w:sz="4" w:space="0" w:color="000000"/>
            </w:tcBorders>
            <w:shd w:val="clear" w:color="auto" w:fill="auto"/>
            <w:vAlign w:val="center"/>
          </w:tcPr>
          <w:p w14:paraId="6916E91B" w14:textId="26B70828" w:rsidR="00F8765D" w:rsidRPr="001763D9" w:rsidRDefault="00F8765D" w:rsidP="0081156E">
            <w:pPr>
              <w:spacing w:after="0" w:line="240" w:lineRule="auto"/>
              <w:jc w:val="center"/>
              <w:rPr>
                <w:rFonts w:asciiTheme="majorBidi" w:hAnsiTheme="majorBidi" w:cstheme="majorBidi"/>
                <w:b/>
                <w:bCs/>
                <w:color w:val="000000"/>
                <w:sz w:val="18"/>
                <w:szCs w:val="18"/>
              </w:rPr>
            </w:pPr>
            <w:r w:rsidRPr="00DB209D">
              <w:rPr>
                <w:rFonts w:asciiTheme="majorBidi" w:hAnsiTheme="majorBidi" w:cstheme="majorBidi"/>
                <w:b/>
                <w:bCs/>
                <w:color w:val="000000"/>
                <w:sz w:val="18"/>
                <w:szCs w:val="18"/>
              </w:rPr>
              <w:t>(Cohen’s f</w:t>
            </w:r>
            <w:r w:rsidRPr="00DB209D">
              <w:rPr>
                <w:rFonts w:asciiTheme="majorBidi" w:hAnsiTheme="majorBidi" w:cstheme="majorBidi"/>
                <w:b/>
                <w:bCs/>
                <w:color w:val="000000"/>
                <w:sz w:val="18"/>
                <w:szCs w:val="18"/>
                <w:vertAlign w:val="superscript"/>
              </w:rPr>
              <w:t>2</w:t>
            </w:r>
            <w:r w:rsidRPr="00DB209D">
              <w:rPr>
                <w:rFonts w:asciiTheme="majorBidi" w:hAnsiTheme="majorBidi" w:cstheme="majorBidi"/>
                <w:b/>
                <w:bCs/>
                <w:color w:val="000000"/>
                <w:sz w:val="18"/>
                <w:szCs w:val="18"/>
              </w:rPr>
              <w:t>)</w:t>
            </w:r>
          </w:p>
        </w:tc>
        <w:tc>
          <w:tcPr>
            <w:tcW w:w="1596" w:type="dxa"/>
            <w:tcBorders>
              <w:top w:val="single" w:sz="4" w:space="0" w:color="auto"/>
              <w:bottom w:val="single" w:sz="4" w:space="0" w:color="000000"/>
            </w:tcBorders>
            <w:vAlign w:val="center"/>
          </w:tcPr>
          <w:p w14:paraId="2EF9AD7E" w14:textId="788CCD78" w:rsidR="00F8765D" w:rsidRPr="001763D9" w:rsidRDefault="00F8765D" w:rsidP="0081156E">
            <w:pPr>
              <w:spacing w:after="0" w:line="240" w:lineRule="auto"/>
              <w:jc w:val="center"/>
              <w:rPr>
                <w:rFonts w:asciiTheme="majorBidi" w:hAnsiTheme="majorBidi" w:cstheme="majorBidi"/>
                <w:b/>
                <w:bCs/>
                <w:color w:val="000000"/>
                <w:sz w:val="18"/>
                <w:szCs w:val="18"/>
              </w:rPr>
            </w:pPr>
            <w:r w:rsidRPr="00AA6DF6">
              <w:rPr>
                <w:rFonts w:asciiTheme="majorBidi" w:hAnsiTheme="majorBidi" w:cstheme="majorBidi"/>
                <w:b/>
                <w:bCs/>
                <w:color w:val="000000"/>
                <w:sz w:val="18"/>
                <w:szCs w:val="18"/>
              </w:rPr>
              <w:t>(Cohen’s f</w:t>
            </w:r>
            <w:r w:rsidRPr="00AA6DF6">
              <w:rPr>
                <w:rFonts w:asciiTheme="majorBidi" w:hAnsiTheme="majorBidi" w:cstheme="majorBidi"/>
                <w:b/>
                <w:bCs/>
                <w:color w:val="000000"/>
                <w:sz w:val="18"/>
                <w:szCs w:val="18"/>
                <w:vertAlign w:val="superscript"/>
              </w:rPr>
              <w:t>2</w:t>
            </w:r>
            <w:r w:rsidRPr="00AA6DF6">
              <w:rPr>
                <w:rFonts w:asciiTheme="majorBidi" w:hAnsiTheme="majorBidi" w:cstheme="majorBidi"/>
                <w:b/>
                <w:bCs/>
                <w:color w:val="000000"/>
                <w:sz w:val="18"/>
                <w:szCs w:val="18"/>
              </w:rPr>
              <w:t>)</w:t>
            </w:r>
          </w:p>
        </w:tc>
        <w:tc>
          <w:tcPr>
            <w:tcW w:w="1076" w:type="dxa"/>
            <w:tcBorders>
              <w:top w:val="single" w:sz="4" w:space="0" w:color="auto"/>
              <w:bottom w:val="single" w:sz="4" w:space="0" w:color="000000"/>
            </w:tcBorders>
            <w:vAlign w:val="center"/>
          </w:tcPr>
          <w:p w14:paraId="3B8177D7" w14:textId="22A62914" w:rsidR="00F8765D" w:rsidRPr="0081156E" w:rsidRDefault="00F8765D" w:rsidP="0081156E">
            <w:pPr>
              <w:spacing w:after="0" w:line="240" w:lineRule="auto"/>
              <w:jc w:val="center"/>
              <w:rPr>
                <w:rFonts w:asciiTheme="majorBidi" w:hAnsiTheme="majorBidi" w:cstheme="majorBidi"/>
                <w:color w:val="000000"/>
                <w:sz w:val="18"/>
                <w:szCs w:val="18"/>
              </w:rPr>
            </w:pPr>
            <w:r w:rsidRPr="0081156E">
              <w:rPr>
                <w:rFonts w:asciiTheme="majorBidi" w:hAnsiTheme="majorBidi" w:cstheme="majorBidi"/>
                <w:color w:val="000000"/>
                <w:sz w:val="18"/>
                <w:szCs w:val="18"/>
              </w:rPr>
              <w:t xml:space="preserve">Marginal </w:t>
            </w:r>
            <w:r w:rsidRPr="0081156E">
              <w:rPr>
                <w:rFonts w:asciiTheme="majorBidi" w:hAnsiTheme="majorBidi" w:cstheme="majorBidi"/>
                <w:color w:val="000000"/>
                <w:sz w:val="18"/>
                <w:szCs w:val="18"/>
              </w:rPr>
              <w:br/>
              <w:t>R-squared</w:t>
            </w:r>
          </w:p>
        </w:tc>
      </w:tr>
      <w:tr w:rsidR="00F8765D" w:rsidRPr="001763D9" w14:paraId="695EED15" w14:textId="77777777" w:rsidTr="0042622E">
        <w:trPr>
          <w:trHeight w:val="170"/>
        </w:trPr>
        <w:tc>
          <w:tcPr>
            <w:tcW w:w="1869" w:type="dxa"/>
            <w:shd w:val="clear" w:color="auto" w:fill="auto"/>
          </w:tcPr>
          <w:p w14:paraId="3A2BDA09" w14:textId="77777777" w:rsidR="00F8765D" w:rsidRPr="001763D9" w:rsidRDefault="00F8765D" w:rsidP="00F8765D">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SMOS  (mm)</w:t>
            </w:r>
          </w:p>
        </w:tc>
        <w:tc>
          <w:tcPr>
            <w:tcW w:w="1281" w:type="dxa"/>
            <w:shd w:val="clear" w:color="auto" w:fill="auto"/>
          </w:tcPr>
          <w:p w14:paraId="3F585141"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49" w:type="dxa"/>
            <w:shd w:val="clear" w:color="auto" w:fill="auto"/>
          </w:tcPr>
          <w:p w14:paraId="3A320581"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36" w:type="dxa"/>
            <w:shd w:val="clear" w:color="auto" w:fill="auto"/>
          </w:tcPr>
          <w:p w14:paraId="2C09E601"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53" w:type="dxa"/>
            <w:tcBorders>
              <w:bottom w:val="nil"/>
            </w:tcBorders>
            <w:shd w:val="clear" w:color="auto" w:fill="auto"/>
            <w:vAlign w:val="center"/>
          </w:tcPr>
          <w:p w14:paraId="12C97A6D"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tcBorders>
              <w:bottom w:val="nil"/>
            </w:tcBorders>
            <w:vAlign w:val="center"/>
          </w:tcPr>
          <w:p w14:paraId="566A54B4"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tcBorders>
              <w:bottom w:val="nil"/>
            </w:tcBorders>
            <w:vAlign w:val="center"/>
          </w:tcPr>
          <w:p w14:paraId="48406491"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7E5E7E49" w14:textId="77777777" w:rsidTr="0042622E">
        <w:tc>
          <w:tcPr>
            <w:tcW w:w="1869" w:type="dxa"/>
            <w:shd w:val="clear" w:color="auto" w:fill="auto"/>
          </w:tcPr>
          <w:p w14:paraId="79BA39BC" w14:textId="77777777" w:rsidR="00F8765D" w:rsidRPr="001763D9" w:rsidRDefault="00F8765D" w:rsidP="00F8765D">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7845CBD8"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228.52 (7.5)</w:t>
            </w:r>
          </w:p>
        </w:tc>
        <w:tc>
          <w:tcPr>
            <w:tcW w:w="1249" w:type="dxa"/>
            <w:shd w:val="clear" w:color="auto" w:fill="auto"/>
          </w:tcPr>
          <w:p w14:paraId="28AA02B3"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215.17 (6.7)</w:t>
            </w:r>
          </w:p>
        </w:tc>
        <w:tc>
          <w:tcPr>
            <w:tcW w:w="1236" w:type="dxa"/>
            <w:shd w:val="clear" w:color="auto" w:fill="auto"/>
          </w:tcPr>
          <w:p w14:paraId="1D364FCA"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222.29 (8.3)</w:t>
            </w:r>
          </w:p>
        </w:tc>
        <w:tc>
          <w:tcPr>
            <w:tcW w:w="1053" w:type="dxa"/>
            <w:vMerge w:val="restart"/>
            <w:tcBorders>
              <w:top w:val="nil"/>
              <w:bottom w:val="single" w:sz="4" w:space="0" w:color="auto"/>
            </w:tcBorders>
            <w:shd w:val="clear" w:color="auto" w:fill="auto"/>
            <w:vAlign w:val="center"/>
          </w:tcPr>
          <w:p w14:paraId="479FCC27"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0.262</w:t>
            </w:r>
          </w:p>
        </w:tc>
        <w:tc>
          <w:tcPr>
            <w:tcW w:w="1596" w:type="dxa"/>
            <w:vMerge w:val="restart"/>
            <w:tcBorders>
              <w:top w:val="nil"/>
              <w:bottom w:val="single" w:sz="4" w:space="0" w:color="auto"/>
            </w:tcBorders>
            <w:vAlign w:val="center"/>
          </w:tcPr>
          <w:p w14:paraId="5867D0DA"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&lt;.0001</w:t>
            </w:r>
          </w:p>
        </w:tc>
        <w:tc>
          <w:tcPr>
            <w:tcW w:w="1076" w:type="dxa"/>
            <w:vMerge w:val="restart"/>
            <w:tcBorders>
              <w:top w:val="nil"/>
              <w:bottom w:val="single" w:sz="4" w:space="0" w:color="auto"/>
            </w:tcBorders>
            <w:vAlign w:val="center"/>
          </w:tcPr>
          <w:p w14:paraId="21C42F7C" w14:textId="77777777" w:rsidR="00F8765D" w:rsidRPr="001763D9" w:rsidRDefault="00F8765D" w:rsidP="0081156E">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0.499</w:t>
            </w:r>
          </w:p>
        </w:tc>
      </w:tr>
      <w:tr w:rsidR="00F8765D" w:rsidRPr="001763D9" w14:paraId="3BFD14F0" w14:textId="77777777" w:rsidTr="0042622E">
        <w:tc>
          <w:tcPr>
            <w:tcW w:w="1869" w:type="dxa"/>
            <w:shd w:val="clear" w:color="auto" w:fill="auto"/>
          </w:tcPr>
          <w:p w14:paraId="0A1FB959"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7E164480"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248.49 (7.5)</w:t>
            </w:r>
          </w:p>
        </w:tc>
        <w:tc>
          <w:tcPr>
            <w:tcW w:w="1249" w:type="dxa"/>
            <w:shd w:val="clear" w:color="auto" w:fill="auto"/>
          </w:tcPr>
          <w:p w14:paraId="374ED30B"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239.6 (6.7)</w:t>
            </w:r>
          </w:p>
        </w:tc>
        <w:tc>
          <w:tcPr>
            <w:tcW w:w="1236" w:type="dxa"/>
            <w:shd w:val="clear" w:color="auto" w:fill="auto"/>
          </w:tcPr>
          <w:p w14:paraId="6603203D"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236.67 (8.6)</w:t>
            </w:r>
          </w:p>
        </w:tc>
        <w:tc>
          <w:tcPr>
            <w:tcW w:w="1053" w:type="dxa"/>
            <w:vMerge/>
            <w:tcBorders>
              <w:top w:val="nil"/>
              <w:bottom w:val="single" w:sz="4" w:space="0" w:color="auto"/>
            </w:tcBorders>
            <w:shd w:val="clear" w:color="auto" w:fill="auto"/>
            <w:vAlign w:val="center"/>
          </w:tcPr>
          <w:p w14:paraId="20F8BCCC"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p>
        </w:tc>
        <w:tc>
          <w:tcPr>
            <w:tcW w:w="1596" w:type="dxa"/>
            <w:vMerge/>
            <w:tcBorders>
              <w:top w:val="nil"/>
              <w:bottom w:val="single" w:sz="4" w:space="0" w:color="auto"/>
            </w:tcBorders>
            <w:vAlign w:val="center"/>
          </w:tcPr>
          <w:p w14:paraId="016FA286"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32BA9BF0"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2557C65E" w14:textId="77777777" w:rsidTr="0042622E">
        <w:tc>
          <w:tcPr>
            <w:tcW w:w="1869" w:type="dxa"/>
            <w:tcBorders>
              <w:bottom w:val="nil"/>
            </w:tcBorders>
            <w:shd w:val="clear" w:color="auto" w:fill="auto"/>
          </w:tcPr>
          <w:p w14:paraId="77191CDA"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1974E1AA"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251.24 (7.5)</w:t>
            </w:r>
          </w:p>
        </w:tc>
        <w:tc>
          <w:tcPr>
            <w:tcW w:w="1249" w:type="dxa"/>
            <w:tcBorders>
              <w:bottom w:val="nil"/>
            </w:tcBorders>
            <w:shd w:val="clear" w:color="auto" w:fill="auto"/>
          </w:tcPr>
          <w:p w14:paraId="34020403"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245.02 (6.8)</w:t>
            </w:r>
          </w:p>
        </w:tc>
        <w:tc>
          <w:tcPr>
            <w:tcW w:w="1236" w:type="dxa"/>
            <w:tcBorders>
              <w:bottom w:val="nil"/>
            </w:tcBorders>
            <w:shd w:val="clear" w:color="auto" w:fill="auto"/>
          </w:tcPr>
          <w:p w14:paraId="4C60A4FB"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229.45 (8.3)</w:t>
            </w:r>
          </w:p>
        </w:tc>
        <w:tc>
          <w:tcPr>
            <w:tcW w:w="1053" w:type="dxa"/>
            <w:vMerge w:val="restart"/>
            <w:tcBorders>
              <w:top w:val="single" w:sz="4" w:space="0" w:color="auto"/>
            </w:tcBorders>
            <w:shd w:val="clear" w:color="auto" w:fill="auto"/>
            <w:vAlign w:val="center"/>
          </w:tcPr>
          <w:p w14:paraId="32A60C5F" w14:textId="30161B47" w:rsidR="00F8765D" w:rsidRPr="001763D9" w:rsidRDefault="00F8765D" w:rsidP="00F8765D">
            <w:pPr>
              <w:spacing w:after="0" w:line="480" w:lineRule="auto"/>
              <w:jc w:val="center"/>
              <w:rPr>
                <w:rFonts w:asciiTheme="majorBidi" w:hAnsiTheme="majorBidi" w:cstheme="majorBidi"/>
                <w:color w:val="000000"/>
                <w:sz w:val="18"/>
                <w:szCs w:val="18"/>
              </w:rPr>
            </w:pPr>
            <w:r w:rsidRPr="00DB209D">
              <w:rPr>
                <w:rFonts w:asciiTheme="majorBidi" w:hAnsiTheme="majorBidi" w:cstheme="majorBidi"/>
                <w:color w:val="000000"/>
                <w:sz w:val="18"/>
                <w:szCs w:val="18"/>
              </w:rPr>
              <w:t>0.07</w:t>
            </w:r>
          </w:p>
        </w:tc>
        <w:tc>
          <w:tcPr>
            <w:tcW w:w="1596" w:type="dxa"/>
            <w:vMerge w:val="restart"/>
            <w:tcBorders>
              <w:top w:val="single" w:sz="4" w:space="0" w:color="auto"/>
            </w:tcBorders>
            <w:vAlign w:val="center"/>
          </w:tcPr>
          <w:p w14:paraId="27357487" w14:textId="65BBFF1C" w:rsidR="00F8765D" w:rsidRPr="001763D9" w:rsidRDefault="00F8765D" w:rsidP="00F8765D">
            <w:pPr>
              <w:spacing w:after="0" w:line="480" w:lineRule="auto"/>
              <w:jc w:val="center"/>
              <w:rPr>
                <w:rFonts w:asciiTheme="majorBidi" w:hAnsiTheme="majorBidi" w:cstheme="majorBidi"/>
                <w:color w:val="000000"/>
                <w:sz w:val="18"/>
                <w:szCs w:val="18"/>
                <w:rtl/>
                <w:lang w:bidi="fa-IR"/>
              </w:rPr>
            </w:pPr>
            <w:r w:rsidRPr="001F6526">
              <w:rPr>
                <w:rFonts w:asciiTheme="majorBidi" w:hAnsiTheme="majorBidi" w:cstheme="majorBidi"/>
                <w:color w:val="000000"/>
                <w:sz w:val="18"/>
                <w:szCs w:val="18"/>
                <w:lang w:bidi="fa-IR"/>
              </w:rPr>
              <w:t>0.14</w:t>
            </w:r>
          </w:p>
        </w:tc>
        <w:tc>
          <w:tcPr>
            <w:tcW w:w="1076" w:type="dxa"/>
            <w:vMerge w:val="restart"/>
            <w:tcBorders>
              <w:top w:val="single" w:sz="4" w:space="0" w:color="auto"/>
            </w:tcBorders>
            <w:vAlign w:val="center"/>
          </w:tcPr>
          <w:p w14:paraId="48C4149E" w14:textId="25F3F0A9" w:rsidR="00F8765D" w:rsidRPr="001763D9" w:rsidRDefault="00414D90" w:rsidP="00414D90">
            <w:pPr>
              <w:spacing w:after="0" w:line="480" w:lineRule="auto"/>
              <w:jc w:val="center"/>
              <w:rPr>
                <w:rFonts w:asciiTheme="majorBidi" w:hAnsiTheme="majorBidi" w:cstheme="majorBidi"/>
                <w:color w:val="000000"/>
                <w:sz w:val="18"/>
                <w:szCs w:val="18"/>
              </w:rPr>
            </w:pPr>
            <w:r w:rsidRPr="00414D90">
              <w:rPr>
                <w:rFonts w:asciiTheme="majorBidi" w:hAnsiTheme="majorBidi" w:cstheme="majorBidi"/>
                <w:color w:val="000000"/>
                <w:sz w:val="18"/>
                <w:szCs w:val="18"/>
              </w:rPr>
              <w:t>0.16</w:t>
            </w:r>
          </w:p>
        </w:tc>
      </w:tr>
      <w:tr w:rsidR="00F8765D" w:rsidRPr="001763D9" w14:paraId="47A21ED2" w14:textId="77777777" w:rsidTr="0042622E">
        <w:tc>
          <w:tcPr>
            <w:tcW w:w="1869" w:type="dxa"/>
            <w:tcBorders>
              <w:top w:val="nil"/>
              <w:bottom w:val="dotted" w:sz="4" w:space="0" w:color="auto"/>
            </w:tcBorders>
            <w:shd w:val="clear" w:color="auto" w:fill="auto"/>
          </w:tcPr>
          <w:p w14:paraId="3361DD3D"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4C7145E0"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240.97 (7.5)</w:t>
            </w:r>
          </w:p>
        </w:tc>
        <w:tc>
          <w:tcPr>
            <w:tcW w:w="1249" w:type="dxa"/>
            <w:tcBorders>
              <w:top w:val="nil"/>
              <w:bottom w:val="dotted" w:sz="4" w:space="0" w:color="auto"/>
            </w:tcBorders>
            <w:shd w:val="clear" w:color="auto" w:fill="auto"/>
          </w:tcPr>
          <w:p w14:paraId="30927E9D"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227.4 (7.6)</w:t>
            </w:r>
          </w:p>
        </w:tc>
        <w:tc>
          <w:tcPr>
            <w:tcW w:w="1236" w:type="dxa"/>
            <w:tcBorders>
              <w:top w:val="nil"/>
              <w:bottom w:val="dotted" w:sz="4" w:space="0" w:color="auto"/>
            </w:tcBorders>
            <w:shd w:val="clear" w:color="auto" w:fill="auto"/>
          </w:tcPr>
          <w:p w14:paraId="7F101783"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223.44 (8.3)</w:t>
            </w:r>
          </w:p>
        </w:tc>
        <w:tc>
          <w:tcPr>
            <w:tcW w:w="1053" w:type="dxa"/>
            <w:vMerge/>
            <w:tcBorders>
              <w:bottom w:val="dotted" w:sz="4" w:space="0" w:color="auto"/>
            </w:tcBorders>
            <w:shd w:val="clear" w:color="auto" w:fill="auto"/>
            <w:vAlign w:val="center"/>
          </w:tcPr>
          <w:p w14:paraId="2762EB8F"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18F3A73E"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5663A447"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390887BA" w14:textId="77777777" w:rsidTr="0042622E">
        <w:trPr>
          <w:trHeight w:val="199"/>
        </w:trPr>
        <w:tc>
          <w:tcPr>
            <w:tcW w:w="1869" w:type="dxa"/>
            <w:tcBorders>
              <w:top w:val="dotted" w:sz="4" w:space="0" w:color="auto"/>
            </w:tcBorders>
            <w:shd w:val="clear" w:color="auto" w:fill="auto"/>
          </w:tcPr>
          <w:p w14:paraId="31852EC3" w14:textId="77777777" w:rsidR="00F8765D" w:rsidRPr="001763D9" w:rsidRDefault="00F8765D" w:rsidP="00F8765D">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SMOS Variability (mm)</w:t>
            </w:r>
          </w:p>
        </w:tc>
        <w:tc>
          <w:tcPr>
            <w:tcW w:w="1281" w:type="dxa"/>
            <w:tcBorders>
              <w:top w:val="dotted" w:sz="4" w:space="0" w:color="auto"/>
            </w:tcBorders>
            <w:shd w:val="clear" w:color="auto" w:fill="auto"/>
          </w:tcPr>
          <w:p w14:paraId="5D5FCBD3"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3F1B4774"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1490F2E7"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17C33F84"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tcBorders>
              <w:top w:val="dotted" w:sz="4" w:space="0" w:color="auto"/>
              <w:bottom w:val="nil"/>
            </w:tcBorders>
            <w:vAlign w:val="center"/>
          </w:tcPr>
          <w:p w14:paraId="38687C40"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tcBorders>
              <w:top w:val="dotted" w:sz="4" w:space="0" w:color="auto"/>
              <w:bottom w:val="nil"/>
            </w:tcBorders>
            <w:vAlign w:val="center"/>
          </w:tcPr>
          <w:p w14:paraId="1B73802A"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3638D066" w14:textId="77777777" w:rsidTr="0042622E">
        <w:tc>
          <w:tcPr>
            <w:tcW w:w="1869" w:type="dxa"/>
            <w:shd w:val="clear" w:color="auto" w:fill="auto"/>
          </w:tcPr>
          <w:p w14:paraId="174BB474" w14:textId="77777777" w:rsidR="00F8765D" w:rsidRPr="001763D9" w:rsidRDefault="00F8765D" w:rsidP="00F8765D">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4E567D5D"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156.46 (7.9)</w:t>
            </w:r>
          </w:p>
        </w:tc>
        <w:tc>
          <w:tcPr>
            <w:tcW w:w="1249" w:type="dxa"/>
            <w:shd w:val="clear" w:color="auto" w:fill="auto"/>
          </w:tcPr>
          <w:p w14:paraId="67142D9A"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139.93 (7.1)</w:t>
            </w:r>
          </w:p>
        </w:tc>
        <w:tc>
          <w:tcPr>
            <w:tcW w:w="1236" w:type="dxa"/>
            <w:shd w:val="clear" w:color="auto" w:fill="auto"/>
          </w:tcPr>
          <w:p w14:paraId="0C265E77"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147.24 (8.8)</w:t>
            </w:r>
          </w:p>
        </w:tc>
        <w:tc>
          <w:tcPr>
            <w:tcW w:w="1053" w:type="dxa"/>
            <w:vMerge w:val="restart"/>
            <w:tcBorders>
              <w:top w:val="nil"/>
              <w:bottom w:val="single" w:sz="4" w:space="0" w:color="auto"/>
            </w:tcBorders>
            <w:shd w:val="clear" w:color="auto" w:fill="auto"/>
            <w:vAlign w:val="center"/>
          </w:tcPr>
          <w:p w14:paraId="3702B5D3"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0.146</w:t>
            </w:r>
          </w:p>
        </w:tc>
        <w:tc>
          <w:tcPr>
            <w:tcW w:w="1596" w:type="dxa"/>
            <w:vMerge w:val="restart"/>
            <w:tcBorders>
              <w:top w:val="nil"/>
              <w:bottom w:val="single" w:sz="4" w:space="0" w:color="auto"/>
            </w:tcBorders>
            <w:vAlign w:val="center"/>
          </w:tcPr>
          <w:p w14:paraId="7E063B23"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0.0002</w:t>
            </w:r>
          </w:p>
        </w:tc>
        <w:tc>
          <w:tcPr>
            <w:tcW w:w="1076" w:type="dxa"/>
            <w:vMerge w:val="restart"/>
            <w:tcBorders>
              <w:top w:val="nil"/>
              <w:bottom w:val="single" w:sz="4" w:space="0" w:color="auto"/>
            </w:tcBorders>
            <w:vAlign w:val="center"/>
          </w:tcPr>
          <w:p w14:paraId="5017A599" w14:textId="77777777" w:rsidR="00F8765D" w:rsidRPr="001763D9" w:rsidRDefault="00F8765D" w:rsidP="0081156E">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0.545</w:t>
            </w:r>
          </w:p>
        </w:tc>
      </w:tr>
      <w:tr w:rsidR="00F8765D" w:rsidRPr="001763D9" w14:paraId="08FFFF87" w14:textId="77777777" w:rsidTr="0042622E">
        <w:tc>
          <w:tcPr>
            <w:tcW w:w="1869" w:type="dxa"/>
            <w:shd w:val="clear" w:color="auto" w:fill="auto"/>
          </w:tcPr>
          <w:p w14:paraId="3C9FAF86"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551D72AF"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168.77 (7.9)</w:t>
            </w:r>
          </w:p>
        </w:tc>
        <w:tc>
          <w:tcPr>
            <w:tcW w:w="1249" w:type="dxa"/>
            <w:shd w:val="clear" w:color="auto" w:fill="auto"/>
          </w:tcPr>
          <w:p w14:paraId="65C57698"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151.99 (7.1)</w:t>
            </w:r>
          </w:p>
        </w:tc>
        <w:tc>
          <w:tcPr>
            <w:tcW w:w="1236" w:type="dxa"/>
            <w:shd w:val="clear" w:color="auto" w:fill="auto"/>
          </w:tcPr>
          <w:p w14:paraId="636388F2"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151.13 (8.9)</w:t>
            </w:r>
          </w:p>
        </w:tc>
        <w:tc>
          <w:tcPr>
            <w:tcW w:w="1053" w:type="dxa"/>
            <w:vMerge/>
            <w:tcBorders>
              <w:top w:val="nil"/>
              <w:bottom w:val="single" w:sz="4" w:space="0" w:color="auto"/>
            </w:tcBorders>
            <w:shd w:val="clear" w:color="auto" w:fill="auto"/>
            <w:vAlign w:val="center"/>
          </w:tcPr>
          <w:p w14:paraId="7C89A30C"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4740FC38"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2318C9BC"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7C632AC5" w14:textId="77777777" w:rsidTr="0042622E">
        <w:tc>
          <w:tcPr>
            <w:tcW w:w="1869" w:type="dxa"/>
            <w:tcBorders>
              <w:bottom w:val="nil"/>
            </w:tcBorders>
            <w:shd w:val="clear" w:color="auto" w:fill="auto"/>
          </w:tcPr>
          <w:p w14:paraId="5FFA836E"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2891054E"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173.26 (7.9)</w:t>
            </w:r>
          </w:p>
        </w:tc>
        <w:tc>
          <w:tcPr>
            <w:tcW w:w="1249" w:type="dxa"/>
            <w:tcBorders>
              <w:bottom w:val="nil"/>
            </w:tcBorders>
            <w:shd w:val="clear" w:color="auto" w:fill="auto"/>
          </w:tcPr>
          <w:p w14:paraId="5E853BDA"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156.43 (7.1)</w:t>
            </w:r>
          </w:p>
        </w:tc>
        <w:tc>
          <w:tcPr>
            <w:tcW w:w="1236" w:type="dxa"/>
            <w:tcBorders>
              <w:bottom w:val="nil"/>
            </w:tcBorders>
            <w:shd w:val="clear" w:color="auto" w:fill="auto"/>
          </w:tcPr>
          <w:p w14:paraId="38561514"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149.62 (8.8)</w:t>
            </w:r>
          </w:p>
        </w:tc>
        <w:tc>
          <w:tcPr>
            <w:tcW w:w="1053" w:type="dxa"/>
            <w:vMerge w:val="restart"/>
            <w:tcBorders>
              <w:top w:val="single" w:sz="4" w:space="0" w:color="auto"/>
            </w:tcBorders>
            <w:shd w:val="clear" w:color="auto" w:fill="auto"/>
            <w:vAlign w:val="center"/>
          </w:tcPr>
          <w:p w14:paraId="597375E8" w14:textId="572E2B6A" w:rsidR="00F8765D" w:rsidRPr="001763D9" w:rsidRDefault="00F8765D" w:rsidP="00F8765D">
            <w:pPr>
              <w:spacing w:after="0" w:line="480" w:lineRule="auto"/>
              <w:jc w:val="center"/>
              <w:rPr>
                <w:rFonts w:asciiTheme="majorBidi" w:hAnsiTheme="majorBidi" w:cstheme="majorBidi"/>
                <w:color w:val="000000"/>
                <w:sz w:val="18"/>
                <w:szCs w:val="18"/>
              </w:rPr>
            </w:pPr>
            <w:r w:rsidRPr="00DB209D">
              <w:rPr>
                <w:rFonts w:asciiTheme="majorBidi" w:hAnsiTheme="majorBidi" w:cstheme="majorBidi"/>
                <w:color w:val="000000"/>
                <w:sz w:val="18"/>
                <w:szCs w:val="18"/>
              </w:rPr>
              <w:t>0.07</w:t>
            </w:r>
          </w:p>
        </w:tc>
        <w:tc>
          <w:tcPr>
            <w:tcW w:w="1596" w:type="dxa"/>
            <w:vMerge w:val="restart"/>
            <w:tcBorders>
              <w:top w:val="single" w:sz="4" w:space="0" w:color="auto"/>
            </w:tcBorders>
            <w:vAlign w:val="center"/>
          </w:tcPr>
          <w:p w14:paraId="3D7F36B9" w14:textId="7D5B20A2" w:rsidR="00F8765D" w:rsidRPr="001763D9" w:rsidRDefault="00F8765D" w:rsidP="00F8765D">
            <w:pPr>
              <w:spacing w:after="0" w:line="480" w:lineRule="auto"/>
              <w:jc w:val="center"/>
              <w:rPr>
                <w:rFonts w:asciiTheme="majorBidi" w:hAnsiTheme="majorBidi" w:cstheme="majorBidi"/>
                <w:color w:val="000000"/>
                <w:sz w:val="18"/>
                <w:szCs w:val="18"/>
              </w:rPr>
            </w:pPr>
            <w:r w:rsidRPr="001F6526">
              <w:rPr>
                <w:rFonts w:asciiTheme="majorBidi" w:hAnsiTheme="majorBidi" w:cstheme="majorBidi"/>
                <w:color w:val="000000"/>
                <w:sz w:val="18"/>
                <w:szCs w:val="18"/>
              </w:rPr>
              <w:t>0.04</w:t>
            </w:r>
          </w:p>
        </w:tc>
        <w:tc>
          <w:tcPr>
            <w:tcW w:w="1076" w:type="dxa"/>
            <w:vMerge w:val="restart"/>
            <w:tcBorders>
              <w:top w:val="single" w:sz="4" w:space="0" w:color="auto"/>
            </w:tcBorders>
            <w:vAlign w:val="center"/>
          </w:tcPr>
          <w:p w14:paraId="54633132" w14:textId="7AA37D8A" w:rsidR="00F8765D" w:rsidRPr="001763D9" w:rsidRDefault="00414D90" w:rsidP="00414D90">
            <w:pPr>
              <w:spacing w:after="0" w:line="480" w:lineRule="auto"/>
              <w:jc w:val="center"/>
              <w:rPr>
                <w:rFonts w:asciiTheme="majorBidi" w:hAnsiTheme="majorBidi" w:cstheme="majorBidi"/>
                <w:color w:val="000000"/>
                <w:sz w:val="18"/>
                <w:szCs w:val="18"/>
              </w:rPr>
            </w:pPr>
            <w:r w:rsidRPr="00414D90">
              <w:rPr>
                <w:rFonts w:asciiTheme="majorBidi" w:hAnsiTheme="majorBidi" w:cstheme="majorBidi"/>
                <w:color w:val="000000"/>
                <w:sz w:val="18"/>
                <w:szCs w:val="18"/>
              </w:rPr>
              <w:t>0.12</w:t>
            </w:r>
          </w:p>
        </w:tc>
      </w:tr>
      <w:tr w:rsidR="00F8765D" w:rsidRPr="001763D9" w14:paraId="283E6F61" w14:textId="77777777" w:rsidTr="0042622E">
        <w:tc>
          <w:tcPr>
            <w:tcW w:w="1869" w:type="dxa"/>
            <w:tcBorders>
              <w:top w:val="nil"/>
              <w:bottom w:val="dotted" w:sz="4" w:space="0" w:color="auto"/>
            </w:tcBorders>
            <w:shd w:val="clear" w:color="auto" w:fill="auto"/>
          </w:tcPr>
          <w:p w14:paraId="036CBF15"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7DEB3150"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171.72 (7.9)</w:t>
            </w:r>
          </w:p>
        </w:tc>
        <w:tc>
          <w:tcPr>
            <w:tcW w:w="1249" w:type="dxa"/>
            <w:tcBorders>
              <w:top w:val="nil"/>
              <w:bottom w:val="dotted" w:sz="4" w:space="0" w:color="auto"/>
            </w:tcBorders>
            <w:shd w:val="clear" w:color="auto" w:fill="auto"/>
          </w:tcPr>
          <w:p w14:paraId="42CFBC1B"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151.12 (7.5)</w:t>
            </w:r>
          </w:p>
        </w:tc>
        <w:tc>
          <w:tcPr>
            <w:tcW w:w="1236" w:type="dxa"/>
            <w:tcBorders>
              <w:top w:val="nil"/>
              <w:bottom w:val="dotted" w:sz="4" w:space="0" w:color="auto"/>
            </w:tcBorders>
            <w:shd w:val="clear" w:color="auto" w:fill="auto"/>
          </w:tcPr>
          <w:p w14:paraId="36701CF8"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150.53 (8.8)</w:t>
            </w:r>
          </w:p>
        </w:tc>
        <w:tc>
          <w:tcPr>
            <w:tcW w:w="1053" w:type="dxa"/>
            <w:vMerge/>
            <w:tcBorders>
              <w:bottom w:val="dotted" w:sz="4" w:space="0" w:color="auto"/>
            </w:tcBorders>
            <w:shd w:val="clear" w:color="auto" w:fill="auto"/>
            <w:vAlign w:val="center"/>
          </w:tcPr>
          <w:p w14:paraId="061422AD"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4D82EC63"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32B36BE1"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2CA1A168" w14:textId="77777777" w:rsidTr="0042622E">
        <w:trPr>
          <w:trHeight w:val="215"/>
        </w:trPr>
        <w:tc>
          <w:tcPr>
            <w:tcW w:w="1869" w:type="dxa"/>
            <w:tcBorders>
              <w:top w:val="dotted" w:sz="4" w:space="0" w:color="auto"/>
            </w:tcBorders>
            <w:shd w:val="clear" w:color="auto" w:fill="auto"/>
          </w:tcPr>
          <w:p w14:paraId="7E43B181" w14:textId="77777777" w:rsidR="00F8765D" w:rsidRPr="001763D9" w:rsidRDefault="00F8765D" w:rsidP="00F8765D">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FMOS  (mm)</w:t>
            </w:r>
          </w:p>
        </w:tc>
        <w:tc>
          <w:tcPr>
            <w:tcW w:w="1281" w:type="dxa"/>
            <w:tcBorders>
              <w:top w:val="dotted" w:sz="4" w:space="0" w:color="auto"/>
            </w:tcBorders>
            <w:shd w:val="clear" w:color="auto" w:fill="auto"/>
          </w:tcPr>
          <w:p w14:paraId="05FD96D5"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6C900B52"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6D0F2D7E"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7A511968" w14:textId="77777777" w:rsidR="00F8765D" w:rsidRPr="001763D9" w:rsidRDefault="00F8765D" w:rsidP="00F8765D">
            <w:pPr>
              <w:spacing w:after="0" w:line="480" w:lineRule="auto"/>
              <w:jc w:val="center"/>
              <w:rPr>
                <w:rFonts w:asciiTheme="majorBidi" w:hAnsiTheme="majorBidi" w:cstheme="majorBidi"/>
                <w:b/>
                <w:bCs/>
                <w:color w:val="000000"/>
                <w:sz w:val="18"/>
                <w:szCs w:val="18"/>
                <w:vertAlign w:val="superscript"/>
              </w:rPr>
            </w:pPr>
          </w:p>
        </w:tc>
        <w:tc>
          <w:tcPr>
            <w:tcW w:w="1596" w:type="dxa"/>
            <w:tcBorders>
              <w:top w:val="dotted" w:sz="4" w:space="0" w:color="auto"/>
              <w:bottom w:val="nil"/>
            </w:tcBorders>
            <w:vAlign w:val="center"/>
          </w:tcPr>
          <w:p w14:paraId="14489482" w14:textId="77777777" w:rsidR="00F8765D" w:rsidRPr="001763D9" w:rsidRDefault="00F8765D" w:rsidP="00F8765D">
            <w:pPr>
              <w:spacing w:after="0" w:line="480" w:lineRule="auto"/>
              <w:jc w:val="center"/>
              <w:rPr>
                <w:rFonts w:asciiTheme="majorBidi" w:hAnsiTheme="majorBidi" w:cstheme="majorBidi"/>
                <w:b/>
                <w:bCs/>
                <w:color w:val="000000"/>
                <w:sz w:val="18"/>
                <w:szCs w:val="18"/>
                <w:vertAlign w:val="superscript"/>
              </w:rPr>
            </w:pPr>
          </w:p>
        </w:tc>
        <w:tc>
          <w:tcPr>
            <w:tcW w:w="1076" w:type="dxa"/>
            <w:tcBorders>
              <w:top w:val="dotted" w:sz="4" w:space="0" w:color="auto"/>
              <w:bottom w:val="nil"/>
            </w:tcBorders>
            <w:vAlign w:val="center"/>
          </w:tcPr>
          <w:p w14:paraId="3F75FE17" w14:textId="77777777" w:rsidR="00F8765D" w:rsidRPr="001763D9" w:rsidRDefault="00F8765D" w:rsidP="0081156E">
            <w:pPr>
              <w:spacing w:after="0" w:line="480" w:lineRule="auto"/>
              <w:jc w:val="center"/>
              <w:rPr>
                <w:rFonts w:asciiTheme="majorBidi" w:hAnsiTheme="majorBidi" w:cstheme="majorBidi"/>
                <w:b/>
                <w:bCs/>
                <w:color w:val="000000"/>
                <w:sz w:val="18"/>
                <w:szCs w:val="18"/>
                <w:vertAlign w:val="superscript"/>
              </w:rPr>
            </w:pPr>
          </w:p>
        </w:tc>
      </w:tr>
      <w:tr w:rsidR="00F8765D" w:rsidRPr="001763D9" w14:paraId="060E1ED5" w14:textId="77777777" w:rsidTr="0042622E">
        <w:tc>
          <w:tcPr>
            <w:tcW w:w="1869" w:type="dxa"/>
            <w:shd w:val="clear" w:color="auto" w:fill="auto"/>
          </w:tcPr>
          <w:p w14:paraId="4FB9DF95" w14:textId="77777777" w:rsidR="00F8765D" w:rsidRPr="001763D9" w:rsidRDefault="00F8765D" w:rsidP="00F8765D">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28C337F0"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99.15 (3.6)</w:t>
            </w:r>
          </w:p>
        </w:tc>
        <w:tc>
          <w:tcPr>
            <w:tcW w:w="1249" w:type="dxa"/>
            <w:shd w:val="clear" w:color="auto" w:fill="auto"/>
          </w:tcPr>
          <w:p w14:paraId="6445BFBD"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109.21 (3.2)</w:t>
            </w:r>
          </w:p>
        </w:tc>
        <w:tc>
          <w:tcPr>
            <w:tcW w:w="1236" w:type="dxa"/>
            <w:shd w:val="clear" w:color="auto" w:fill="auto"/>
          </w:tcPr>
          <w:p w14:paraId="62D98F6C"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124.61 (3.9)</w:t>
            </w:r>
          </w:p>
        </w:tc>
        <w:tc>
          <w:tcPr>
            <w:tcW w:w="1053" w:type="dxa"/>
            <w:vMerge w:val="restart"/>
            <w:tcBorders>
              <w:top w:val="nil"/>
              <w:bottom w:val="single" w:sz="4" w:space="0" w:color="auto"/>
            </w:tcBorders>
            <w:shd w:val="clear" w:color="auto" w:fill="auto"/>
            <w:vAlign w:val="center"/>
          </w:tcPr>
          <w:p w14:paraId="4F60134D"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&lt;.0001</w:t>
            </w:r>
          </w:p>
        </w:tc>
        <w:tc>
          <w:tcPr>
            <w:tcW w:w="1596" w:type="dxa"/>
            <w:vMerge w:val="restart"/>
            <w:tcBorders>
              <w:top w:val="nil"/>
              <w:bottom w:val="single" w:sz="4" w:space="0" w:color="auto"/>
            </w:tcBorders>
            <w:vAlign w:val="center"/>
          </w:tcPr>
          <w:p w14:paraId="33D14E7C"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&lt;.0001</w:t>
            </w:r>
          </w:p>
        </w:tc>
        <w:tc>
          <w:tcPr>
            <w:tcW w:w="1076" w:type="dxa"/>
            <w:vMerge w:val="restart"/>
            <w:tcBorders>
              <w:top w:val="nil"/>
              <w:bottom w:val="single" w:sz="4" w:space="0" w:color="auto"/>
            </w:tcBorders>
            <w:vAlign w:val="center"/>
          </w:tcPr>
          <w:p w14:paraId="7FBCB8E5" w14:textId="77777777" w:rsidR="00F8765D" w:rsidRPr="001763D9" w:rsidRDefault="00F8765D" w:rsidP="0081156E">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0.298</w:t>
            </w:r>
          </w:p>
        </w:tc>
      </w:tr>
      <w:tr w:rsidR="00F8765D" w:rsidRPr="001763D9" w14:paraId="6838372F" w14:textId="77777777" w:rsidTr="0042622E">
        <w:tc>
          <w:tcPr>
            <w:tcW w:w="1869" w:type="dxa"/>
            <w:shd w:val="clear" w:color="auto" w:fill="auto"/>
          </w:tcPr>
          <w:p w14:paraId="66C18BBF"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2A1B0B56"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107.67 (3.7)</w:t>
            </w:r>
          </w:p>
        </w:tc>
        <w:tc>
          <w:tcPr>
            <w:tcW w:w="1249" w:type="dxa"/>
            <w:shd w:val="clear" w:color="auto" w:fill="auto"/>
          </w:tcPr>
          <w:p w14:paraId="6A8E99C3"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118.86 (3.2)</w:t>
            </w:r>
          </w:p>
        </w:tc>
        <w:tc>
          <w:tcPr>
            <w:tcW w:w="1236" w:type="dxa"/>
            <w:shd w:val="clear" w:color="auto" w:fill="auto"/>
          </w:tcPr>
          <w:p w14:paraId="7BADBE87"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132.41 (4.1)</w:t>
            </w:r>
          </w:p>
        </w:tc>
        <w:tc>
          <w:tcPr>
            <w:tcW w:w="1053" w:type="dxa"/>
            <w:vMerge/>
            <w:tcBorders>
              <w:top w:val="nil"/>
              <w:bottom w:val="single" w:sz="4" w:space="0" w:color="auto"/>
            </w:tcBorders>
            <w:shd w:val="clear" w:color="auto" w:fill="auto"/>
            <w:vAlign w:val="center"/>
          </w:tcPr>
          <w:p w14:paraId="53734870" w14:textId="77777777" w:rsidR="00F8765D" w:rsidRPr="001763D9" w:rsidRDefault="00F8765D" w:rsidP="00F8765D">
            <w:pPr>
              <w:spacing w:after="0" w:line="480" w:lineRule="auto"/>
              <w:jc w:val="center"/>
              <w:rPr>
                <w:rFonts w:asciiTheme="majorBidi" w:hAnsiTheme="majorBidi" w:cstheme="majorBidi"/>
                <w:color w:val="000000"/>
                <w:sz w:val="18"/>
                <w:szCs w:val="18"/>
                <w:vertAlign w:val="superscript"/>
              </w:rPr>
            </w:pPr>
          </w:p>
        </w:tc>
        <w:tc>
          <w:tcPr>
            <w:tcW w:w="1596" w:type="dxa"/>
            <w:vMerge/>
            <w:tcBorders>
              <w:top w:val="nil"/>
              <w:bottom w:val="single" w:sz="4" w:space="0" w:color="auto"/>
            </w:tcBorders>
            <w:vAlign w:val="center"/>
          </w:tcPr>
          <w:p w14:paraId="08AED339"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p>
        </w:tc>
        <w:tc>
          <w:tcPr>
            <w:tcW w:w="1076" w:type="dxa"/>
            <w:vMerge/>
            <w:tcBorders>
              <w:top w:val="nil"/>
              <w:bottom w:val="single" w:sz="4" w:space="0" w:color="auto"/>
            </w:tcBorders>
            <w:vAlign w:val="center"/>
          </w:tcPr>
          <w:p w14:paraId="35E9DFB7" w14:textId="77777777" w:rsidR="00F8765D" w:rsidRPr="001763D9" w:rsidRDefault="00F8765D" w:rsidP="0081156E">
            <w:pPr>
              <w:spacing w:after="0" w:line="480" w:lineRule="auto"/>
              <w:jc w:val="center"/>
              <w:rPr>
                <w:rFonts w:asciiTheme="majorBidi" w:hAnsiTheme="majorBidi" w:cstheme="majorBidi"/>
                <w:b/>
                <w:bCs/>
                <w:color w:val="000000"/>
                <w:sz w:val="18"/>
                <w:szCs w:val="18"/>
              </w:rPr>
            </w:pPr>
          </w:p>
        </w:tc>
      </w:tr>
      <w:tr w:rsidR="00F8765D" w:rsidRPr="001763D9" w14:paraId="7A38C412" w14:textId="77777777" w:rsidTr="0042622E">
        <w:tc>
          <w:tcPr>
            <w:tcW w:w="1869" w:type="dxa"/>
            <w:tcBorders>
              <w:bottom w:val="nil"/>
            </w:tcBorders>
            <w:shd w:val="clear" w:color="auto" w:fill="auto"/>
          </w:tcPr>
          <w:p w14:paraId="4FA9FFC2"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47C58EB7"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103.98 (3.6)</w:t>
            </w:r>
          </w:p>
        </w:tc>
        <w:tc>
          <w:tcPr>
            <w:tcW w:w="1249" w:type="dxa"/>
            <w:tcBorders>
              <w:bottom w:val="nil"/>
            </w:tcBorders>
            <w:shd w:val="clear" w:color="auto" w:fill="auto"/>
          </w:tcPr>
          <w:p w14:paraId="0100E923" w14:textId="77777777" w:rsidR="00F8765D" w:rsidRPr="001763D9" w:rsidRDefault="00F8765D" w:rsidP="00F8765D">
            <w:pPr>
              <w:spacing w:after="0" w:line="480" w:lineRule="auto"/>
              <w:jc w:val="center"/>
              <w:rPr>
                <w:rFonts w:asciiTheme="majorBidi" w:hAnsiTheme="majorBidi" w:cstheme="majorBidi"/>
                <w:b/>
                <w:bCs/>
                <w:color w:val="000000"/>
                <w:sz w:val="18"/>
                <w:szCs w:val="18"/>
                <w:highlight w:val="yellow"/>
              </w:rPr>
            </w:pPr>
            <w:r w:rsidRPr="001763D9">
              <w:rPr>
                <w:rFonts w:asciiTheme="majorBidi" w:hAnsiTheme="majorBidi" w:cstheme="majorBidi"/>
                <w:color w:val="000000"/>
                <w:sz w:val="18"/>
                <w:szCs w:val="18"/>
              </w:rPr>
              <w:t>113.1 (3.2)</w:t>
            </w:r>
          </w:p>
        </w:tc>
        <w:tc>
          <w:tcPr>
            <w:tcW w:w="1236" w:type="dxa"/>
            <w:tcBorders>
              <w:bottom w:val="nil"/>
            </w:tcBorders>
            <w:shd w:val="clear" w:color="auto" w:fill="auto"/>
          </w:tcPr>
          <w:p w14:paraId="1AFC9159"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136.31 (3.9)</w:t>
            </w:r>
          </w:p>
        </w:tc>
        <w:tc>
          <w:tcPr>
            <w:tcW w:w="1053" w:type="dxa"/>
            <w:vMerge w:val="restart"/>
            <w:tcBorders>
              <w:top w:val="single" w:sz="4" w:space="0" w:color="auto"/>
            </w:tcBorders>
            <w:shd w:val="clear" w:color="auto" w:fill="auto"/>
            <w:vAlign w:val="center"/>
          </w:tcPr>
          <w:p w14:paraId="6660CE8F" w14:textId="1B62CAF5" w:rsidR="00F8765D" w:rsidRPr="001763D9" w:rsidRDefault="00F8765D" w:rsidP="00F8765D">
            <w:pPr>
              <w:spacing w:after="0" w:line="480" w:lineRule="auto"/>
              <w:jc w:val="center"/>
              <w:rPr>
                <w:rFonts w:asciiTheme="majorBidi" w:hAnsiTheme="majorBidi" w:cstheme="majorBidi"/>
                <w:color w:val="000000"/>
                <w:sz w:val="18"/>
                <w:szCs w:val="18"/>
              </w:rPr>
            </w:pPr>
            <w:r w:rsidRPr="007649C8">
              <w:rPr>
                <w:rFonts w:asciiTheme="majorBidi" w:hAnsiTheme="majorBidi" w:cstheme="majorBidi"/>
                <w:color w:val="000000"/>
                <w:sz w:val="18"/>
                <w:szCs w:val="18"/>
              </w:rPr>
              <w:t>0.75</w:t>
            </w:r>
          </w:p>
        </w:tc>
        <w:tc>
          <w:tcPr>
            <w:tcW w:w="1596" w:type="dxa"/>
            <w:vMerge w:val="restart"/>
            <w:tcBorders>
              <w:top w:val="single" w:sz="4" w:space="0" w:color="auto"/>
            </w:tcBorders>
            <w:vAlign w:val="center"/>
          </w:tcPr>
          <w:p w14:paraId="2AE13761" w14:textId="6572A8AB" w:rsidR="00F8765D" w:rsidRPr="001763D9" w:rsidRDefault="00F8765D" w:rsidP="00F8765D">
            <w:pPr>
              <w:spacing w:after="0" w:line="480" w:lineRule="auto"/>
              <w:jc w:val="center"/>
              <w:rPr>
                <w:rFonts w:asciiTheme="majorBidi" w:hAnsiTheme="majorBidi" w:cstheme="majorBidi"/>
                <w:color w:val="000000"/>
                <w:sz w:val="18"/>
                <w:szCs w:val="18"/>
              </w:rPr>
            </w:pPr>
            <w:r w:rsidRPr="00920B23">
              <w:rPr>
                <w:rFonts w:asciiTheme="majorBidi" w:hAnsiTheme="majorBidi" w:cstheme="majorBidi"/>
                <w:color w:val="000000"/>
                <w:sz w:val="18"/>
                <w:szCs w:val="18"/>
              </w:rPr>
              <w:t>0.12</w:t>
            </w:r>
          </w:p>
        </w:tc>
        <w:tc>
          <w:tcPr>
            <w:tcW w:w="1076" w:type="dxa"/>
            <w:vMerge w:val="restart"/>
            <w:tcBorders>
              <w:top w:val="single" w:sz="4" w:space="0" w:color="auto"/>
            </w:tcBorders>
            <w:vAlign w:val="center"/>
          </w:tcPr>
          <w:p w14:paraId="1D1643EE" w14:textId="13118F75" w:rsidR="00F8765D" w:rsidRPr="001763D9" w:rsidRDefault="00414D90" w:rsidP="00414D90">
            <w:pPr>
              <w:spacing w:after="0" w:line="480" w:lineRule="auto"/>
              <w:jc w:val="center"/>
              <w:rPr>
                <w:rFonts w:asciiTheme="majorBidi" w:hAnsiTheme="majorBidi" w:cstheme="majorBidi"/>
                <w:color w:val="000000"/>
                <w:sz w:val="18"/>
                <w:szCs w:val="18"/>
              </w:rPr>
            </w:pPr>
            <w:r w:rsidRPr="00414D90">
              <w:rPr>
                <w:rFonts w:asciiTheme="majorBidi" w:hAnsiTheme="majorBidi" w:cstheme="majorBidi"/>
                <w:color w:val="000000"/>
                <w:sz w:val="18"/>
                <w:szCs w:val="18"/>
              </w:rPr>
              <w:t>0.46</w:t>
            </w:r>
          </w:p>
        </w:tc>
      </w:tr>
      <w:tr w:rsidR="00F8765D" w:rsidRPr="001763D9" w14:paraId="4E2B309C" w14:textId="77777777" w:rsidTr="0042622E">
        <w:tc>
          <w:tcPr>
            <w:tcW w:w="1869" w:type="dxa"/>
            <w:tcBorders>
              <w:top w:val="nil"/>
              <w:bottom w:val="dotted" w:sz="4" w:space="0" w:color="auto"/>
            </w:tcBorders>
            <w:shd w:val="clear" w:color="auto" w:fill="auto"/>
          </w:tcPr>
          <w:p w14:paraId="6EC6D2BC"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5C8F5B39"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110.92 (3.6)</w:t>
            </w:r>
          </w:p>
        </w:tc>
        <w:tc>
          <w:tcPr>
            <w:tcW w:w="1249" w:type="dxa"/>
            <w:tcBorders>
              <w:top w:val="nil"/>
              <w:bottom w:val="dotted" w:sz="4" w:space="0" w:color="auto"/>
            </w:tcBorders>
            <w:shd w:val="clear" w:color="auto" w:fill="auto"/>
          </w:tcPr>
          <w:p w14:paraId="02AB8D53"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119.72 (3.5)</w:t>
            </w:r>
          </w:p>
        </w:tc>
        <w:tc>
          <w:tcPr>
            <w:tcW w:w="1236" w:type="dxa"/>
            <w:tcBorders>
              <w:top w:val="nil"/>
              <w:bottom w:val="dotted" w:sz="4" w:space="0" w:color="auto"/>
            </w:tcBorders>
            <w:shd w:val="clear" w:color="auto" w:fill="auto"/>
          </w:tcPr>
          <w:p w14:paraId="0A59670C"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131.72 (3.9)</w:t>
            </w:r>
          </w:p>
        </w:tc>
        <w:tc>
          <w:tcPr>
            <w:tcW w:w="1053" w:type="dxa"/>
            <w:vMerge/>
            <w:tcBorders>
              <w:bottom w:val="dotted" w:sz="4" w:space="0" w:color="auto"/>
            </w:tcBorders>
            <w:shd w:val="clear" w:color="auto" w:fill="auto"/>
            <w:vAlign w:val="center"/>
          </w:tcPr>
          <w:p w14:paraId="22D2EC30"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10BBBA15"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0CDE7B41"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2B6B80C2" w14:textId="77777777" w:rsidTr="0042622E">
        <w:trPr>
          <w:trHeight w:val="245"/>
        </w:trPr>
        <w:tc>
          <w:tcPr>
            <w:tcW w:w="1869" w:type="dxa"/>
            <w:tcBorders>
              <w:top w:val="dotted" w:sz="4" w:space="0" w:color="auto"/>
            </w:tcBorders>
            <w:shd w:val="clear" w:color="auto" w:fill="auto"/>
          </w:tcPr>
          <w:p w14:paraId="69F4B782" w14:textId="77777777" w:rsidR="00F8765D" w:rsidRPr="001763D9" w:rsidRDefault="00F8765D" w:rsidP="00F8765D">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FMOS Variability (mm)</w:t>
            </w:r>
          </w:p>
        </w:tc>
        <w:tc>
          <w:tcPr>
            <w:tcW w:w="1281" w:type="dxa"/>
            <w:tcBorders>
              <w:top w:val="dotted" w:sz="4" w:space="0" w:color="auto"/>
            </w:tcBorders>
            <w:shd w:val="clear" w:color="auto" w:fill="auto"/>
          </w:tcPr>
          <w:p w14:paraId="6C30EEDC"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2C4858B2"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6E7F785B"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2B393724"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tcBorders>
              <w:top w:val="dotted" w:sz="4" w:space="0" w:color="auto"/>
              <w:bottom w:val="nil"/>
            </w:tcBorders>
            <w:vAlign w:val="center"/>
          </w:tcPr>
          <w:p w14:paraId="4D053220"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tcBorders>
              <w:top w:val="dotted" w:sz="4" w:space="0" w:color="auto"/>
              <w:bottom w:val="nil"/>
            </w:tcBorders>
            <w:vAlign w:val="center"/>
          </w:tcPr>
          <w:p w14:paraId="5B60CB7E"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F8765D" w:rsidRPr="001763D9" w14:paraId="5D6DF4BC" w14:textId="77777777" w:rsidTr="0042622E">
        <w:tc>
          <w:tcPr>
            <w:tcW w:w="1869" w:type="dxa"/>
            <w:shd w:val="clear" w:color="auto" w:fill="auto"/>
          </w:tcPr>
          <w:p w14:paraId="5637601A" w14:textId="77777777" w:rsidR="00F8765D" w:rsidRPr="001763D9" w:rsidRDefault="00F8765D" w:rsidP="00F8765D">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256EA62E"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28.79 (2.2)</w:t>
            </w:r>
          </w:p>
        </w:tc>
        <w:tc>
          <w:tcPr>
            <w:tcW w:w="1249" w:type="dxa"/>
            <w:shd w:val="clear" w:color="auto" w:fill="auto"/>
          </w:tcPr>
          <w:p w14:paraId="20E9F94C"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35.69 (1.9)</w:t>
            </w:r>
          </w:p>
        </w:tc>
        <w:tc>
          <w:tcPr>
            <w:tcW w:w="1236" w:type="dxa"/>
            <w:shd w:val="clear" w:color="auto" w:fill="auto"/>
          </w:tcPr>
          <w:p w14:paraId="4B0D9022"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42.11 (2.4)</w:t>
            </w:r>
          </w:p>
        </w:tc>
        <w:tc>
          <w:tcPr>
            <w:tcW w:w="1053" w:type="dxa"/>
            <w:vMerge w:val="restart"/>
            <w:tcBorders>
              <w:top w:val="nil"/>
              <w:bottom w:val="single" w:sz="4" w:space="0" w:color="auto"/>
            </w:tcBorders>
            <w:shd w:val="clear" w:color="auto" w:fill="auto"/>
            <w:vAlign w:val="center"/>
          </w:tcPr>
          <w:p w14:paraId="625F32AE" w14:textId="77777777" w:rsidR="00F8765D" w:rsidRPr="001763D9" w:rsidRDefault="00F8765D" w:rsidP="00F8765D">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&lt;.0001</w:t>
            </w:r>
          </w:p>
        </w:tc>
        <w:tc>
          <w:tcPr>
            <w:tcW w:w="1596" w:type="dxa"/>
            <w:vMerge w:val="restart"/>
            <w:tcBorders>
              <w:top w:val="nil"/>
              <w:bottom w:val="single" w:sz="4" w:space="0" w:color="auto"/>
            </w:tcBorders>
            <w:vAlign w:val="center"/>
          </w:tcPr>
          <w:p w14:paraId="79281E3D"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0.231</w:t>
            </w:r>
          </w:p>
        </w:tc>
        <w:tc>
          <w:tcPr>
            <w:tcW w:w="1076" w:type="dxa"/>
            <w:vMerge w:val="restart"/>
            <w:tcBorders>
              <w:top w:val="nil"/>
              <w:bottom w:val="single" w:sz="4" w:space="0" w:color="auto"/>
            </w:tcBorders>
            <w:vAlign w:val="center"/>
          </w:tcPr>
          <w:p w14:paraId="131D12FB" w14:textId="77777777" w:rsidR="00F8765D" w:rsidRPr="001763D9" w:rsidRDefault="00F8765D" w:rsidP="0081156E">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0.394</w:t>
            </w:r>
          </w:p>
        </w:tc>
      </w:tr>
      <w:tr w:rsidR="00F8765D" w:rsidRPr="001763D9" w14:paraId="7AAC2239" w14:textId="77777777" w:rsidTr="0042622E">
        <w:tc>
          <w:tcPr>
            <w:tcW w:w="1869" w:type="dxa"/>
            <w:shd w:val="clear" w:color="auto" w:fill="auto"/>
          </w:tcPr>
          <w:p w14:paraId="5E52AA0F" w14:textId="77777777" w:rsidR="00F8765D" w:rsidRPr="001763D9" w:rsidRDefault="00F8765D" w:rsidP="00F8765D">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2452F285"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28.94 (2.2)</w:t>
            </w:r>
          </w:p>
        </w:tc>
        <w:tc>
          <w:tcPr>
            <w:tcW w:w="1249" w:type="dxa"/>
            <w:shd w:val="clear" w:color="auto" w:fill="auto"/>
          </w:tcPr>
          <w:p w14:paraId="1D2E8F77"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33.25 (1.9)</w:t>
            </w:r>
          </w:p>
        </w:tc>
        <w:tc>
          <w:tcPr>
            <w:tcW w:w="1236" w:type="dxa"/>
            <w:shd w:val="clear" w:color="auto" w:fill="auto"/>
          </w:tcPr>
          <w:p w14:paraId="1E429615" w14:textId="77777777" w:rsidR="00F8765D" w:rsidRPr="001763D9" w:rsidRDefault="00F8765D" w:rsidP="00F8765D">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40.61 (2.5)</w:t>
            </w:r>
          </w:p>
        </w:tc>
        <w:tc>
          <w:tcPr>
            <w:tcW w:w="1053" w:type="dxa"/>
            <w:vMerge/>
            <w:tcBorders>
              <w:top w:val="nil"/>
              <w:bottom w:val="single" w:sz="4" w:space="0" w:color="auto"/>
            </w:tcBorders>
            <w:shd w:val="clear" w:color="auto" w:fill="auto"/>
            <w:vAlign w:val="center"/>
          </w:tcPr>
          <w:p w14:paraId="7B8472E6"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2338E881" w14:textId="77777777" w:rsidR="00F8765D" w:rsidRPr="001763D9" w:rsidRDefault="00F8765D" w:rsidP="00F8765D">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593C5595" w14:textId="77777777" w:rsidR="00F8765D" w:rsidRPr="001763D9" w:rsidRDefault="00F8765D" w:rsidP="0081156E">
            <w:pPr>
              <w:spacing w:after="0" w:line="480" w:lineRule="auto"/>
              <w:jc w:val="center"/>
              <w:rPr>
                <w:rFonts w:asciiTheme="majorBidi" w:hAnsiTheme="majorBidi" w:cstheme="majorBidi"/>
                <w:color w:val="000000"/>
                <w:sz w:val="18"/>
                <w:szCs w:val="18"/>
              </w:rPr>
            </w:pPr>
          </w:p>
        </w:tc>
      </w:tr>
      <w:tr w:rsidR="00414D90" w:rsidRPr="001763D9" w14:paraId="70BD30DD" w14:textId="77777777" w:rsidTr="0042622E">
        <w:tc>
          <w:tcPr>
            <w:tcW w:w="1869" w:type="dxa"/>
            <w:tcBorders>
              <w:bottom w:val="nil"/>
            </w:tcBorders>
            <w:shd w:val="clear" w:color="auto" w:fill="auto"/>
          </w:tcPr>
          <w:p w14:paraId="38A9D088"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65B1B391"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27.64 (2.2)</w:t>
            </w:r>
          </w:p>
        </w:tc>
        <w:tc>
          <w:tcPr>
            <w:tcW w:w="1249" w:type="dxa"/>
            <w:tcBorders>
              <w:bottom w:val="nil"/>
            </w:tcBorders>
            <w:shd w:val="clear" w:color="auto" w:fill="auto"/>
          </w:tcPr>
          <w:p w14:paraId="6D42AA6C"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35.87 (1.9)</w:t>
            </w:r>
          </w:p>
        </w:tc>
        <w:tc>
          <w:tcPr>
            <w:tcW w:w="1236" w:type="dxa"/>
            <w:tcBorders>
              <w:bottom w:val="nil"/>
            </w:tcBorders>
            <w:shd w:val="clear" w:color="auto" w:fill="auto"/>
          </w:tcPr>
          <w:p w14:paraId="3190EEE4"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46.27 (2.4)</w:t>
            </w:r>
          </w:p>
        </w:tc>
        <w:tc>
          <w:tcPr>
            <w:tcW w:w="1053" w:type="dxa"/>
            <w:vMerge w:val="restart"/>
            <w:tcBorders>
              <w:top w:val="single" w:sz="4" w:space="0" w:color="auto"/>
            </w:tcBorders>
            <w:shd w:val="clear" w:color="auto" w:fill="auto"/>
            <w:vAlign w:val="center"/>
          </w:tcPr>
          <w:p w14:paraId="20296BD5" w14:textId="3E633CFC" w:rsidR="00414D90" w:rsidRPr="001763D9" w:rsidRDefault="00414D90" w:rsidP="00414D90">
            <w:pPr>
              <w:spacing w:after="0" w:line="480" w:lineRule="auto"/>
              <w:jc w:val="center"/>
              <w:rPr>
                <w:rFonts w:asciiTheme="majorBidi" w:hAnsiTheme="majorBidi" w:cstheme="majorBidi"/>
                <w:color w:val="000000"/>
                <w:sz w:val="18"/>
                <w:szCs w:val="18"/>
              </w:rPr>
            </w:pPr>
            <w:r w:rsidRPr="007649C8">
              <w:rPr>
                <w:rFonts w:asciiTheme="majorBidi" w:hAnsiTheme="majorBidi" w:cstheme="majorBidi"/>
                <w:sz w:val="18"/>
                <w:szCs w:val="18"/>
              </w:rPr>
              <w:t>0.63</w:t>
            </w:r>
          </w:p>
        </w:tc>
        <w:tc>
          <w:tcPr>
            <w:tcW w:w="1596" w:type="dxa"/>
            <w:vMerge w:val="restart"/>
            <w:tcBorders>
              <w:top w:val="single" w:sz="4" w:space="0" w:color="auto"/>
            </w:tcBorders>
            <w:vAlign w:val="center"/>
          </w:tcPr>
          <w:p w14:paraId="701A9D66" w14:textId="048822D7" w:rsidR="00414D90" w:rsidRPr="001763D9" w:rsidRDefault="00414D90" w:rsidP="00414D90">
            <w:pPr>
              <w:spacing w:after="0" w:line="480" w:lineRule="auto"/>
              <w:jc w:val="center"/>
              <w:rPr>
                <w:rFonts w:asciiTheme="majorBidi" w:hAnsiTheme="majorBidi" w:cstheme="majorBidi"/>
                <w:color w:val="000000"/>
                <w:sz w:val="18"/>
                <w:szCs w:val="18"/>
              </w:rPr>
            </w:pPr>
            <w:r w:rsidRPr="00920B23">
              <w:rPr>
                <w:rFonts w:asciiTheme="majorBidi" w:hAnsiTheme="majorBidi" w:cstheme="majorBidi"/>
                <w:color w:val="000000"/>
                <w:sz w:val="18"/>
                <w:szCs w:val="18"/>
              </w:rPr>
              <w:t>0.02</w:t>
            </w:r>
          </w:p>
        </w:tc>
        <w:tc>
          <w:tcPr>
            <w:tcW w:w="1076" w:type="dxa"/>
            <w:vMerge w:val="restart"/>
            <w:tcBorders>
              <w:top w:val="single" w:sz="4" w:space="0" w:color="auto"/>
            </w:tcBorders>
            <w:vAlign w:val="center"/>
          </w:tcPr>
          <w:p w14:paraId="481535C9" w14:textId="67AD619C" w:rsidR="00414D90" w:rsidRPr="001763D9" w:rsidRDefault="00414D90" w:rsidP="00414D90">
            <w:pPr>
              <w:spacing w:after="0" w:line="480" w:lineRule="auto"/>
              <w:jc w:val="center"/>
              <w:rPr>
                <w:rFonts w:asciiTheme="majorBidi" w:hAnsiTheme="majorBidi" w:cstheme="majorBidi"/>
                <w:color w:val="000000"/>
                <w:sz w:val="18"/>
                <w:szCs w:val="18"/>
              </w:rPr>
            </w:pPr>
            <w:r w:rsidRPr="00414D90">
              <w:rPr>
                <w:rFonts w:asciiTheme="majorBidi" w:hAnsiTheme="majorBidi" w:cstheme="majorBidi"/>
                <w:sz w:val="18"/>
                <w:szCs w:val="18"/>
              </w:rPr>
              <w:t>0.39</w:t>
            </w:r>
          </w:p>
        </w:tc>
      </w:tr>
      <w:tr w:rsidR="00414D90" w:rsidRPr="001763D9" w14:paraId="49FA7039" w14:textId="77777777" w:rsidTr="0042622E">
        <w:tc>
          <w:tcPr>
            <w:tcW w:w="1869" w:type="dxa"/>
            <w:tcBorders>
              <w:top w:val="nil"/>
              <w:bottom w:val="dotted" w:sz="4" w:space="0" w:color="auto"/>
            </w:tcBorders>
            <w:shd w:val="clear" w:color="auto" w:fill="auto"/>
          </w:tcPr>
          <w:p w14:paraId="25088E1D"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5440C3E1"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27.93 (2.2)</w:t>
            </w:r>
          </w:p>
        </w:tc>
        <w:tc>
          <w:tcPr>
            <w:tcW w:w="1249" w:type="dxa"/>
            <w:tcBorders>
              <w:top w:val="nil"/>
              <w:bottom w:val="dotted" w:sz="4" w:space="0" w:color="auto"/>
            </w:tcBorders>
            <w:shd w:val="clear" w:color="auto" w:fill="auto"/>
          </w:tcPr>
          <w:p w14:paraId="53A7644E"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33 (2.1)</w:t>
            </w:r>
          </w:p>
        </w:tc>
        <w:tc>
          <w:tcPr>
            <w:tcW w:w="1236" w:type="dxa"/>
            <w:tcBorders>
              <w:top w:val="nil"/>
              <w:bottom w:val="dotted" w:sz="4" w:space="0" w:color="auto"/>
            </w:tcBorders>
            <w:shd w:val="clear" w:color="auto" w:fill="auto"/>
          </w:tcPr>
          <w:p w14:paraId="57BFEECF"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42.26 (2.4)</w:t>
            </w:r>
          </w:p>
        </w:tc>
        <w:tc>
          <w:tcPr>
            <w:tcW w:w="1053" w:type="dxa"/>
            <w:vMerge/>
            <w:tcBorders>
              <w:bottom w:val="dotted" w:sz="4" w:space="0" w:color="auto"/>
            </w:tcBorders>
            <w:shd w:val="clear" w:color="auto" w:fill="auto"/>
            <w:vAlign w:val="center"/>
          </w:tcPr>
          <w:p w14:paraId="7939594E"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28240AEF"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09C44792"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1EE8635C" w14:textId="77777777" w:rsidTr="0042622E">
        <w:trPr>
          <w:trHeight w:val="175"/>
        </w:trPr>
        <w:tc>
          <w:tcPr>
            <w:tcW w:w="1869" w:type="dxa"/>
            <w:shd w:val="clear" w:color="auto" w:fill="auto"/>
          </w:tcPr>
          <w:p w14:paraId="27B01FC9" w14:textId="77777777" w:rsidR="00414D90" w:rsidRPr="001763D9" w:rsidRDefault="00414D90" w:rsidP="00414D9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SW (mm)</w:t>
            </w:r>
          </w:p>
        </w:tc>
        <w:tc>
          <w:tcPr>
            <w:tcW w:w="1281" w:type="dxa"/>
            <w:shd w:val="clear" w:color="auto" w:fill="auto"/>
          </w:tcPr>
          <w:p w14:paraId="2AC03D22"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49" w:type="dxa"/>
            <w:shd w:val="clear" w:color="auto" w:fill="auto"/>
          </w:tcPr>
          <w:p w14:paraId="2BF61666"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36" w:type="dxa"/>
            <w:shd w:val="clear" w:color="auto" w:fill="auto"/>
          </w:tcPr>
          <w:p w14:paraId="1AC600C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53" w:type="dxa"/>
            <w:tcBorders>
              <w:bottom w:val="nil"/>
            </w:tcBorders>
            <w:shd w:val="clear" w:color="auto" w:fill="auto"/>
            <w:vAlign w:val="center"/>
          </w:tcPr>
          <w:p w14:paraId="39179A58"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tcBorders>
              <w:bottom w:val="nil"/>
            </w:tcBorders>
            <w:vAlign w:val="center"/>
          </w:tcPr>
          <w:p w14:paraId="5988FE94"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tcBorders>
              <w:bottom w:val="nil"/>
            </w:tcBorders>
            <w:vAlign w:val="center"/>
          </w:tcPr>
          <w:p w14:paraId="779B6115"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5951068D" w14:textId="77777777" w:rsidTr="0042622E">
        <w:tc>
          <w:tcPr>
            <w:tcW w:w="1869" w:type="dxa"/>
            <w:shd w:val="clear" w:color="auto" w:fill="auto"/>
          </w:tcPr>
          <w:p w14:paraId="5438764B" w14:textId="77777777" w:rsidR="00414D90" w:rsidRPr="001763D9" w:rsidRDefault="00414D90" w:rsidP="00414D9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w:t>
            </w:r>
            <w:r w:rsidRPr="001763D9" w:rsidDel="00BB16CA">
              <w:rPr>
                <w:rFonts w:asciiTheme="majorBidi" w:hAnsiTheme="majorBidi" w:cstheme="majorBidi"/>
                <w:color w:val="000000"/>
                <w:sz w:val="18"/>
                <w:szCs w:val="18"/>
                <w:lang w:bidi="fa-IR"/>
              </w:rPr>
              <w:t xml:space="preserve"> </w:t>
            </w:r>
            <w:r w:rsidRPr="001763D9">
              <w:rPr>
                <w:rFonts w:asciiTheme="majorBidi" w:hAnsiTheme="majorBidi" w:cstheme="majorBidi"/>
                <w:color w:val="000000"/>
                <w:sz w:val="18"/>
                <w:szCs w:val="18"/>
                <w:lang w:bidi="fa-IR"/>
              </w:rPr>
              <w:t>(Intercept)</w:t>
            </w:r>
          </w:p>
        </w:tc>
        <w:tc>
          <w:tcPr>
            <w:tcW w:w="1281" w:type="dxa"/>
            <w:shd w:val="clear" w:color="auto" w:fill="auto"/>
          </w:tcPr>
          <w:p w14:paraId="151F0C17"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83.28 (7.0)</w:t>
            </w:r>
          </w:p>
        </w:tc>
        <w:tc>
          <w:tcPr>
            <w:tcW w:w="1249" w:type="dxa"/>
            <w:shd w:val="clear" w:color="auto" w:fill="auto"/>
          </w:tcPr>
          <w:p w14:paraId="631F96F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91.65 (6.2)</w:t>
            </w:r>
          </w:p>
        </w:tc>
        <w:tc>
          <w:tcPr>
            <w:tcW w:w="1236" w:type="dxa"/>
            <w:shd w:val="clear" w:color="auto" w:fill="auto"/>
          </w:tcPr>
          <w:p w14:paraId="4DEF3595"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95.1 (8.3)</w:t>
            </w:r>
          </w:p>
        </w:tc>
        <w:tc>
          <w:tcPr>
            <w:tcW w:w="1053" w:type="dxa"/>
            <w:vMerge w:val="restart"/>
            <w:tcBorders>
              <w:top w:val="nil"/>
              <w:bottom w:val="single" w:sz="4" w:space="0" w:color="auto"/>
            </w:tcBorders>
            <w:shd w:val="clear" w:color="auto" w:fill="auto"/>
            <w:vAlign w:val="center"/>
          </w:tcPr>
          <w:p w14:paraId="6CE76347"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0.166</w:t>
            </w:r>
          </w:p>
        </w:tc>
        <w:tc>
          <w:tcPr>
            <w:tcW w:w="1596" w:type="dxa"/>
            <w:vMerge w:val="restart"/>
            <w:tcBorders>
              <w:top w:val="nil"/>
              <w:bottom w:val="single" w:sz="4" w:space="0" w:color="auto"/>
            </w:tcBorders>
            <w:vAlign w:val="center"/>
          </w:tcPr>
          <w:p w14:paraId="03D885F2"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0.057</w:t>
            </w:r>
          </w:p>
        </w:tc>
        <w:tc>
          <w:tcPr>
            <w:tcW w:w="1076" w:type="dxa"/>
            <w:vMerge w:val="restart"/>
            <w:tcBorders>
              <w:top w:val="nil"/>
              <w:bottom w:val="single" w:sz="4" w:space="0" w:color="auto"/>
            </w:tcBorders>
            <w:vAlign w:val="center"/>
          </w:tcPr>
          <w:p w14:paraId="24973EC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0.359</w:t>
            </w:r>
          </w:p>
        </w:tc>
      </w:tr>
      <w:tr w:rsidR="00414D90" w:rsidRPr="001763D9" w14:paraId="230187E5" w14:textId="77777777" w:rsidTr="0042622E">
        <w:tc>
          <w:tcPr>
            <w:tcW w:w="1869" w:type="dxa"/>
            <w:shd w:val="clear" w:color="auto" w:fill="auto"/>
          </w:tcPr>
          <w:p w14:paraId="14754563"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lastRenderedPageBreak/>
              <w:t>R10</w:t>
            </w:r>
          </w:p>
        </w:tc>
        <w:tc>
          <w:tcPr>
            <w:tcW w:w="1281" w:type="dxa"/>
            <w:shd w:val="clear" w:color="auto" w:fill="auto"/>
          </w:tcPr>
          <w:p w14:paraId="71F3AB99"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93.12 (7.1)</w:t>
            </w:r>
          </w:p>
        </w:tc>
        <w:tc>
          <w:tcPr>
            <w:tcW w:w="1249" w:type="dxa"/>
            <w:shd w:val="clear" w:color="auto" w:fill="auto"/>
          </w:tcPr>
          <w:p w14:paraId="2C0AF51C"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101.08 (6.2)</w:t>
            </w:r>
          </w:p>
        </w:tc>
        <w:tc>
          <w:tcPr>
            <w:tcW w:w="1236" w:type="dxa"/>
            <w:shd w:val="clear" w:color="auto" w:fill="auto"/>
          </w:tcPr>
          <w:p w14:paraId="3B69F5A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103 (8.3)</w:t>
            </w:r>
          </w:p>
        </w:tc>
        <w:tc>
          <w:tcPr>
            <w:tcW w:w="1053" w:type="dxa"/>
            <w:vMerge/>
            <w:tcBorders>
              <w:top w:val="nil"/>
              <w:bottom w:val="single" w:sz="4" w:space="0" w:color="auto"/>
            </w:tcBorders>
            <w:shd w:val="clear" w:color="auto" w:fill="auto"/>
            <w:vAlign w:val="center"/>
          </w:tcPr>
          <w:p w14:paraId="6B01261C"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261FED58"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31E1157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780DCEDD" w14:textId="77777777" w:rsidTr="0042622E">
        <w:tc>
          <w:tcPr>
            <w:tcW w:w="1869" w:type="dxa"/>
            <w:tcBorders>
              <w:bottom w:val="nil"/>
            </w:tcBorders>
            <w:shd w:val="clear" w:color="auto" w:fill="auto"/>
          </w:tcPr>
          <w:p w14:paraId="0CC713DE"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4C51DD8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90.49 (7.1)</w:t>
            </w:r>
          </w:p>
        </w:tc>
        <w:tc>
          <w:tcPr>
            <w:tcW w:w="1249" w:type="dxa"/>
            <w:tcBorders>
              <w:bottom w:val="nil"/>
            </w:tcBorders>
            <w:shd w:val="clear" w:color="auto" w:fill="auto"/>
          </w:tcPr>
          <w:p w14:paraId="7BAD430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98.15 (6.3)</w:t>
            </w:r>
          </w:p>
        </w:tc>
        <w:tc>
          <w:tcPr>
            <w:tcW w:w="1236" w:type="dxa"/>
            <w:tcBorders>
              <w:bottom w:val="nil"/>
            </w:tcBorders>
            <w:shd w:val="clear" w:color="auto" w:fill="auto"/>
          </w:tcPr>
          <w:p w14:paraId="40F0AD4C"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109.35 (8.3)</w:t>
            </w:r>
          </w:p>
        </w:tc>
        <w:tc>
          <w:tcPr>
            <w:tcW w:w="1053" w:type="dxa"/>
            <w:vMerge w:val="restart"/>
            <w:tcBorders>
              <w:top w:val="single" w:sz="4" w:space="0" w:color="auto"/>
            </w:tcBorders>
            <w:shd w:val="clear" w:color="auto" w:fill="auto"/>
            <w:vAlign w:val="center"/>
          </w:tcPr>
          <w:p w14:paraId="6C3502F7" w14:textId="37085C20" w:rsidR="00414D90" w:rsidRPr="001763D9" w:rsidRDefault="00414D90" w:rsidP="00414D90">
            <w:pPr>
              <w:spacing w:after="0" w:line="480" w:lineRule="auto"/>
              <w:jc w:val="center"/>
              <w:rPr>
                <w:rFonts w:asciiTheme="majorBidi" w:hAnsiTheme="majorBidi" w:cstheme="majorBidi"/>
                <w:color w:val="000000"/>
                <w:sz w:val="18"/>
                <w:szCs w:val="18"/>
              </w:rPr>
            </w:pPr>
            <w:r w:rsidRPr="000A49D8">
              <w:rPr>
                <w:rFonts w:asciiTheme="majorBidi" w:hAnsiTheme="majorBidi" w:cstheme="majorBidi"/>
                <w:color w:val="000000"/>
                <w:sz w:val="18"/>
                <w:szCs w:val="18"/>
              </w:rPr>
              <w:t>0.03</w:t>
            </w:r>
          </w:p>
        </w:tc>
        <w:tc>
          <w:tcPr>
            <w:tcW w:w="1596" w:type="dxa"/>
            <w:vMerge w:val="restart"/>
            <w:tcBorders>
              <w:top w:val="single" w:sz="4" w:space="0" w:color="auto"/>
            </w:tcBorders>
            <w:vAlign w:val="center"/>
          </w:tcPr>
          <w:p w14:paraId="48BFAD13" w14:textId="22A26B01" w:rsidR="00414D90" w:rsidRPr="001763D9" w:rsidRDefault="00414D90" w:rsidP="00414D90">
            <w:pPr>
              <w:spacing w:after="0" w:line="480" w:lineRule="auto"/>
              <w:jc w:val="center"/>
              <w:rPr>
                <w:rFonts w:asciiTheme="majorBidi" w:hAnsiTheme="majorBidi" w:cstheme="majorBidi"/>
                <w:color w:val="000000"/>
                <w:sz w:val="18"/>
                <w:szCs w:val="18"/>
              </w:rPr>
            </w:pPr>
            <w:r w:rsidRPr="00920B23">
              <w:rPr>
                <w:rFonts w:asciiTheme="majorBidi" w:hAnsiTheme="majorBidi" w:cstheme="majorBidi"/>
                <w:color w:val="000000"/>
                <w:sz w:val="18"/>
                <w:szCs w:val="18"/>
              </w:rPr>
              <w:t>0.03</w:t>
            </w:r>
          </w:p>
        </w:tc>
        <w:tc>
          <w:tcPr>
            <w:tcW w:w="1076" w:type="dxa"/>
            <w:vMerge w:val="restart"/>
            <w:tcBorders>
              <w:top w:val="single" w:sz="4" w:space="0" w:color="auto"/>
            </w:tcBorders>
            <w:vAlign w:val="center"/>
          </w:tcPr>
          <w:p w14:paraId="7C5F88BE" w14:textId="0BBAB6A1" w:rsidR="00414D9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color w:val="000000"/>
                <w:sz w:val="18"/>
                <w:szCs w:val="18"/>
              </w:rPr>
              <w:t>0.06</w:t>
            </w:r>
          </w:p>
        </w:tc>
      </w:tr>
      <w:tr w:rsidR="00414D90" w:rsidRPr="001763D9" w14:paraId="4586362C" w14:textId="77777777" w:rsidTr="0042622E">
        <w:tc>
          <w:tcPr>
            <w:tcW w:w="1869" w:type="dxa"/>
            <w:tcBorders>
              <w:top w:val="nil"/>
              <w:bottom w:val="dotted" w:sz="4" w:space="0" w:color="auto"/>
            </w:tcBorders>
            <w:shd w:val="clear" w:color="auto" w:fill="auto"/>
          </w:tcPr>
          <w:p w14:paraId="44C5FF94"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7AEA9E03"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99.95 (7.2)</w:t>
            </w:r>
          </w:p>
        </w:tc>
        <w:tc>
          <w:tcPr>
            <w:tcW w:w="1249" w:type="dxa"/>
            <w:tcBorders>
              <w:top w:val="nil"/>
              <w:bottom w:val="dotted" w:sz="4" w:space="0" w:color="auto"/>
            </w:tcBorders>
            <w:shd w:val="clear" w:color="auto" w:fill="auto"/>
          </w:tcPr>
          <w:p w14:paraId="15BCE3B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102.42 (6.6)</w:t>
            </w:r>
          </w:p>
        </w:tc>
        <w:tc>
          <w:tcPr>
            <w:tcW w:w="1236" w:type="dxa"/>
            <w:tcBorders>
              <w:top w:val="nil"/>
              <w:bottom w:val="dotted" w:sz="4" w:space="0" w:color="auto"/>
            </w:tcBorders>
            <w:shd w:val="clear" w:color="auto" w:fill="auto"/>
          </w:tcPr>
          <w:p w14:paraId="0A787218"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102.59 (8.2)</w:t>
            </w:r>
          </w:p>
        </w:tc>
        <w:tc>
          <w:tcPr>
            <w:tcW w:w="1053" w:type="dxa"/>
            <w:vMerge/>
            <w:tcBorders>
              <w:bottom w:val="dotted" w:sz="4" w:space="0" w:color="auto"/>
            </w:tcBorders>
            <w:shd w:val="clear" w:color="auto" w:fill="auto"/>
            <w:vAlign w:val="center"/>
          </w:tcPr>
          <w:p w14:paraId="49BDC64E"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106D720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51BC72A0"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79E1C9C9" w14:textId="77777777" w:rsidTr="0042622E">
        <w:trPr>
          <w:trHeight w:val="195"/>
        </w:trPr>
        <w:tc>
          <w:tcPr>
            <w:tcW w:w="1869" w:type="dxa"/>
            <w:tcBorders>
              <w:top w:val="dotted" w:sz="4" w:space="0" w:color="auto"/>
            </w:tcBorders>
            <w:shd w:val="clear" w:color="auto" w:fill="auto"/>
          </w:tcPr>
          <w:p w14:paraId="48D90BDA" w14:textId="77777777" w:rsidR="00414D90" w:rsidRPr="001763D9" w:rsidRDefault="00414D90" w:rsidP="00414D9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SWV (mm)</w:t>
            </w:r>
          </w:p>
        </w:tc>
        <w:tc>
          <w:tcPr>
            <w:tcW w:w="1281" w:type="dxa"/>
            <w:tcBorders>
              <w:top w:val="dotted" w:sz="4" w:space="0" w:color="auto"/>
            </w:tcBorders>
            <w:shd w:val="clear" w:color="auto" w:fill="auto"/>
          </w:tcPr>
          <w:p w14:paraId="49A88A2E"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61C9D456"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16E3C7FA"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3B7B8867"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c>
          <w:tcPr>
            <w:tcW w:w="1596" w:type="dxa"/>
            <w:tcBorders>
              <w:top w:val="dotted" w:sz="4" w:space="0" w:color="auto"/>
              <w:bottom w:val="nil"/>
            </w:tcBorders>
            <w:vAlign w:val="center"/>
          </w:tcPr>
          <w:p w14:paraId="0D2CB54E"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c>
          <w:tcPr>
            <w:tcW w:w="1076" w:type="dxa"/>
            <w:tcBorders>
              <w:top w:val="dotted" w:sz="4" w:space="0" w:color="auto"/>
              <w:bottom w:val="nil"/>
            </w:tcBorders>
            <w:vAlign w:val="center"/>
          </w:tcPr>
          <w:p w14:paraId="07343BAB"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r>
      <w:tr w:rsidR="00414D90" w:rsidRPr="001763D9" w14:paraId="5867EB8C" w14:textId="77777777" w:rsidTr="0042622E">
        <w:tc>
          <w:tcPr>
            <w:tcW w:w="1869" w:type="dxa"/>
            <w:shd w:val="clear" w:color="auto" w:fill="auto"/>
          </w:tcPr>
          <w:p w14:paraId="66072CD6" w14:textId="77777777" w:rsidR="00414D90" w:rsidRPr="001763D9" w:rsidRDefault="00414D90" w:rsidP="00414D9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3C5001A8"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15.95 (2.6)</w:t>
            </w:r>
          </w:p>
        </w:tc>
        <w:tc>
          <w:tcPr>
            <w:tcW w:w="1249" w:type="dxa"/>
            <w:shd w:val="clear" w:color="auto" w:fill="auto"/>
          </w:tcPr>
          <w:p w14:paraId="645C63CB"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26.64 (2.4)</w:t>
            </w:r>
          </w:p>
        </w:tc>
        <w:tc>
          <w:tcPr>
            <w:tcW w:w="1236" w:type="dxa"/>
            <w:shd w:val="clear" w:color="auto" w:fill="auto"/>
          </w:tcPr>
          <w:p w14:paraId="476D53D0"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23.9 (2.9)</w:t>
            </w:r>
          </w:p>
        </w:tc>
        <w:tc>
          <w:tcPr>
            <w:tcW w:w="1053" w:type="dxa"/>
            <w:vMerge w:val="restart"/>
            <w:tcBorders>
              <w:top w:val="nil"/>
              <w:bottom w:val="single" w:sz="4" w:space="0" w:color="auto"/>
            </w:tcBorders>
            <w:shd w:val="clear" w:color="auto" w:fill="auto"/>
            <w:vAlign w:val="center"/>
          </w:tcPr>
          <w:p w14:paraId="48353013"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r w:rsidRPr="001763D9">
              <w:rPr>
                <w:rFonts w:asciiTheme="majorBidi" w:hAnsiTheme="majorBidi" w:cstheme="majorBidi"/>
                <w:b/>
                <w:bCs/>
                <w:color w:val="000000"/>
                <w:sz w:val="18"/>
                <w:szCs w:val="18"/>
              </w:rPr>
              <w:t>0.029</w:t>
            </w:r>
          </w:p>
        </w:tc>
        <w:tc>
          <w:tcPr>
            <w:tcW w:w="1596" w:type="dxa"/>
            <w:vMerge w:val="restart"/>
            <w:tcBorders>
              <w:top w:val="nil"/>
              <w:bottom w:val="single" w:sz="4" w:space="0" w:color="auto"/>
            </w:tcBorders>
            <w:vAlign w:val="center"/>
          </w:tcPr>
          <w:p w14:paraId="3B8216C1"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0.271</w:t>
            </w:r>
          </w:p>
        </w:tc>
        <w:tc>
          <w:tcPr>
            <w:tcW w:w="1076" w:type="dxa"/>
            <w:vMerge w:val="restart"/>
            <w:tcBorders>
              <w:top w:val="nil"/>
              <w:bottom w:val="single" w:sz="4" w:space="0" w:color="auto"/>
            </w:tcBorders>
            <w:vAlign w:val="center"/>
          </w:tcPr>
          <w:p w14:paraId="08AFB964"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0.424</w:t>
            </w:r>
          </w:p>
        </w:tc>
      </w:tr>
      <w:tr w:rsidR="00414D90" w:rsidRPr="001763D9" w14:paraId="4BF7F285" w14:textId="77777777" w:rsidTr="0042622E">
        <w:tc>
          <w:tcPr>
            <w:tcW w:w="1869" w:type="dxa"/>
            <w:shd w:val="clear" w:color="auto" w:fill="auto"/>
          </w:tcPr>
          <w:p w14:paraId="25C438DF"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73C682C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21.03 (2.8)</w:t>
            </w:r>
          </w:p>
        </w:tc>
        <w:tc>
          <w:tcPr>
            <w:tcW w:w="1249" w:type="dxa"/>
            <w:shd w:val="clear" w:color="auto" w:fill="auto"/>
          </w:tcPr>
          <w:p w14:paraId="2193D5E0"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29.48 (2.3)</w:t>
            </w:r>
          </w:p>
        </w:tc>
        <w:tc>
          <w:tcPr>
            <w:tcW w:w="1236" w:type="dxa"/>
            <w:shd w:val="clear" w:color="auto" w:fill="auto"/>
          </w:tcPr>
          <w:p w14:paraId="3F80B43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23.48 (3.2)</w:t>
            </w:r>
          </w:p>
        </w:tc>
        <w:tc>
          <w:tcPr>
            <w:tcW w:w="1053" w:type="dxa"/>
            <w:vMerge/>
            <w:tcBorders>
              <w:top w:val="nil"/>
              <w:bottom w:val="single" w:sz="4" w:space="0" w:color="auto"/>
            </w:tcBorders>
            <w:shd w:val="clear" w:color="auto" w:fill="auto"/>
            <w:vAlign w:val="center"/>
          </w:tcPr>
          <w:p w14:paraId="478F550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60BE220B"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792CEFC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2590BCAC" w14:textId="77777777" w:rsidTr="0042622E">
        <w:tc>
          <w:tcPr>
            <w:tcW w:w="1869" w:type="dxa"/>
            <w:tcBorders>
              <w:bottom w:val="nil"/>
            </w:tcBorders>
            <w:shd w:val="clear" w:color="auto" w:fill="auto"/>
          </w:tcPr>
          <w:p w14:paraId="021FC5F1"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17F95810"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19.42 (2.7)</w:t>
            </w:r>
          </w:p>
        </w:tc>
        <w:tc>
          <w:tcPr>
            <w:tcW w:w="1249" w:type="dxa"/>
            <w:tcBorders>
              <w:bottom w:val="nil"/>
            </w:tcBorders>
            <w:shd w:val="clear" w:color="auto" w:fill="auto"/>
          </w:tcPr>
          <w:p w14:paraId="53B4296B"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30.42 (2.4)</w:t>
            </w:r>
          </w:p>
        </w:tc>
        <w:tc>
          <w:tcPr>
            <w:tcW w:w="1236" w:type="dxa"/>
            <w:tcBorders>
              <w:bottom w:val="nil"/>
            </w:tcBorders>
            <w:shd w:val="clear" w:color="auto" w:fill="auto"/>
          </w:tcPr>
          <w:p w14:paraId="41A5C2EA"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30.92 (3.1)</w:t>
            </w:r>
          </w:p>
        </w:tc>
        <w:tc>
          <w:tcPr>
            <w:tcW w:w="1053" w:type="dxa"/>
            <w:vMerge w:val="restart"/>
            <w:tcBorders>
              <w:top w:val="single" w:sz="4" w:space="0" w:color="auto"/>
            </w:tcBorders>
            <w:shd w:val="clear" w:color="auto" w:fill="auto"/>
            <w:vAlign w:val="center"/>
          </w:tcPr>
          <w:p w14:paraId="0F336B12" w14:textId="39532345" w:rsidR="00414D90" w:rsidRPr="001763D9" w:rsidRDefault="00414D90" w:rsidP="00414D90">
            <w:pPr>
              <w:spacing w:after="0" w:line="480" w:lineRule="auto"/>
              <w:jc w:val="center"/>
              <w:rPr>
                <w:rFonts w:asciiTheme="majorBidi" w:hAnsiTheme="majorBidi" w:cstheme="majorBidi"/>
                <w:color w:val="000000"/>
                <w:sz w:val="18"/>
                <w:szCs w:val="18"/>
              </w:rPr>
            </w:pPr>
            <w:r w:rsidRPr="000A49D8">
              <w:rPr>
                <w:rFonts w:asciiTheme="majorBidi" w:hAnsiTheme="majorBidi" w:cstheme="majorBidi"/>
                <w:color w:val="000000"/>
                <w:sz w:val="18"/>
                <w:szCs w:val="18"/>
              </w:rPr>
              <w:t>0.15</w:t>
            </w:r>
          </w:p>
        </w:tc>
        <w:tc>
          <w:tcPr>
            <w:tcW w:w="1596" w:type="dxa"/>
            <w:vMerge w:val="restart"/>
            <w:tcBorders>
              <w:top w:val="single" w:sz="4" w:space="0" w:color="auto"/>
            </w:tcBorders>
            <w:vAlign w:val="center"/>
          </w:tcPr>
          <w:p w14:paraId="429F3FC5" w14:textId="03130C87" w:rsidR="00414D90" w:rsidRPr="001763D9" w:rsidRDefault="00414D90" w:rsidP="00414D90">
            <w:pPr>
              <w:spacing w:after="0" w:line="480" w:lineRule="auto"/>
              <w:jc w:val="center"/>
              <w:rPr>
                <w:rFonts w:asciiTheme="majorBidi" w:hAnsiTheme="majorBidi" w:cstheme="majorBidi"/>
                <w:color w:val="000000"/>
                <w:sz w:val="18"/>
                <w:szCs w:val="18"/>
              </w:rPr>
            </w:pPr>
            <w:r w:rsidRPr="00F8765D">
              <w:rPr>
                <w:rFonts w:asciiTheme="majorBidi" w:hAnsiTheme="majorBidi" w:cstheme="majorBidi"/>
                <w:color w:val="000000"/>
                <w:sz w:val="18"/>
                <w:szCs w:val="18"/>
              </w:rPr>
              <w:t>0.04</w:t>
            </w:r>
          </w:p>
        </w:tc>
        <w:tc>
          <w:tcPr>
            <w:tcW w:w="1076" w:type="dxa"/>
            <w:vMerge w:val="restart"/>
            <w:tcBorders>
              <w:top w:val="single" w:sz="4" w:space="0" w:color="auto"/>
            </w:tcBorders>
            <w:vAlign w:val="center"/>
          </w:tcPr>
          <w:p w14:paraId="725E452D" w14:textId="788E87DA" w:rsidR="00414D9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color w:val="000000"/>
                <w:sz w:val="18"/>
                <w:szCs w:val="18"/>
              </w:rPr>
              <w:t>0.15</w:t>
            </w:r>
          </w:p>
        </w:tc>
      </w:tr>
      <w:tr w:rsidR="00414D90" w:rsidRPr="001763D9" w14:paraId="362525DD" w14:textId="77777777" w:rsidTr="0042622E">
        <w:tc>
          <w:tcPr>
            <w:tcW w:w="1869" w:type="dxa"/>
            <w:tcBorders>
              <w:top w:val="nil"/>
              <w:bottom w:val="dotted" w:sz="4" w:space="0" w:color="auto"/>
            </w:tcBorders>
            <w:shd w:val="clear" w:color="auto" w:fill="auto"/>
          </w:tcPr>
          <w:p w14:paraId="3CA2C68F"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4BA83F01"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16.07 (2.8)</w:t>
            </w:r>
          </w:p>
        </w:tc>
        <w:tc>
          <w:tcPr>
            <w:tcW w:w="1249" w:type="dxa"/>
            <w:tcBorders>
              <w:top w:val="nil"/>
              <w:bottom w:val="dotted" w:sz="4" w:space="0" w:color="auto"/>
            </w:tcBorders>
            <w:shd w:val="clear" w:color="auto" w:fill="auto"/>
          </w:tcPr>
          <w:p w14:paraId="1085E827"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25.08 (2.5)</w:t>
            </w:r>
          </w:p>
        </w:tc>
        <w:tc>
          <w:tcPr>
            <w:tcW w:w="1236" w:type="dxa"/>
            <w:tcBorders>
              <w:top w:val="nil"/>
              <w:bottom w:val="dotted" w:sz="4" w:space="0" w:color="auto"/>
            </w:tcBorders>
            <w:shd w:val="clear" w:color="auto" w:fill="auto"/>
          </w:tcPr>
          <w:p w14:paraId="7C27CB0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28.29 (3)</w:t>
            </w:r>
          </w:p>
        </w:tc>
        <w:tc>
          <w:tcPr>
            <w:tcW w:w="1053" w:type="dxa"/>
            <w:vMerge/>
            <w:tcBorders>
              <w:bottom w:val="dotted" w:sz="4" w:space="0" w:color="auto"/>
            </w:tcBorders>
            <w:shd w:val="clear" w:color="auto" w:fill="auto"/>
            <w:vAlign w:val="center"/>
          </w:tcPr>
          <w:p w14:paraId="1DA4A17D"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4FD3F913"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12071E6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0A8CB507" w14:textId="77777777" w:rsidTr="0042622E">
        <w:trPr>
          <w:trHeight w:val="225"/>
        </w:trPr>
        <w:tc>
          <w:tcPr>
            <w:tcW w:w="1869" w:type="dxa"/>
            <w:tcBorders>
              <w:top w:val="dotted" w:sz="4" w:space="0" w:color="auto"/>
            </w:tcBorders>
            <w:shd w:val="clear" w:color="auto" w:fill="auto"/>
          </w:tcPr>
          <w:p w14:paraId="4A2A52B8" w14:textId="77777777" w:rsidR="00414D90" w:rsidRPr="001763D9" w:rsidRDefault="00414D90" w:rsidP="00414D9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SL  (mm)</w:t>
            </w:r>
          </w:p>
        </w:tc>
        <w:tc>
          <w:tcPr>
            <w:tcW w:w="1281" w:type="dxa"/>
            <w:tcBorders>
              <w:top w:val="dotted" w:sz="4" w:space="0" w:color="auto"/>
            </w:tcBorders>
            <w:shd w:val="clear" w:color="auto" w:fill="auto"/>
          </w:tcPr>
          <w:p w14:paraId="54B448F7"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236009B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36609C9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3364767F"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c>
          <w:tcPr>
            <w:tcW w:w="1596" w:type="dxa"/>
            <w:tcBorders>
              <w:top w:val="dotted" w:sz="4" w:space="0" w:color="auto"/>
              <w:bottom w:val="nil"/>
            </w:tcBorders>
            <w:vAlign w:val="center"/>
          </w:tcPr>
          <w:p w14:paraId="3022A29B"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c>
          <w:tcPr>
            <w:tcW w:w="1076" w:type="dxa"/>
            <w:tcBorders>
              <w:top w:val="dotted" w:sz="4" w:space="0" w:color="auto"/>
              <w:bottom w:val="nil"/>
            </w:tcBorders>
            <w:vAlign w:val="center"/>
          </w:tcPr>
          <w:p w14:paraId="3BC4DE30" w14:textId="77777777" w:rsidR="00414D90" w:rsidRPr="001763D9" w:rsidRDefault="00414D90" w:rsidP="00414D90">
            <w:pPr>
              <w:spacing w:after="0" w:line="480" w:lineRule="auto"/>
              <w:jc w:val="center"/>
              <w:rPr>
                <w:rFonts w:asciiTheme="majorBidi" w:hAnsiTheme="majorBidi" w:cstheme="majorBidi"/>
                <w:b/>
                <w:bCs/>
                <w:color w:val="000000"/>
                <w:sz w:val="18"/>
                <w:szCs w:val="18"/>
                <w:vertAlign w:val="superscript"/>
              </w:rPr>
            </w:pPr>
          </w:p>
        </w:tc>
      </w:tr>
      <w:tr w:rsidR="00414D90" w:rsidRPr="001763D9" w14:paraId="42EE0BF8" w14:textId="77777777" w:rsidTr="0042622E">
        <w:tc>
          <w:tcPr>
            <w:tcW w:w="1869" w:type="dxa"/>
            <w:shd w:val="clear" w:color="auto" w:fill="auto"/>
          </w:tcPr>
          <w:p w14:paraId="53097BFF" w14:textId="77777777" w:rsidR="00414D90" w:rsidRPr="001763D9" w:rsidRDefault="00414D90" w:rsidP="00414D9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2DE6D728"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613.27 (14.4)</w:t>
            </w:r>
          </w:p>
        </w:tc>
        <w:tc>
          <w:tcPr>
            <w:tcW w:w="1249" w:type="dxa"/>
            <w:shd w:val="clear" w:color="auto" w:fill="auto"/>
          </w:tcPr>
          <w:p w14:paraId="0BD8D421"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556.23 (12.8)</w:t>
            </w:r>
          </w:p>
        </w:tc>
        <w:tc>
          <w:tcPr>
            <w:tcW w:w="1236" w:type="dxa"/>
            <w:shd w:val="clear" w:color="auto" w:fill="auto"/>
          </w:tcPr>
          <w:p w14:paraId="184EAB1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546.65 (15.9)</w:t>
            </w:r>
          </w:p>
        </w:tc>
        <w:tc>
          <w:tcPr>
            <w:tcW w:w="1053" w:type="dxa"/>
            <w:vMerge w:val="restart"/>
            <w:tcBorders>
              <w:top w:val="nil"/>
              <w:bottom w:val="single" w:sz="4" w:space="0" w:color="auto"/>
            </w:tcBorders>
            <w:shd w:val="clear" w:color="auto" w:fill="auto"/>
            <w:vAlign w:val="center"/>
          </w:tcPr>
          <w:p w14:paraId="1D07490F"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0.003</w:t>
            </w:r>
          </w:p>
        </w:tc>
        <w:tc>
          <w:tcPr>
            <w:tcW w:w="1596" w:type="dxa"/>
            <w:vMerge w:val="restart"/>
            <w:tcBorders>
              <w:top w:val="nil"/>
              <w:bottom w:val="single" w:sz="4" w:space="0" w:color="auto"/>
            </w:tcBorders>
            <w:vAlign w:val="center"/>
          </w:tcPr>
          <w:p w14:paraId="3B8A8FE7"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0.180</w:t>
            </w:r>
          </w:p>
        </w:tc>
        <w:tc>
          <w:tcPr>
            <w:tcW w:w="1076" w:type="dxa"/>
            <w:vMerge w:val="restart"/>
            <w:tcBorders>
              <w:top w:val="nil"/>
              <w:bottom w:val="single" w:sz="4" w:space="0" w:color="auto"/>
            </w:tcBorders>
            <w:vAlign w:val="center"/>
          </w:tcPr>
          <w:p w14:paraId="4DBF676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0.729</w:t>
            </w:r>
          </w:p>
        </w:tc>
      </w:tr>
      <w:tr w:rsidR="00414D90" w:rsidRPr="001763D9" w14:paraId="5B9E2C4E" w14:textId="77777777" w:rsidTr="0042622E">
        <w:tc>
          <w:tcPr>
            <w:tcW w:w="1869" w:type="dxa"/>
            <w:shd w:val="clear" w:color="auto" w:fill="auto"/>
          </w:tcPr>
          <w:p w14:paraId="414DFC1D"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67CDC843"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630.22 (14.5)</w:t>
            </w:r>
          </w:p>
        </w:tc>
        <w:tc>
          <w:tcPr>
            <w:tcW w:w="1249" w:type="dxa"/>
            <w:shd w:val="clear" w:color="auto" w:fill="auto"/>
          </w:tcPr>
          <w:p w14:paraId="5C88A979"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573.99 (12.8)</w:t>
            </w:r>
          </w:p>
        </w:tc>
        <w:tc>
          <w:tcPr>
            <w:tcW w:w="1236" w:type="dxa"/>
            <w:shd w:val="clear" w:color="auto" w:fill="auto"/>
          </w:tcPr>
          <w:p w14:paraId="01DA7FD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559.56 (16)</w:t>
            </w:r>
          </w:p>
        </w:tc>
        <w:tc>
          <w:tcPr>
            <w:tcW w:w="1053" w:type="dxa"/>
            <w:vMerge/>
            <w:tcBorders>
              <w:top w:val="nil"/>
              <w:bottom w:val="single" w:sz="4" w:space="0" w:color="auto"/>
            </w:tcBorders>
            <w:shd w:val="clear" w:color="auto" w:fill="auto"/>
            <w:vAlign w:val="center"/>
          </w:tcPr>
          <w:p w14:paraId="36664E3E"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0DD467C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289E4A89"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5046284D" w14:textId="77777777" w:rsidTr="0042622E">
        <w:tc>
          <w:tcPr>
            <w:tcW w:w="1869" w:type="dxa"/>
            <w:tcBorders>
              <w:bottom w:val="nil"/>
            </w:tcBorders>
            <w:shd w:val="clear" w:color="auto" w:fill="auto"/>
          </w:tcPr>
          <w:p w14:paraId="5E169190"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22DB2A5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629.45 (14.5)</w:t>
            </w:r>
          </w:p>
        </w:tc>
        <w:tc>
          <w:tcPr>
            <w:tcW w:w="1249" w:type="dxa"/>
            <w:tcBorders>
              <w:bottom w:val="nil"/>
            </w:tcBorders>
            <w:shd w:val="clear" w:color="auto" w:fill="auto"/>
          </w:tcPr>
          <w:p w14:paraId="4CF4FE9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569.71 (12.9)</w:t>
            </w:r>
          </w:p>
        </w:tc>
        <w:tc>
          <w:tcPr>
            <w:tcW w:w="1236" w:type="dxa"/>
            <w:tcBorders>
              <w:bottom w:val="nil"/>
            </w:tcBorders>
            <w:shd w:val="clear" w:color="auto" w:fill="auto"/>
          </w:tcPr>
          <w:p w14:paraId="6DD7A14C"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550.32 (16)</w:t>
            </w:r>
          </w:p>
        </w:tc>
        <w:tc>
          <w:tcPr>
            <w:tcW w:w="1053" w:type="dxa"/>
            <w:vMerge w:val="restart"/>
            <w:tcBorders>
              <w:top w:val="single" w:sz="4" w:space="0" w:color="auto"/>
            </w:tcBorders>
            <w:shd w:val="clear" w:color="auto" w:fill="auto"/>
            <w:vAlign w:val="center"/>
          </w:tcPr>
          <w:p w14:paraId="0453D487" w14:textId="7C13BDE6" w:rsidR="00414D90" w:rsidRPr="001763D9" w:rsidRDefault="00414D90" w:rsidP="00414D90">
            <w:pPr>
              <w:spacing w:after="0" w:line="480" w:lineRule="auto"/>
              <w:jc w:val="center"/>
              <w:rPr>
                <w:rFonts w:asciiTheme="majorBidi" w:hAnsiTheme="majorBidi" w:cstheme="majorBidi"/>
                <w:color w:val="000000"/>
                <w:sz w:val="18"/>
                <w:szCs w:val="18"/>
              </w:rPr>
            </w:pPr>
            <w:r w:rsidRPr="000A49D8">
              <w:rPr>
                <w:rFonts w:asciiTheme="majorBidi" w:hAnsiTheme="majorBidi" w:cstheme="majorBidi"/>
                <w:color w:val="000000"/>
                <w:sz w:val="18"/>
                <w:szCs w:val="18"/>
              </w:rPr>
              <w:t>0.39</w:t>
            </w:r>
          </w:p>
        </w:tc>
        <w:tc>
          <w:tcPr>
            <w:tcW w:w="1596" w:type="dxa"/>
            <w:vMerge w:val="restart"/>
            <w:tcBorders>
              <w:top w:val="single" w:sz="4" w:space="0" w:color="auto"/>
            </w:tcBorders>
            <w:vAlign w:val="center"/>
          </w:tcPr>
          <w:p w14:paraId="1F0CF285" w14:textId="21BBF938" w:rsidR="00414D90" w:rsidRPr="001763D9" w:rsidRDefault="00414D90" w:rsidP="00414D90">
            <w:pPr>
              <w:spacing w:after="0" w:line="480" w:lineRule="auto"/>
              <w:jc w:val="center"/>
              <w:rPr>
                <w:rFonts w:asciiTheme="majorBidi" w:hAnsiTheme="majorBidi" w:cstheme="majorBidi"/>
                <w:color w:val="000000"/>
                <w:sz w:val="18"/>
                <w:szCs w:val="18"/>
              </w:rPr>
            </w:pPr>
            <w:r w:rsidRPr="00F8765D">
              <w:rPr>
                <w:rFonts w:asciiTheme="majorBidi" w:hAnsiTheme="majorBidi" w:cstheme="majorBidi"/>
                <w:color w:val="000000"/>
                <w:sz w:val="18"/>
                <w:szCs w:val="18"/>
              </w:rPr>
              <w:t>0.02</w:t>
            </w:r>
          </w:p>
        </w:tc>
        <w:tc>
          <w:tcPr>
            <w:tcW w:w="1076" w:type="dxa"/>
            <w:vMerge w:val="restart"/>
            <w:tcBorders>
              <w:top w:val="single" w:sz="4" w:space="0" w:color="auto"/>
            </w:tcBorders>
            <w:vAlign w:val="center"/>
          </w:tcPr>
          <w:p w14:paraId="4EC0A9FD" w14:textId="1255DF2D" w:rsidR="00414D9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color w:val="000000"/>
                <w:sz w:val="18"/>
                <w:szCs w:val="18"/>
              </w:rPr>
              <w:t>0.29</w:t>
            </w:r>
          </w:p>
        </w:tc>
      </w:tr>
      <w:tr w:rsidR="00414D90" w:rsidRPr="001763D9" w14:paraId="7521E241" w14:textId="77777777" w:rsidTr="0042622E">
        <w:tc>
          <w:tcPr>
            <w:tcW w:w="1869" w:type="dxa"/>
            <w:tcBorders>
              <w:top w:val="nil"/>
              <w:bottom w:val="dotted" w:sz="4" w:space="0" w:color="auto"/>
            </w:tcBorders>
            <w:shd w:val="clear" w:color="auto" w:fill="auto"/>
          </w:tcPr>
          <w:p w14:paraId="2E84E033"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3A99D048"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642.12 (14.6)</w:t>
            </w:r>
          </w:p>
        </w:tc>
        <w:tc>
          <w:tcPr>
            <w:tcW w:w="1249" w:type="dxa"/>
            <w:tcBorders>
              <w:top w:val="nil"/>
              <w:bottom w:val="dotted" w:sz="4" w:space="0" w:color="auto"/>
            </w:tcBorders>
            <w:shd w:val="clear" w:color="auto" w:fill="auto"/>
          </w:tcPr>
          <w:p w14:paraId="39D8262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584.73 (13.2)</w:t>
            </w:r>
          </w:p>
        </w:tc>
        <w:tc>
          <w:tcPr>
            <w:tcW w:w="1236" w:type="dxa"/>
            <w:tcBorders>
              <w:top w:val="nil"/>
              <w:bottom w:val="dotted" w:sz="4" w:space="0" w:color="auto"/>
            </w:tcBorders>
            <w:shd w:val="clear" w:color="auto" w:fill="auto"/>
          </w:tcPr>
          <w:p w14:paraId="343BC73C"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551.52 (15.9)</w:t>
            </w:r>
          </w:p>
        </w:tc>
        <w:tc>
          <w:tcPr>
            <w:tcW w:w="1053" w:type="dxa"/>
            <w:vMerge/>
            <w:tcBorders>
              <w:bottom w:val="dotted" w:sz="4" w:space="0" w:color="auto"/>
            </w:tcBorders>
            <w:shd w:val="clear" w:color="auto" w:fill="auto"/>
            <w:vAlign w:val="center"/>
          </w:tcPr>
          <w:p w14:paraId="74571D50"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4D0C821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73E6B7B0"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60FB55CC" w14:textId="77777777" w:rsidTr="0042622E">
        <w:trPr>
          <w:trHeight w:val="241"/>
        </w:trPr>
        <w:tc>
          <w:tcPr>
            <w:tcW w:w="1869" w:type="dxa"/>
            <w:tcBorders>
              <w:top w:val="dotted" w:sz="4" w:space="0" w:color="auto"/>
            </w:tcBorders>
            <w:shd w:val="clear" w:color="auto" w:fill="auto"/>
          </w:tcPr>
          <w:p w14:paraId="2FF1D99D" w14:textId="77777777" w:rsidR="00414D90" w:rsidRPr="001763D9" w:rsidRDefault="00414D90" w:rsidP="00414D9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SLV (mm)</w:t>
            </w:r>
          </w:p>
        </w:tc>
        <w:tc>
          <w:tcPr>
            <w:tcW w:w="1281" w:type="dxa"/>
            <w:tcBorders>
              <w:top w:val="dotted" w:sz="4" w:space="0" w:color="auto"/>
            </w:tcBorders>
            <w:shd w:val="clear" w:color="auto" w:fill="auto"/>
          </w:tcPr>
          <w:p w14:paraId="6C363B9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77981A37"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2132A997"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2FA0D834"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tcBorders>
              <w:top w:val="dotted" w:sz="4" w:space="0" w:color="auto"/>
              <w:bottom w:val="nil"/>
            </w:tcBorders>
            <w:vAlign w:val="center"/>
          </w:tcPr>
          <w:p w14:paraId="48930E45"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tcBorders>
              <w:top w:val="dotted" w:sz="4" w:space="0" w:color="auto"/>
              <w:bottom w:val="nil"/>
            </w:tcBorders>
            <w:vAlign w:val="center"/>
          </w:tcPr>
          <w:p w14:paraId="4C973C91"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414D90" w:rsidRPr="001763D9" w14:paraId="61DAC42F" w14:textId="77777777" w:rsidTr="0042622E">
        <w:tc>
          <w:tcPr>
            <w:tcW w:w="1869" w:type="dxa"/>
            <w:shd w:val="clear" w:color="auto" w:fill="auto"/>
          </w:tcPr>
          <w:p w14:paraId="25176C1F" w14:textId="77777777" w:rsidR="00414D90" w:rsidRPr="001763D9" w:rsidRDefault="00414D90" w:rsidP="00414D9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0E9BA227"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30.03 (3.7)</w:t>
            </w:r>
          </w:p>
        </w:tc>
        <w:tc>
          <w:tcPr>
            <w:tcW w:w="1249" w:type="dxa"/>
            <w:shd w:val="clear" w:color="auto" w:fill="auto"/>
          </w:tcPr>
          <w:p w14:paraId="03A87130"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31.5 (3.3)</w:t>
            </w:r>
          </w:p>
        </w:tc>
        <w:tc>
          <w:tcPr>
            <w:tcW w:w="1236" w:type="dxa"/>
            <w:shd w:val="clear" w:color="auto" w:fill="auto"/>
          </w:tcPr>
          <w:p w14:paraId="700AE8B2"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32.22 (4.1)</w:t>
            </w:r>
          </w:p>
        </w:tc>
        <w:tc>
          <w:tcPr>
            <w:tcW w:w="1053" w:type="dxa"/>
            <w:vMerge w:val="restart"/>
            <w:tcBorders>
              <w:top w:val="nil"/>
              <w:bottom w:val="single" w:sz="4" w:space="0" w:color="auto"/>
            </w:tcBorders>
            <w:shd w:val="clear" w:color="auto" w:fill="auto"/>
            <w:vAlign w:val="center"/>
          </w:tcPr>
          <w:p w14:paraId="6D8DDF96"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0.606</w:t>
            </w:r>
          </w:p>
        </w:tc>
        <w:tc>
          <w:tcPr>
            <w:tcW w:w="1596" w:type="dxa"/>
            <w:vMerge w:val="restart"/>
            <w:tcBorders>
              <w:top w:val="nil"/>
              <w:bottom w:val="single" w:sz="4" w:space="0" w:color="auto"/>
            </w:tcBorders>
            <w:vAlign w:val="center"/>
          </w:tcPr>
          <w:p w14:paraId="76C75F1F" w14:textId="77777777" w:rsidR="00414D90" w:rsidRPr="001763D9" w:rsidRDefault="00414D90" w:rsidP="00414D9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0.527</w:t>
            </w:r>
          </w:p>
        </w:tc>
        <w:tc>
          <w:tcPr>
            <w:tcW w:w="1076" w:type="dxa"/>
            <w:vMerge w:val="restart"/>
            <w:tcBorders>
              <w:top w:val="nil"/>
              <w:bottom w:val="single" w:sz="4" w:space="0" w:color="auto"/>
            </w:tcBorders>
            <w:vAlign w:val="center"/>
          </w:tcPr>
          <w:p w14:paraId="59991C2D"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0.069</w:t>
            </w:r>
          </w:p>
        </w:tc>
      </w:tr>
      <w:tr w:rsidR="00414D90" w:rsidRPr="001763D9" w14:paraId="12D8A69D" w14:textId="77777777" w:rsidTr="0042622E">
        <w:tc>
          <w:tcPr>
            <w:tcW w:w="1869" w:type="dxa"/>
            <w:shd w:val="clear" w:color="auto" w:fill="auto"/>
          </w:tcPr>
          <w:p w14:paraId="20A5371D" w14:textId="77777777" w:rsidR="00414D90" w:rsidRPr="001763D9" w:rsidRDefault="00414D90" w:rsidP="00414D9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7D40068F"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36.04 (3.9)</w:t>
            </w:r>
          </w:p>
        </w:tc>
        <w:tc>
          <w:tcPr>
            <w:tcW w:w="1249" w:type="dxa"/>
            <w:shd w:val="clear" w:color="auto" w:fill="auto"/>
          </w:tcPr>
          <w:p w14:paraId="1C48908A"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29.52 (3.3)</w:t>
            </w:r>
          </w:p>
        </w:tc>
        <w:tc>
          <w:tcPr>
            <w:tcW w:w="1236" w:type="dxa"/>
            <w:shd w:val="clear" w:color="auto" w:fill="auto"/>
          </w:tcPr>
          <w:p w14:paraId="26DDC9E3" w14:textId="77777777" w:rsidR="00414D90" w:rsidRPr="001763D9" w:rsidRDefault="00414D90" w:rsidP="00414D9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33.86 (4.2)</w:t>
            </w:r>
          </w:p>
        </w:tc>
        <w:tc>
          <w:tcPr>
            <w:tcW w:w="1053" w:type="dxa"/>
            <w:vMerge/>
            <w:tcBorders>
              <w:top w:val="nil"/>
              <w:bottom w:val="single" w:sz="4" w:space="0" w:color="auto"/>
            </w:tcBorders>
            <w:shd w:val="clear" w:color="auto" w:fill="auto"/>
            <w:vAlign w:val="center"/>
          </w:tcPr>
          <w:p w14:paraId="2596D572"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268730EF"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2B6D1558" w14:textId="77777777" w:rsidR="00414D90" w:rsidRPr="001763D9" w:rsidRDefault="00414D90" w:rsidP="00414D90">
            <w:pPr>
              <w:spacing w:after="0" w:line="480" w:lineRule="auto"/>
              <w:jc w:val="center"/>
              <w:rPr>
                <w:rFonts w:asciiTheme="majorBidi" w:hAnsiTheme="majorBidi" w:cstheme="majorBidi"/>
                <w:color w:val="000000"/>
                <w:sz w:val="18"/>
                <w:szCs w:val="18"/>
              </w:rPr>
            </w:pPr>
          </w:p>
        </w:tc>
      </w:tr>
      <w:tr w:rsidR="00AD0B40" w:rsidRPr="001763D9" w14:paraId="371193EE" w14:textId="77777777" w:rsidTr="0042622E">
        <w:tc>
          <w:tcPr>
            <w:tcW w:w="1869" w:type="dxa"/>
            <w:tcBorders>
              <w:bottom w:val="nil"/>
            </w:tcBorders>
            <w:shd w:val="clear" w:color="auto" w:fill="auto"/>
          </w:tcPr>
          <w:p w14:paraId="1C7CA01E"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74175285"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30.43 (3.8)</w:t>
            </w:r>
          </w:p>
        </w:tc>
        <w:tc>
          <w:tcPr>
            <w:tcW w:w="1249" w:type="dxa"/>
            <w:tcBorders>
              <w:bottom w:val="nil"/>
            </w:tcBorders>
            <w:shd w:val="clear" w:color="auto" w:fill="auto"/>
          </w:tcPr>
          <w:p w14:paraId="3DC5BE4A"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37.6 (3.4)</w:t>
            </w:r>
          </w:p>
        </w:tc>
        <w:tc>
          <w:tcPr>
            <w:tcW w:w="1236" w:type="dxa"/>
            <w:tcBorders>
              <w:bottom w:val="nil"/>
            </w:tcBorders>
            <w:shd w:val="clear" w:color="auto" w:fill="auto"/>
          </w:tcPr>
          <w:p w14:paraId="6621EE07"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39.48 (4.3)</w:t>
            </w:r>
          </w:p>
        </w:tc>
        <w:tc>
          <w:tcPr>
            <w:tcW w:w="1053" w:type="dxa"/>
            <w:vMerge w:val="restart"/>
            <w:tcBorders>
              <w:top w:val="single" w:sz="4" w:space="0" w:color="auto"/>
            </w:tcBorders>
            <w:shd w:val="clear" w:color="auto" w:fill="auto"/>
            <w:vAlign w:val="center"/>
          </w:tcPr>
          <w:p w14:paraId="3EB577E2" w14:textId="070776BB" w:rsidR="00AD0B40" w:rsidRPr="001763D9" w:rsidRDefault="00AD0B40" w:rsidP="00AD0B40">
            <w:pPr>
              <w:spacing w:after="0" w:line="480" w:lineRule="auto"/>
              <w:jc w:val="center"/>
              <w:rPr>
                <w:rFonts w:asciiTheme="majorBidi" w:hAnsiTheme="majorBidi" w:cstheme="majorBidi"/>
                <w:color w:val="000000"/>
                <w:sz w:val="18"/>
                <w:szCs w:val="18"/>
              </w:rPr>
            </w:pPr>
            <w:r w:rsidRPr="00AA6DF6">
              <w:rPr>
                <w:rFonts w:asciiTheme="majorBidi" w:hAnsiTheme="majorBidi" w:cstheme="majorBidi"/>
                <w:color w:val="000000"/>
                <w:sz w:val="18"/>
                <w:szCs w:val="18"/>
              </w:rPr>
              <w:t>0.09</w:t>
            </w:r>
          </w:p>
        </w:tc>
        <w:tc>
          <w:tcPr>
            <w:tcW w:w="1596" w:type="dxa"/>
            <w:vMerge w:val="restart"/>
            <w:tcBorders>
              <w:top w:val="single" w:sz="4" w:space="0" w:color="auto"/>
            </w:tcBorders>
            <w:vAlign w:val="center"/>
          </w:tcPr>
          <w:p w14:paraId="52C4DDCF" w14:textId="37CDFA85" w:rsidR="00AD0B40" w:rsidRPr="001763D9" w:rsidRDefault="00AD0B40" w:rsidP="00AD0B40">
            <w:pPr>
              <w:spacing w:after="0" w:line="480" w:lineRule="auto"/>
              <w:jc w:val="center"/>
              <w:rPr>
                <w:rFonts w:asciiTheme="majorBidi" w:hAnsiTheme="majorBidi" w:cstheme="majorBidi"/>
                <w:color w:val="000000"/>
                <w:sz w:val="18"/>
                <w:szCs w:val="18"/>
              </w:rPr>
            </w:pPr>
            <w:r w:rsidRPr="00F8765D">
              <w:rPr>
                <w:rFonts w:asciiTheme="majorBidi" w:hAnsiTheme="majorBidi" w:cstheme="majorBidi"/>
                <w:color w:val="000000"/>
                <w:sz w:val="18"/>
                <w:szCs w:val="18"/>
              </w:rPr>
              <w:t>0.10</w:t>
            </w:r>
          </w:p>
        </w:tc>
        <w:tc>
          <w:tcPr>
            <w:tcW w:w="1076" w:type="dxa"/>
            <w:vMerge w:val="restart"/>
            <w:tcBorders>
              <w:top w:val="single" w:sz="4" w:space="0" w:color="auto"/>
            </w:tcBorders>
            <w:vAlign w:val="center"/>
          </w:tcPr>
          <w:p w14:paraId="657E3DB1" w14:textId="0EA2A78F" w:rsidR="00AD0B4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sz w:val="18"/>
                <w:szCs w:val="18"/>
              </w:rPr>
              <w:t>0.10</w:t>
            </w:r>
          </w:p>
        </w:tc>
      </w:tr>
      <w:tr w:rsidR="00AD0B40" w:rsidRPr="001763D9" w14:paraId="761A7AE1" w14:textId="77777777" w:rsidTr="0042622E">
        <w:tc>
          <w:tcPr>
            <w:tcW w:w="1869" w:type="dxa"/>
            <w:tcBorders>
              <w:top w:val="nil"/>
              <w:bottom w:val="dotted" w:sz="4" w:space="0" w:color="auto"/>
            </w:tcBorders>
            <w:shd w:val="clear" w:color="auto" w:fill="auto"/>
          </w:tcPr>
          <w:p w14:paraId="3864E921"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12505E66"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25.57 (3.9)</w:t>
            </w:r>
          </w:p>
        </w:tc>
        <w:tc>
          <w:tcPr>
            <w:tcW w:w="1249" w:type="dxa"/>
            <w:tcBorders>
              <w:top w:val="nil"/>
              <w:bottom w:val="dotted" w:sz="4" w:space="0" w:color="auto"/>
            </w:tcBorders>
            <w:shd w:val="clear" w:color="auto" w:fill="auto"/>
          </w:tcPr>
          <w:p w14:paraId="30422681"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36.38 (3.8)</w:t>
            </w:r>
          </w:p>
        </w:tc>
        <w:tc>
          <w:tcPr>
            <w:tcW w:w="1236" w:type="dxa"/>
            <w:tcBorders>
              <w:top w:val="nil"/>
              <w:bottom w:val="dotted" w:sz="4" w:space="0" w:color="auto"/>
            </w:tcBorders>
            <w:shd w:val="clear" w:color="auto" w:fill="auto"/>
          </w:tcPr>
          <w:p w14:paraId="74CBE639"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27.81 (4.2)</w:t>
            </w:r>
          </w:p>
        </w:tc>
        <w:tc>
          <w:tcPr>
            <w:tcW w:w="1053" w:type="dxa"/>
            <w:vMerge/>
            <w:tcBorders>
              <w:bottom w:val="dotted" w:sz="4" w:space="0" w:color="auto"/>
            </w:tcBorders>
            <w:shd w:val="clear" w:color="auto" w:fill="auto"/>
            <w:vAlign w:val="center"/>
          </w:tcPr>
          <w:p w14:paraId="4D4BFDDC"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7756C326"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56898E07"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r>
      <w:tr w:rsidR="00AD0B40" w:rsidRPr="001763D9" w14:paraId="6F4BE734" w14:textId="77777777" w:rsidTr="0042622E">
        <w:trPr>
          <w:trHeight w:val="243"/>
        </w:trPr>
        <w:tc>
          <w:tcPr>
            <w:tcW w:w="1869" w:type="dxa"/>
            <w:tcBorders>
              <w:top w:val="dotted" w:sz="4" w:space="0" w:color="auto"/>
            </w:tcBorders>
            <w:shd w:val="clear" w:color="auto" w:fill="auto"/>
          </w:tcPr>
          <w:p w14:paraId="70E90FDB" w14:textId="77777777" w:rsidR="00AD0B40" w:rsidRPr="001763D9" w:rsidRDefault="00AD0B40" w:rsidP="00AD0B4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Speed (m/s)</w:t>
            </w:r>
          </w:p>
        </w:tc>
        <w:tc>
          <w:tcPr>
            <w:tcW w:w="1281" w:type="dxa"/>
            <w:tcBorders>
              <w:top w:val="dotted" w:sz="4" w:space="0" w:color="auto"/>
            </w:tcBorders>
            <w:shd w:val="clear" w:color="auto" w:fill="auto"/>
          </w:tcPr>
          <w:p w14:paraId="38124A28"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30B3B547"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793E28F9"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60B6E3E6"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c>
          <w:tcPr>
            <w:tcW w:w="1596" w:type="dxa"/>
            <w:tcBorders>
              <w:top w:val="dotted" w:sz="4" w:space="0" w:color="auto"/>
              <w:bottom w:val="nil"/>
            </w:tcBorders>
            <w:vAlign w:val="center"/>
          </w:tcPr>
          <w:p w14:paraId="6351C9BE"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c>
          <w:tcPr>
            <w:tcW w:w="1076" w:type="dxa"/>
            <w:tcBorders>
              <w:top w:val="dotted" w:sz="4" w:space="0" w:color="auto"/>
              <w:bottom w:val="nil"/>
            </w:tcBorders>
            <w:vAlign w:val="center"/>
          </w:tcPr>
          <w:p w14:paraId="53B55A09"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r>
      <w:tr w:rsidR="00AD0B40" w:rsidRPr="001763D9" w14:paraId="21241DAF" w14:textId="77777777" w:rsidTr="0042622E">
        <w:tc>
          <w:tcPr>
            <w:tcW w:w="1869" w:type="dxa"/>
            <w:shd w:val="clear" w:color="auto" w:fill="auto"/>
          </w:tcPr>
          <w:p w14:paraId="4DF1B139" w14:textId="77777777" w:rsidR="00AD0B40" w:rsidRPr="001763D9" w:rsidRDefault="00AD0B40" w:rsidP="00AD0B4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4C28B0F2"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0.97 (0.04)</w:t>
            </w:r>
          </w:p>
        </w:tc>
        <w:tc>
          <w:tcPr>
            <w:tcW w:w="1249" w:type="dxa"/>
            <w:shd w:val="clear" w:color="auto" w:fill="auto"/>
          </w:tcPr>
          <w:p w14:paraId="50191A91"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0.84 (0.03)</w:t>
            </w:r>
          </w:p>
        </w:tc>
        <w:tc>
          <w:tcPr>
            <w:tcW w:w="1236" w:type="dxa"/>
            <w:shd w:val="clear" w:color="auto" w:fill="auto"/>
          </w:tcPr>
          <w:p w14:paraId="6E1D00AB"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0.85 (0.04)</w:t>
            </w:r>
          </w:p>
        </w:tc>
        <w:tc>
          <w:tcPr>
            <w:tcW w:w="1053" w:type="dxa"/>
            <w:vMerge w:val="restart"/>
            <w:tcBorders>
              <w:top w:val="nil"/>
              <w:bottom w:val="single" w:sz="4" w:space="0" w:color="auto"/>
            </w:tcBorders>
            <w:shd w:val="clear" w:color="auto" w:fill="auto"/>
            <w:vAlign w:val="center"/>
          </w:tcPr>
          <w:p w14:paraId="69AF91B6"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0.014</w:t>
            </w:r>
          </w:p>
        </w:tc>
        <w:tc>
          <w:tcPr>
            <w:tcW w:w="1596" w:type="dxa"/>
            <w:vMerge w:val="restart"/>
            <w:tcBorders>
              <w:top w:val="nil"/>
              <w:bottom w:val="single" w:sz="4" w:space="0" w:color="auto"/>
            </w:tcBorders>
            <w:vAlign w:val="center"/>
          </w:tcPr>
          <w:p w14:paraId="0F75DB0C"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0.066</w:t>
            </w:r>
          </w:p>
        </w:tc>
        <w:tc>
          <w:tcPr>
            <w:tcW w:w="1076" w:type="dxa"/>
            <w:vMerge w:val="restart"/>
            <w:tcBorders>
              <w:top w:val="nil"/>
              <w:bottom w:val="single" w:sz="4" w:space="0" w:color="auto"/>
            </w:tcBorders>
            <w:vAlign w:val="center"/>
          </w:tcPr>
          <w:p w14:paraId="37610C5D"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0.359</w:t>
            </w:r>
          </w:p>
        </w:tc>
      </w:tr>
      <w:tr w:rsidR="00AD0B40" w:rsidRPr="001763D9" w14:paraId="5EC592DF" w14:textId="77777777" w:rsidTr="0042622E">
        <w:tc>
          <w:tcPr>
            <w:tcW w:w="1869" w:type="dxa"/>
            <w:shd w:val="clear" w:color="auto" w:fill="auto"/>
          </w:tcPr>
          <w:p w14:paraId="01938A82"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14355F17"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1.01 (0.04)</w:t>
            </w:r>
          </w:p>
        </w:tc>
        <w:tc>
          <w:tcPr>
            <w:tcW w:w="1249" w:type="dxa"/>
            <w:shd w:val="clear" w:color="auto" w:fill="auto"/>
          </w:tcPr>
          <w:p w14:paraId="5E8DC23B"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0.89 (0.03)</w:t>
            </w:r>
          </w:p>
        </w:tc>
        <w:tc>
          <w:tcPr>
            <w:tcW w:w="1236" w:type="dxa"/>
            <w:shd w:val="clear" w:color="auto" w:fill="auto"/>
          </w:tcPr>
          <w:p w14:paraId="7F6144B5"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0.85 (0.04)</w:t>
            </w:r>
          </w:p>
        </w:tc>
        <w:tc>
          <w:tcPr>
            <w:tcW w:w="1053" w:type="dxa"/>
            <w:vMerge/>
            <w:tcBorders>
              <w:top w:val="nil"/>
              <w:bottom w:val="single" w:sz="4" w:space="0" w:color="auto"/>
            </w:tcBorders>
            <w:shd w:val="clear" w:color="auto" w:fill="auto"/>
            <w:vAlign w:val="center"/>
          </w:tcPr>
          <w:p w14:paraId="5195D23B"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7BAF12A6"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066B55C1"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r>
      <w:tr w:rsidR="00AD0B40" w:rsidRPr="001763D9" w14:paraId="62CA120F" w14:textId="77777777" w:rsidTr="0042622E">
        <w:tc>
          <w:tcPr>
            <w:tcW w:w="1869" w:type="dxa"/>
            <w:tcBorders>
              <w:bottom w:val="nil"/>
            </w:tcBorders>
            <w:shd w:val="clear" w:color="auto" w:fill="auto"/>
          </w:tcPr>
          <w:p w14:paraId="5CA052F8"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tcBorders>
              <w:bottom w:val="nil"/>
            </w:tcBorders>
            <w:shd w:val="clear" w:color="auto" w:fill="auto"/>
          </w:tcPr>
          <w:p w14:paraId="0D9BEBC2"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1.007 (0.04)</w:t>
            </w:r>
          </w:p>
        </w:tc>
        <w:tc>
          <w:tcPr>
            <w:tcW w:w="1249" w:type="dxa"/>
            <w:tcBorders>
              <w:bottom w:val="nil"/>
            </w:tcBorders>
            <w:shd w:val="clear" w:color="auto" w:fill="auto"/>
          </w:tcPr>
          <w:p w14:paraId="31B02807"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0.88 (0.03)</w:t>
            </w:r>
          </w:p>
        </w:tc>
        <w:tc>
          <w:tcPr>
            <w:tcW w:w="1236" w:type="dxa"/>
            <w:tcBorders>
              <w:bottom w:val="nil"/>
            </w:tcBorders>
            <w:shd w:val="clear" w:color="auto" w:fill="auto"/>
          </w:tcPr>
          <w:p w14:paraId="4DFC5102"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0.82 (0.04)</w:t>
            </w:r>
          </w:p>
        </w:tc>
        <w:tc>
          <w:tcPr>
            <w:tcW w:w="1053" w:type="dxa"/>
            <w:vMerge w:val="restart"/>
            <w:tcBorders>
              <w:top w:val="single" w:sz="4" w:space="0" w:color="auto"/>
            </w:tcBorders>
            <w:shd w:val="clear" w:color="auto" w:fill="auto"/>
            <w:vAlign w:val="center"/>
          </w:tcPr>
          <w:p w14:paraId="63BCA9F8" w14:textId="5395ABC1" w:rsidR="00AD0B40" w:rsidRPr="001763D9" w:rsidRDefault="00AD0B40" w:rsidP="00AD0B40">
            <w:pPr>
              <w:spacing w:after="0" w:line="480" w:lineRule="auto"/>
              <w:jc w:val="center"/>
              <w:rPr>
                <w:rFonts w:asciiTheme="majorBidi" w:hAnsiTheme="majorBidi" w:cstheme="majorBidi"/>
                <w:color w:val="000000"/>
                <w:sz w:val="18"/>
                <w:szCs w:val="18"/>
              </w:rPr>
            </w:pPr>
            <w:r w:rsidRPr="00AA6DF6">
              <w:rPr>
                <w:rFonts w:asciiTheme="majorBidi" w:hAnsiTheme="majorBidi" w:cstheme="majorBidi"/>
                <w:color w:val="000000"/>
                <w:sz w:val="18"/>
                <w:szCs w:val="18"/>
              </w:rPr>
              <w:t>0.30</w:t>
            </w:r>
          </w:p>
        </w:tc>
        <w:tc>
          <w:tcPr>
            <w:tcW w:w="1596" w:type="dxa"/>
            <w:vMerge w:val="restart"/>
            <w:tcBorders>
              <w:top w:val="single" w:sz="4" w:space="0" w:color="auto"/>
            </w:tcBorders>
            <w:vAlign w:val="center"/>
          </w:tcPr>
          <w:p w14:paraId="57D16CAE" w14:textId="4BA895BF" w:rsidR="00AD0B40" w:rsidRPr="001763D9" w:rsidRDefault="00AD0B40" w:rsidP="00AD0B40">
            <w:pPr>
              <w:spacing w:after="0" w:line="480" w:lineRule="auto"/>
              <w:jc w:val="center"/>
              <w:rPr>
                <w:rFonts w:asciiTheme="majorBidi" w:hAnsiTheme="majorBidi" w:cstheme="majorBidi"/>
                <w:color w:val="000000"/>
                <w:sz w:val="18"/>
                <w:szCs w:val="18"/>
              </w:rPr>
            </w:pPr>
            <w:r w:rsidRPr="00F8765D">
              <w:rPr>
                <w:rFonts w:asciiTheme="majorBidi" w:hAnsiTheme="majorBidi" w:cstheme="majorBidi"/>
                <w:sz w:val="18"/>
                <w:szCs w:val="18"/>
              </w:rPr>
              <w:t>0.02</w:t>
            </w:r>
          </w:p>
        </w:tc>
        <w:tc>
          <w:tcPr>
            <w:tcW w:w="1076" w:type="dxa"/>
            <w:vMerge w:val="restart"/>
            <w:tcBorders>
              <w:top w:val="single" w:sz="4" w:space="0" w:color="auto"/>
            </w:tcBorders>
            <w:vAlign w:val="center"/>
          </w:tcPr>
          <w:p w14:paraId="18432408" w14:textId="7DBCA4EA" w:rsidR="00AD0B4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color w:val="000000"/>
                <w:sz w:val="18"/>
                <w:szCs w:val="18"/>
              </w:rPr>
              <w:t>0.24</w:t>
            </w:r>
          </w:p>
        </w:tc>
      </w:tr>
      <w:tr w:rsidR="00AD0B40" w:rsidRPr="001763D9" w14:paraId="3F77D714" w14:textId="77777777" w:rsidTr="0042622E">
        <w:tc>
          <w:tcPr>
            <w:tcW w:w="1869" w:type="dxa"/>
            <w:tcBorders>
              <w:top w:val="nil"/>
              <w:bottom w:val="dotted" w:sz="4" w:space="0" w:color="auto"/>
            </w:tcBorders>
            <w:shd w:val="clear" w:color="auto" w:fill="auto"/>
          </w:tcPr>
          <w:p w14:paraId="7D23AA67"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R20</w:t>
            </w:r>
          </w:p>
        </w:tc>
        <w:tc>
          <w:tcPr>
            <w:tcW w:w="1281" w:type="dxa"/>
            <w:tcBorders>
              <w:top w:val="nil"/>
              <w:bottom w:val="dotted" w:sz="4" w:space="0" w:color="auto"/>
            </w:tcBorders>
            <w:shd w:val="clear" w:color="auto" w:fill="auto"/>
          </w:tcPr>
          <w:p w14:paraId="5C4D3344"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1.03 (0.04)</w:t>
            </w:r>
          </w:p>
        </w:tc>
        <w:tc>
          <w:tcPr>
            <w:tcW w:w="1249" w:type="dxa"/>
            <w:tcBorders>
              <w:top w:val="nil"/>
              <w:bottom w:val="dotted" w:sz="4" w:space="0" w:color="auto"/>
            </w:tcBorders>
            <w:shd w:val="clear" w:color="auto" w:fill="auto"/>
          </w:tcPr>
          <w:p w14:paraId="18B4AFAB"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0.91 (0.03)</w:t>
            </w:r>
          </w:p>
        </w:tc>
        <w:tc>
          <w:tcPr>
            <w:tcW w:w="1236" w:type="dxa"/>
            <w:tcBorders>
              <w:top w:val="nil"/>
              <w:bottom w:val="dotted" w:sz="4" w:space="0" w:color="auto"/>
            </w:tcBorders>
            <w:shd w:val="clear" w:color="auto" w:fill="auto"/>
          </w:tcPr>
          <w:p w14:paraId="66C3DF2D"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0.85 (0.04)</w:t>
            </w:r>
          </w:p>
        </w:tc>
        <w:tc>
          <w:tcPr>
            <w:tcW w:w="1053" w:type="dxa"/>
            <w:vMerge/>
            <w:tcBorders>
              <w:bottom w:val="dotted" w:sz="4" w:space="0" w:color="auto"/>
            </w:tcBorders>
            <w:shd w:val="clear" w:color="auto" w:fill="auto"/>
            <w:vAlign w:val="center"/>
          </w:tcPr>
          <w:p w14:paraId="0355BA10"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596" w:type="dxa"/>
            <w:vMerge/>
            <w:tcBorders>
              <w:bottom w:val="dotted" w:sz="4" w:space="0" w:color="auto"/>
            </w:tcBorders>
            <w:vAlign w:val="center"/>
          </w:tcPr>
          <w:p w14:paraId="0ACF9CD5"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76" w:type="dxa"/>
            <w:vMerge/>
            <w:tcBorders>
              <w:bottom w:val="dotted" w:sz="4" w:space="0" w:color="auto"/>
            </w:tcBorders>
            <w:vAlign w:val="center"/>
          </w:tcPr>
          <w:p w14:paraId="59C04083"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r>
      <w:tr w:rsidR="00AD0B40" w:rsidRPr="001763D9" w14:paraId="043F5083" w14:textId="77777777" w:rsidTr="0042622E">
        <w:trPr>
          <w:trHeight w:val="255"/>
        </w:trPr>
        <w:tc>
          <w:tcPr>
            <w:tcW w:w="1869" w:type="dxa"/>
            <w:tcBorders>
              <w:top w:val="dotted" w:sz="4" w:space="0" w:color="auto"/>
            </w:tcBorders>
            <w:shd w:val="clear" w:color="auto" w:fill="auto"/>
          </w:tcPr>
          <w:p w14:paraId="7382ECE9" w14:textId="77777777" w:rsidR="00AD0B40" w:rsidRPr="001763D9" w:rsidRDefault="00AD0B40" w:rsidP="00AD0B40">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Cadence (steps/min)</w:t>
            </w:r>
          </w:p>
        </w:tc>
        <w:tc>
          <w:tcPr>
            <w:tcW w:w="1281" w:type="dxa"/>
            <w:tcBorders>
              <w:top w:val="dotted" w:sz="4" w:space="0" w:color="auto"/>
            </w:tcBorders>
            <w:shd w:val="clear" w:color="auto" w:fill="auto"/>
          </w:tcPr>
          <w:p w14:paraId="00C78DE6"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249" w:type="dxa"/>
            <w:tcBorders>
              <w:top w:val="dotted" w:sz="4" w:space="0" w:color="auto"/>
            </w:tcBorders>
            <w:shd w:val="clear" w:color="auto" w:fill="auto"/>
          </w:tcPr>
          <w:p w14:paraId="029B6FB9"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236" w:type="dxa"/>
            <w:tcBorders>
              <w:top w:val="dotted" w:sz="4" w:space="0" w:color="auto"/>
            </w:tcBorders>
            <w:shd w:val="clear" w:color="auto" w:fill="auto"/>
          </w:tcPr>
          <w:p w14:paraId="2019C468"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53" w:type="dxa"/>
            <w:tcBorders>
              <w:top w:val="dotted" w:sz="4" w:space="0" w:color="auto"/>
              <w:bottom w:val="nil"/>
            </w:tcBorders>
            <w:shd w:val="clear" w:color="auto" w:fill="auto"/>
            <w:vAlign w:val="center"/>
          </w:tcPr>
          <w:p w14:paraId="1790919A"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c>
          <w:tcPr>
            <w:tcW w:w="1596" w:type="dxa"/>
            <w:tcBorders>
              <w:top w:val="dotted" w:sz="4" w:space="0" w:color="auto"/>
              <w:bottom w:val="nil"/>
            </w:tcBorders>
            <w:vAlign w:val="center"/>
          </w:tcPr>
          <w:p w14:paraId="202E7489"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c>
          <w:tcPr>
            <w:tcW w:w="1076" w:type="dxa"/>
            <w:tcBorders>
              <w:top w:val="dotted" w:sz="4" w:space="0" w:color="auto"/>
              <w:bottom w:val="nil"/>
            </w:tcBorders>
            <w:vAlign w:val="center"/>
          </w:tcPr>
          <w:p w14:paraId="313974B7"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p>
        </w:tc>
      </w:tr>
      <w:tr w:rsidR="00AD0B40" w:rsidRPr="001763D9" w14:paraId="78C6BCBE" w14:textId="77777777" w:rsidTr="0042622E">
        <w:tc>
          <w:tcPr>
            <w:tcW w:w="1869" w:type="dxa"/>
            <w:shd w:val="clear" w:color="auto" w:fill="auto"/>
          </w:tcPr>
          <w:p w14:paraId="0C005A04" w14:textId="77777777" w:rsidR="00AD0B40" w:rsidRPr="001763D9" w:rsidRDefault="00AD0B40" w:rsidP="00AD0B40">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(Intercept)</w:t>
            </w:r>
          </w:p>
        </w:tc>
        <w:tc>
          <w:tcPr>
            <w:tcW w:w="1281" w:type="dxa"/>
            <w:shd w:val="clear" w:color="auto" w:fill="auto"/>
          </w:tcPr>
          <w:p w14:paraId="048A11ED"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148.35 (5.5)</w:t>
            </w:r>
          </w:p>
        </w:tc>
        <w:tc>
          <w:tcPr>
            <w:tcW w:w="1249" w:type="dxa"/>
            <w:shd w:val="clear" w:color="auto" w:fill="auto"/>
          </w:tcPr>
          <w:p w14:paraId="3FDE7159"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133.41 (5.02)</w:t>
            </w:r>
          </w:p>
        </w:tc>
        <w:tc>
          <w:tcPr>
            <w:tcW w:w="1236" w:type="dxa"/>
            <w:shd w:val="clear" w:color="auto" w:fill="auto"/>
          </w:tcPr>
          <w:p w14:paraId="53AF4706"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137.76 (6.04)</w:t>
            </w:r>
          </w:p>
        </w:tc>
        <w:tc>
          <w:tcPr>
            <w:tcW w:w="1053" w:type="dxa"/>
            <w:vMerge w:val="restart"/>
            <w:tcBorders>
              <w:top w:val="nil"/>
              <w:bottom w:val="single" w:sz="4" w:space="0" w:color="auto"/>
            </w:tcBorders>
            <w:shd w:val="clear" w:color="auto" w:fill="auto"/>
            <w:vAlign w:val="center"/>
          </w:tcPr>
          <w:p w14:paraId="064491B1" w14:textId="77777777" w:rsidR="00AD0B40" w:rsidRPr="001763D9" w:rsidRDefault="00AD0B40" w:rsidP="00AD0B40">
            <w:pPr>
              <w:spacing w:after="0" w:line="480" w:lineRule="auto"/>
              <w:jc w:val="center"/>
              <w:rPr>
                <w:rFonts w:asciiTheme="majorBidi" w:hAnsiTheme="majorBidi" w:cstheme="majorBidi"/>
                <w:b/>
                <w:bCs/>
                <w:color w:val="000000"/>
                <w:sz w:val="18"/>
                <w:szCs w:val="18"/>
                <w:vertAlign w:val="superscript"/>
              </w:rPr>
            </w:pPr>
            <w:r w:rsidRPr="001763D9">
              <w:rPr>
                <w:rFonts w:asciiTheme="majorBidi" w:hAnsiTheme="majorBidi" w:cstheme="majorBidi"/>
                <w:b/>
                <w:bCs/>
                <w:color w:val="000000"/>
                <w:sz w:val="18"/>
                <w:szCs w:val="18"/>
              </w:rPr>
              <w:t>0.019</w:t>
            </w:r>
          </w:p>
        </w:tc>
        <w:tc>
          <w:tcPr>
            <w:tcW w:w="1596" w:type="dxa"/>
            <w:vMerge w:val="restart"/>
            <w:tcBorders>
              <w:top w:val="nil"/>
              <w:bottom w:val="single" w:sz="4" w:space="0" w:color="auto"/>
            </w:tcBorders>
            <w:vAlign w:val="center"/>
          </w:tcPr>
          <w:p w14:paraId="0F95E4FB"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0.127</w:t>
            </w:r>
          </w:p>
        </w:tc>
        <w:tc>
          <w:tcPr>
            <w:tcW w:w="1076" w:type="dxa"/>
            <w:vMerge w:val="restart"/>
            <w:tcBorders>
              <w:top w:val="nil"/>
              <w:bottom w:val="single" w:sz="4" w:space="0" w:color="auto"/>
            </w:tcBorders>
            <w:vAlign w:val="center"/>
          </w:tcPr>
          <w:p w14:paraId="047E3513"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0.253</w:t>
            </w:r>
          </w:p>
        </w:tc>
      </w:tr>
      <w:tr w:rsidR="00AD0B40" w:rsidRPr="001763D9" w14:paraId="661F53AD" w14:textId="77777777" w:rsidTr="0042622E">
        <w:tc>
          <w:tcPr>
            <w:tcW w:w="1869" w:type="dxa"/>
            <w:shd w:val="clear" w:color="auto" w:fill="auto"/>
          </w:tcPr>
          <w:p w14:paraId="7B43B09E"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w:t>
            </w:r>
          </w:p>
        </w:tc>
        <w:tc>
          <w:tcPr>
            <w:tcW w:w="1281" w:type="dxa"/>
            <w:shd w:val="clear" w:color="auto" w:fill="auto"/>
          </w:tcPr>
          <w:p w14:paraId="6EDB974E"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153.07 (5.5)</w:t>
            </w:r>
          </w:p>
        </w:tc>
        <w:tc>
          <w:tcPr>
            <w:tcW w:w="1249" w:type="dxa"/>
            <w:shd w:val="clear" w:color="auto" w:fill="auto"/>
          </w:tcPr>
          <w:p w14:paraId="7948798D" w14:textId="77777777" w:rsidR="00AD0B40" w:rsidRPr="001763D9" w:rsidRDefault="00AD0B40" w:rsidP="00AD0B40">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138.56 (5.02)</w:t>
            </w:r>
          </w:p>
        </w:tc>
        <w:tc>
          <w:tcPr>
            <w:tcW w:w="1236" w:type="dxa"/>
            <w:shd w:val="clear" w:color="auto" w:fill="auto"/>
          </w:tcPr>
          <w:p w14:paraId="6C6C1DEA"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140.88 (6.1)</w:t>
            </w:r>
          </w:p>
        </w:tc>
        <w:tc>
          <w:tcPr>
            <w:tcW w:w="1053" w:type="dxa"/>
            <w:vMerge/>
            <w:tcBorders>
              <w:top w:val="nil"/>
              <w:bottom w:val="single" w:sz="4" w:space="0" w:color="auto"/>
            </w:tcBorders>
            <w:shd w:val="clear" w:color="auto" w:fill="auto"/>
            <w:vAlign w:val="center"/>
          </w:tcPr>
          <w:p w14:paraId="0AC4986A"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596" w:type="dxa"/>
            <w:vMerge/>
            <w:tcBorders>
              <w:top w:val="nil"/>
              <w:bottom w:val="single" w:sz="4" w:space="0" w:color="auto"/>
            </w:tcBorders>
            <w:vAlign w:val="center"/>
          </w:tcPr>
          <w:p w14:paraId="3317DE78"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76" w:type="dxa"/>
            <w:vMerge/>
            <w:tcBorders>
              <w:top w:val="nil"/>
              <w:bottom w:val="single" w:sz="4" w:space="0" w:color="auto"/>
            </w:tcBorders>
            <w:vAlign w:val="center"/>
          </w:tcPr>
          <w:p w14:paraId="35BE71C5"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r>
      <w:tr w:rsidR="00AD0B40" w:rsidRPr="001763D9" w14:paraId="18EF274A" w14:textId="77777777" w:rsidTr="0042622E">
        <w:tc>
          <w:tcPr>
            <w:tcW w:w="1869" w:type="dxa"/>
            <w:shd w:val="clear" w:color="auto" w:fill="auto"/>
          </w:tcPr>
          <w:p w14:paraId="5ADA0E21" w14:textId="77777777" w:rsidR="00AD0B40" w:rsidRPr="001763D9" w:rsidRDefault="00AD0B40" w:rsidP="00AD0B40">
            <w:pPr>
              <w:spacing w:after="0" w:line="480" w:lineRule="auto"/>
              <w:jc w:val="right"/>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w:t>
            </w:r>
          </w:p>
        </w:tc>
        <w:tc>
          <w:tcPr>
            <w:tcW w:w="1281" w:type="dxa"/>
            <w:shd w:val="clear" w:color="auto" w:fill="auto"/>
          </w:tcPr>
          <w:p w14:paraId="7A5CF29C"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159.62 (5.5)</w:t>
            </w:r>
          </w:p>
        </w:tc>
        <w:tc>
          <w:tcPr>
            <w:tcW w:w="1249" w:type="dxa"/>
            <w:shd w:val="clear" w:color="auto" w:fill="auto"/>
          </w:tcPr>
          <w:p w14:paraId="5AD436B8"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135.69 (5.06)</w:t>
            </w:r>
          </w:p>
        </w:tc>
        <w:tc>
          <w:tcPr>
            <w:tcW w:w="1236" w:type="dxa"/>
            <w:shd w:val="clear" w:color="auto" w:fill="auto"/>
          </w:tcPr>
          <w:p w14:paraId="1A4407FD"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136.99 (6.04)</w:t>
            </w:r>
          </w:p>
        </w:tc>
        <w:tc>
          <w:tcPr>
            <w:tcW w:w="1053" w:type="dxa"/>
            <w:vMerge w:val="restart"/>
            <w:tcBorders>
              <w:top w:val="single" w:sz="4" w:space="0" w:color="auto"/>
            </w:tcBorders>
            <w:shd w:val="clear" w:color="auto" w:fill="auto"/>
            <w:vAlign w:val="center"/>
          </w:tcPr>
          <w:p w14:paraId="3EF331E7" w14:textId="351AF1B2" w:rsidR="00AD0B40" w:rsidRPr="001763D9" w:rsidRDefault="00AD0B40" w:rsidP="00AD0B40">
            <w:pPr>
              <w:spacing w:after="0" w:line="480" w:lineRule="auto"/>
              <w:jc w:val="center"/>
              <w:rPr>
                <w:rFonts w:asciiTheme="majorBidi" w:hAnsiTheme="majorBidi" w:cstheme="majorBidi"/>
                <w:color w:val="000000"/>
                <w:sz w:val="18"/>
                <w:szCs w:val="18"/>
              </w:rPr>
            </w:pPr>
            <w:r w:rsidRPr="00AA6DF6">
              <w:rPr>
                <w:rFonts w:asciiTheme="majorBidi" w:hAnsiTheme="majorBidi" w:cstheme="majorBidi"/>
                <w:color w:val="000000"/>
                <w:sz w:val="18"/>
                <w:szCs w:val="18"/>
              </w:rPr>
              <w:t>0.20</w:t>
            </w:r>
          </w:p>
        </w:tc>
        <w:tc>
          <w:tcPr>
            <w:tcW w:w="1596" w:type="dxa"/>
            <w:vMerge w:val="restart"/>
            <w:tcBorders>
              <w:top w:val="single" w:sz="4" w:space="0" w:color="auto"/>
            </w:tcBorders>
            <w:vAlign w:val="center"/>
          </w:tcPr>
          <w:p w14:paraId="12CE3F37" w14:textId="649E9AB9" w:rsidR="00AD0B40" w:rsidRPr="001763D9" w:rsidRDefault="00AD0B40" w:rsidP="00AD0B40">
            <w:pPr>
              <w:spacing w:after="0" w:line="480" w:lineRule="auto"/>
              <w:jc w:val="center"/>
              <w:rPr>
                <w:rFonts w:asciiTheme="majorBidi" w:hAnsiTheme="majorBidi" w:cstheme="majorBidi"/>
                <w:color w:val="000000"/>
                <w:sz w:val="18"/>
                <w:szCs w:val="18"/>
              </w:rPr>
            </w:pPr>
            <w:r w:rsidRPr="00F8765D">
              <w:rPr>
                <w:rFonts w:asciiTheme="majorBidi" w:hAnsiTheme="majorBidi" w:cstheme="majorBidi"/>
                <w:color w:val="000000"/>
                <w:sz w:val="18"/>
                <w:szCs w:val="18"/>
              </w:rPr>
              <w:t>0.03</w:t>
            </w:r>
          </w:p>
        </w:tc>
        <w:tc>
          <w:tcPr>
            <w:tcW w:w="1076" w:type="dxa"/>
            <w:vMerge w:val="restart"/>
            <w:tcBorders>
              <w:top w:val="single" w:sz="4" w:space="0" w:color="auto"/>
            </w:tcBorders>
            <w:vAlign w:val="center"/>
          </w:tcPr>
          <w:p w14:paraId="0D5BE1B9" w14:textId="7618461F" w:rsidR="00AD0B40" w:rsidRPr="001763D9" w:rsidRDefault="00AD0B40" w:rsidP="00AD0B40">
            <w:pPr>
              <w:spacing w:after="0" w:line="480" w:lineRule="auto"/>
              <w:jc w:val="center"/>
              <w:rPr>
                <w:rFonts w:asciiTheme="majorBidi" w:hAnsiTheme="majorBidi" w:cstheme="majorBidi"/>
                <w:color w:val="000000"/>
                <w:sz w:val="18"/>
                <w:szCs w:val="18"/>
              </w:rPr>
            </w:pPr>
            <w:r w:rsidRPr="00AD0B40">
              <w:rPr>
                <w:rFonts w:asciiTheme="majorBidi" w:hAnsiTheme="majorBidi" w:cstheme="majorBidi"/>
                <w:color w:val="000000"/>
                <w:sz w:val="18"/>
                <w:szCs w:val="18"/>
              </w:rPr>
              <w:t>0.18</w:t>
            </w:r>
          </w:p>
        </w:tc>
      </w:tr>
      <w:tr w:rsidR="00AD0B40" w:rsidRPr="001763D9" w14:paraId="0AD9E9F5" w14:textId="77777777" w:rsidTr="0042622E">
        <w:tc>
          <w:tcPr>
            <w:tcW w:w="1869" w:type="dxa"/>
            <w:tcBorders>
              <w:bottom w:val="single" w:sz="4" w:space="0" w:color="auto"/>
            </w:tcBorders>
            <w:shd w:val="clear" w:color="auto" w:fill="auto"/>
          </w:tcPr>
          <w:p w14:paraId="29C2F463" w14:textId="77777777" w:rsidR="00AD0B40" w:rsidRPr="001763D9" w:rsidRDefault="00AD0B40" w:rsidP="00AD0B40">
            <w:pPr>
              <w:spacing w:after="0" w:line="480" w:lineRule="auto"/>
              <w:jc w:val="right"/>
              <w:rPr>
                <w:rFonts w:asciiTheme="majorBidi" w:hAnsiTheme="majorBidi" w:cstheme="majorBidi"/>
                <w:color w:val="000000"/>
                <w:sz w:val="18"/>
                <w:szCs w:val="18"/>
              </w:rPr>
            </w:pPr>
            <w:r w:rsidRPr="001763D9">
              <w:rPr>
                <w:rFonts w:asciiTheme="majorBidi" w:hAnsiTheme="majorBidi" w:cstheme="majorBidi"/>
                <w:color w:val="000000"/>
                <w:sz w:val="18"/>
                <w:szCs w:val="18"/>
              </w:rPr>
              <w:t>R20</w:t>
            </w:r>
          </w:p>
        </w:tc>
        <w:tc>
          <w:tcPr>
            <w:tcW w:w="1281" w:type="dxa"/>
            <w:tcBorders>
              <w:bottom w:val="single" w:sz="4" w:space="0" w:color="auto"/>
            </w:tcBorders>
            <w:shd w:val="clear" w:color="auto" w:fill="auto"/>
          </w:tcPr>
          <w:p w14:paraId="37263DC7"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160.79 (5.5)</w:t>
            </w:r>
          </w:p>
        </w:tc>
        <w:tc>
          <w:tcPr>
            <w:tcW w:w="1249" w:type="dxa"/>
            <w:tcBorders>
              <w:bottom w:val="single" w:sz="4" w:space="0" w:color="auto"/>
            </w:tcBorders>
            <w:shd w:val="clear" w:color="auto" w:fill="auto"/>
          </w:tcPr>
          <w:p w14:paraId="511CBD87"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137.30 (5.3)</w:t>
            </w:r>
          </w:p>
        </w:tc>
        <w:tc>
          <w:tcPr>
            <w:tcW w:w="1236" w:type="dxa"/>
            <w:tcBorders>
              <w:bottom w:val="single" w:sz="4" w:space="0" w:color="auto"/>
            </w:tcBorders>
            <w:shd w:val="clear" w:color="auto" w:fill="auto"/>
          </w:tcPr>
          <w:p w14:paraId="569FD3C3" w14:textId="77777777" w:rsidR="00AD0B40" w:rsidRPr="001763D9" w:rsidRDefault="00AD0B40" w:rsidP="00AD0B40">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145.08 (6.04)</w:t>
            </w:r>
          </w:p>
        </w:tc>
        <w:tc>
          <w:tcPr>
            <w:tcW w:w="1053" w:type="dxa"/>
            <w:vMerge/>
            <w:tcBorders>
              <w:bottom w:val="single" w:sz="4" w:space="0" w:color="auto"/>
            </w:tcBorders>
            <w:shd w:val="clear" w:color="auto" w:fill="auto"/>
            <w:vAlign w:val="center"/>
          </w:tcPr>
          <w:p w14:paraId="4C8BB303"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596" w:type="dxa"/>
            <w:vMerge/>
            <w:tcBorders>
              <w:bottom w:val="single" w:sz="4" w:space="0" w:color="auto"/>
            </w:tcBorders>
            <w:vAlign w:val="center"/>
          </w:tcPr>
          <w:p w14:paraId="265F4565"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c>
          <w:tcPr>
            <w:tcW w:w="1076" w:type="dxa"/>
            <w:vMerge/>
            <w:tcBorders>
              <w:bottom w:val="single" w:sz="4" w:space="0" w:color="auto"/>
            </w:tcBorders>
            <w:vAlign w:val="center"/>
          </w:tcPr>
          <w:p w14:paraId="2FF5FC39" w14:textId="77777777" w:rsidR="00AD0B40" w:rsidRPr="001763D9" w:rsidRDefault="00AD0B40" w:rsidP="00AD0B40">
            <w:pPr>
              <w:spacing w:after="0" w:line="480" w:lineRule="auto"/>
              <w:jc w:val="center"/>
              <w:rPr>
                <w:rFonts w:asciiTheme="majorBidi" w:hAnsiTheme="majorBidi" w:cstheme="majorBidi"/>
                <w:color w:val="000000"/>
                <w:sz w:val="18"/>
                <w:szCs w:val="18"/>
              </w:rPr>
            </w:pPr>
          </w:p>
        </w:tc>
      </w:tr>
      <w:tr w:rsidR="00AD0B40" w:rsidRPr="001763D9" w14:paraId="0DC9606C" w14:textId="77777777" w:rsidTr="0081156E">
        <w:tc>
          <w:tcPr>
            <w:tcW w:w="9360" w:type="dxa"/>
            <w:gridSpan w:val="7"/>
            <w:tcBorders>
              <w:top w:val="single" w:sz="4" w:space="0" w:color="auto"/>
              <w:left w:val="nil"/>
              <w:bottom w:val="nil"/>
            </w:tcBorders>
            <w:shd w:val="clear" w:color="auto" w:fill="auto"/>
            <w:vAlign w:val="center"/>
          </w:tcPr>
          <w:p w14:paraId="64F107E9" w14:textId="40FBAF1A" w:rsidR="00AD0B40" w:rsidRPr="001763D9" w:rsidRDefault="00AD0B40" w:rsidP="00AD0B40">
            <w:pPr>
              <w:tabs>
                <w:tab w:val="left" w:pos="7513"/>
              </w:tabs>
              <w:spacing w:after="0" w:line="480" w:lineRule="auto"/>
              <w:rPr>
                <w:rFonts w:asciiTheme="majorBidi" w:hAnsiTheme="majorBidi" w:cstheme="majorBidi"/>
                <w:color w:val="000000"/>
                <w:sz w:val="18"/>
                <w:szCs w:val="18"/>
              </w:rPr>
            </w:pPr>
            <w:r w:rsidRPr="001763D9">
              <w:rPr>
                <w:rFonts w:asciiTheme="majorBidi" w:hAnsiTheme="majorBidi" w:cstheme="majorBidi"/>
                <w:color w:val="000000"/>
                <w:sz w:val="18"/>
                <w:szCs w:val="18"/>
              </w:rPr>
              <w:t>P values &lt; 0.05 was considered significant.</w:t>
            </w:r>
          </w:p>
        </w:tc>
      </w:tr>
    </w:tbl>
    <w:p w14:paraId="0184BC7F" w14:textId="77777777" w:rsidR="00626B98" w:rsidRPr="001763D9" w:rsidRDefault="00626B98" w:rsidP="00626B98">
      <w:pPr>
        <w:pStyle w:val="Caption"/>
        <w:keepNext/>
        <w:spacing w:line="480" w:lineRule="auto"/>
        <w:rPr>
          <w:rFonts w:asciiTheme="majorBidi" w:hAnsiTheme="majorBidi" w:cstheme="majorBidi"/>
          <w:b/>
          <w:bCs/>
          <w:i w:val="0"/>
          <w:iCs w:val="0"/>
          <w:color w:val="auto"/>
        </w:rPr>
      </w:pPr>
      <w:bookmarkStart w:id="6" w:name="_Ref798614"/>
      <w:r w:rsidRPr="001763D9">
        <w:rPr>
          <w:rFonts w:asciiTheme="majorBidi" w:hAnsiTheme="majorBidi" w:cstheme="majorBidi"/>
          <w:b/>
          <w:bCs/>
          <w:i w:val="0"/>
          <w:iCs w:val="0"/>
          <w:color w:val="auto"/>
        </w:rPr>
        <w:lastRenderedPageBreak/>
        <w:t xml:space="preserve">Table </w:t>
      </w:r>
      <w:r w:rsidRPr="001763D9">
        <w:rPr>
          <w:rFonts w:asciiTheme="majorBidi" w:hAnsiTheme="majorBidi" w:cstheme="majorBidi"/>
          <w:b/>
          <w:bCs/>
          <w:i w:val="0"/>
          <w:iCs w:val="0"/>
          <w:color w:val="auto"/>
        </w:rPr>
        <w:fldChar w:fldCharType="begin"/>
      </w:r>
      <w:r w:rsidRPr="001763D9">
        <w:rPr>
          <w:rFonts w:asciiTheme="majorBidi" w:hAnsiTheme="majorBidi" w:cstheme="majorBidi"/>
          <w:b/>
          <w:bCs/>
          <w:i w:val="0"/>
          <w:iCs w:val="0"/>
          <w:color w:val="auto"/>
        </w:rPr>
        <w:instrText xml:space="preserve"> SEQ Table \* ARABIC </w:instrText>
      </w:r>
      <w:r w:rsidRPr="001763D9">
        <w:rPr>
          <w:rFonts w:asciiTheme="majorBidi" w:hAnsiTheme="majorBidi" w:cstheme="majorBidi"/>
          <w:b/>
          <w:bCs/>
          <w:i w:val="0"/>
          <w:iCs w:val="0"/>
          <w:color w:val="auto"/>
        </w:rPr>
        <w:fldChar w:fldCharType="separate"/>
      </w:r>
      <w:r w:rsidR="001D1883">
        <w:rPr>
          <w:rFonts w:asciiTheme="majorBidi" w:hAnsiTheme="majorBidi" w:cstheme="majorBidi"/>
          <w:b/>
          <w:bCs/>
          <w:i w:val="0"/>
          <w:iCs w:val="0"/>
          <w:noProof/>
          <w:color w:val="auto"/>
        </w:rPr>
        <w:t>3</w:t>
      </w:r>
      <w:r w:rsidRPr="001763D9">
        <w:rPr>
          <w:rFonts w:asciiTheme="majorBidi" w:hAnsiTheme="majorBidi" w:cstheme="majorBidi"/>
          <w:b/>
          <w:bCs/>
          <w:i w:val="0"/>
          <w:iCs w:val="0"/>
          <w:color w:val="auto"/>
        </w:rPr>
        <w:fldChar w:fldCharType="end"/>
      </w:r>
      <w:bookmarkEnd w:id="6"/>
    </w:p>
    <w:p w14:paraId="5C3FFC86" w14:textId="77777777" w:rsidR="00626B98" w:rsidRPr="001763D9" w:rsidRDefault="00626B98" w:rsidP="00626B98">
      <w:pPr>
        <w:pStyle w:val="Caption"/>
        <w:keepNext/>
        <w:spacing w:line="480" w:lineRule="auto"/>
        <w:rPr>
          <w:rFonts w:asciiTheme="majorBidi" w:hAnsiTheme="majorBidi" w:cstheme="majorBidi"/>
          <w:i w:val="0"/>
          <w:iCs w:val="0"/>
          <w:color w:val="auto"/>
        </w:rPr>
      </w:pPr>
      <w:r w:rsidRPr="001763D9">
        <w:rPr>
          <w:rFonts w:asciiTheme="majorBidi" w:hAnsiTheme="majorBidi" w:cstheme="majorBidi"/>
          <w:i w:val="0"/>
          <w:iCs w:val="0"/>
          <w:color w:val="auto"/>
        </w:rPr>
        <w:t>Pairwise contrasts between test conditions for outcome measures in which main effect of experimental condition was significant</w:t>
      </w:r>
    </w:p>
    <w:tbl>
      <w:tblPr>
        <w:tblW w:w="0" w:type="auto"/>
        <w:tblBorders>
          <w:top w:val="single" w:sz="4" w:space="0" w:color="000000"/>
          <w:bottom w:val="single" w:sz="4" w:space="0" w:color="000000"/>
        </w:tblBorders>
        <w:tblLook w:val="04A0" w:firstRow="1" w:lastRow="0" w:firstColumn="1" w:lastColumn="0" w:noHBand="0" w:noVBand="1"/>
      </w:tblPr>
      <w:tblGrid>
        <w:gridCol w:w="1890"/>
        <w:gridCol w:w="1350"/>
        <w:gridCol w:w="990"/>
        <w:gridCol w:w="1260"/>
        <w:gridCol w:w="990"/>
        <w:gridCol w:w="1260"/>
        <w:gridCol w:w="990"/>
      </w:tblGrid>
      <w:tr w:rsidR="00626B98" w:rsidRPr="001763D9" w14:paraId="7A656674" w14:textId="77777777" w:rsidTr="001763D9">
        <w:trPr>
          <w:trHeight w:val="530"/>
        </w:trPr>
        <w:tc>
          <w:tcPr>
            <w:tcW w:w="1890" w:type="dxa"/>
            <w:tcBorders>
              <w:bottom w:val="single" w:sz="4" w:space="0" w:color="000000"/>
            </w:tcBorders>
            <w:shd w:val="clear" w:color="auto" w:fill="auto"/>
            <w:vAlign w:val="center"/>
          </w:tcPr>
          <w:p w14:paraId="1DC776DA"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Outcome measure</w:t>
            </w:r>
          </w:p>
        </w:tc>
        <w:tc>
          <w:tcPr>
            <w:tcW w:w="1350" w:type="dxa"/>
            <w:tcBorders>
              <w:bottom w:val="single" w:sz="4" w:space="0" w:color="000000"/>
            </w:tcBorders>
            <w:shd w:val="clear" w:color="auto" w:fill="auto"/>
            <w:vAlign w:val="center"/>
          </w:tcPr>
          <w:p w14:paraId="082743CB"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Healthy participants</w:t>
            </w:r>
          </w:p>
          <w:p w14:paraId="656077D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Estimate (SE)</w:t>
            </w:r>
          </w:p>
        </w:tc>
        <w:tc>
          <w:tcPr>
            <w:tcW w:w="990" w:type="dxa"/>
            <w:tcBorders>
              <w:bottom w:val="single" w:sz="4" w:space="0" w:color="000000"/>
            </w:tcBorders>
            <w:vAlign w:val="center"/>
          </w:tcPr>
          <w:p w14:paraId="40E37789"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Pairwise contrast</w:t>
            </w:r>
          </w:p>
          <w:p w14:paraId="716D8E38"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c>
          <w:tcPr>
            <w:tcW w:w="1260" w:type="dxa"/>
            <w:tcBorders>
              <w:bottom w:val="single" w:sz="4" w:space="0" w:color="000000"/>
            </w:tcBorders>
            <w:shd w:val="clear" w:color="auto" w:fill="auto"/>
            <w:vAlign w:val="center"/>
          </w:tcPr>
          <w:p w14:paraId="12F5F72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b/>
                <w:bCs/>
                <w:color w:val="000000"/>
                <w:sz w:val="18"/>
                <w:szCs w:val="18"/>
              </w:rPr>
              <w:t xml:space="preserve">Non-NDP </w:t>
            </w:r>
          </w:p>
          <w:p w14:paraId="01184481"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Estimate (SE)</w:t>
            </w:r>
          </w:p>
        </w:tc>
        <w:tc>
          <w:tcPr>
            <w:tcW w:w="990" w:type="dxa"/>
            <w:tcBorders>
              <w:bottom w:val="single" w:sz="4" w:space="0" w:color="000000"/>
            </w:tcBorders>
            <w:vAlign w:val="center"/>
          </w:tcPr>
          <w:p w14:paraId="1B08C376"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Pairwise contrast</w:t>
            </w:r>
          </w:p>
          <w:p w14:paraId="3A3F3AFE"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c>
          <w:tcPr>
            <w:tcW w:w="1260" w:type="dxa"/>
            <w:tcBorders>
              <w:bottom w:val="single" w:sz="4" w:space="0" w:color="000000"/>
            </w:tcBorders>
            <w:shd w:val="clear" w:color="auto" w:fill="auto"/>
            <w:vAlign w:val="center"/>
          </w:tcPr>
          <w:p w14:paraId="26C6FF4C"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 xml:space="preserve">NDP </w:t>
            </w:r>
          </w:p>
          <w:p w14:paraId="3B3CE0AC"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Estimate (SE)</w:t>
            </w:r>
          </w:p>
        </w:tc>
        <w:tc>
          <w:tcPr>
            <w:tcW w:w="990" w:type="dxa"/>
            <w:tcBorders>
              <w:bottom w:val="single" w:sz="4" w:space="0" w:color="000000"/>
            </w:tcBorders>
            <w:shd w:val="clear" w:color="auto" w:fill="auto"/>
            <w:vAlign w:val="center"/>
          </w:tcPr>
          <w:p w14:paraId="29840D10"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Pairwise contrast</w:t>
            </w:r>
          </w:p>
          <w:p w14:paraId="49F5EBD7"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color w:val="000000"/>
                <w:sz w:val="18"/>
                <w:szCs w:val="18"/>
              </w:rPr>
              <w:t>(p-value)</w:t>
            </w:r>
          </w:p>
        </w:tc>
      </w:tr>
      <w:tr w:rsidR="00626B98" w:rsidRPr="001763D9" w14:paraId="34A0D13C" w14:textId="77777777" w:rsidTr="001763D9">
        <w:trPr>
          <w:trHeight w:val="170"/>
        </w:trPr>
        <w:tc>
          <w:tcPr>
            <w:tcW w:w="1890" w:type="dxa"/>
            <w:shd w:val="clear" w:color="auto" w:fill="auto"/>
          </w:tcPr>
          <w:p w14:paraId="1F1857B2" w14:textId="77777777" w:rsidR="00626B98" w:rsidRPr="001763D9" w:rsidRDefault="00626B9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SMOS  (mm)</w:t>
            </w:r>
          </w:p>
        </w:tc>
        <w:tc>
          <w:tcPr>
            <w:tcW w:w="1350" w:type="dxa"/>
            <w:shd w:val="clear" w:color="auto" w:fill="auto"/>
          </w:tcPr>
          <w:p w14:paraId="03E8FC58"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Pr>
          <w:p w14:paraId="1C2563AF"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shd w:val="clear" w:color="auto" w:fill="auto"/>
          </w:tcPr>
          <w:p w14:paraId="616DEE63"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Pr>
          <w:p w14:paraId="515F468C"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shd w:val="clear" w:color="auto" w:fill="auto"/>
          </w:tcPr>
          <w:p w14:paraId="4F2248FE"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shd w:val="clear" w:color="auto" w:fill="auto"/>
          </w:tcPr>
          <w:p w14:paraId="715713D5"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r>
      <w:tr w:rsidR="00626B98" w:rsidRPr="001763D9" w14:paraId="7C77DA95" w14:textId="77777777" w:rsidTr="001763D9">
        <w:tc>
          <w:tcPr>
            <w:tcW w:w="1890" w:type="dxa"/>
            <w:shd w:val="clear" w:color="auto" w:fill="auto"/>
          </w:tcPr>
          <w:p w14:paraId="1887B235"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R10</w:t>
            </w:r>
          </w:p>
        </w:tc>
        <w:tc>
          <w:tcPr>
            <w:tcW w:w="1350" w:type="dxa"/>
            <w:shd w:val="clear" w:color="auto" w:fill="auto"/>
          </w:tcPr>
          <w:p w14:paraId="28CC52B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-19.97 (7.1)</w:t>
            </w:r>
          </w:p>
        </w:tc>
        <w:tc>
          <w:tcPr>
            <w:tcW w:w="990" w:type="dxa"/>
          </w:tcPr>
          <w:p w14:paraId="418D86C0"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0.030</w:t>
            </w:r>
          </w:p>
        </w:tc>
        <w:tc>
          <w:tcPr>
            <w:tcW w:w="1260" w:type="dxa"/>
            <w:shd w:val="clear" w:color="auto" w:fill="auto"/>
          </w:tcPr>
          <w:p w14:paraId="6D7758E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-24.43 (6.3)</w:t>
            </w:r>
          </w:p>
        </w:tc>
        <w:tc>
          <w:tcPr>
            <w:tcW w:w="990" w:type="dxa"/>
          </w:tcPr>
          <w:p w14:paraId="169A7801"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0.001</w:t>
            </w:r>
          </w:p>
        </w:tc>
        <w:tc>
          <w:tcPr>
            <w:tcW w:w="1260" w:type="dxa"/>
            <w:shd w:val="clear" w:color="auto" w:fill="auto"/>
          </w:tcPr>
          <w:p w14:paraId="3EFA68F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-14.38 (8.1)</w:t>
            </w:r>
          </w:p>
        </w:tc>
        <w:tc>
          <w:tcPr>
            <w:tcW w:w="990" w:type="dxa"/>
            <w:shd w:val="clear" w:color="auto" w:fill="auto"/>
            <w:vAlign w:val="center"/>
          </w:tcPr>
          <w:p w14:paraId="279AE60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0.290</w:t>
            </w:r>
          </w:p>
        </w:tc>
      </w:tr>
      <w:tr w:rsidR="00626B98" w:rsidRPr="001763D9" w14:paraId="18918A9B" w14:textId="77777777" w:rsidTr="001763D9">
        <w:tc>
          <w:tcPr>
            <w:tcW w:w="1890" w:type="dxa"/>
            <w:shd w:val="clear" w:color="auto" w:fill="auto"/>
          </w:tcPr>
          <w:p w14:paraId="1D0974E0"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R15</w:t>
            </w:r>
          </w:p>
        </w:tc>
        <w:tc>
          <w:tcPr>
            <w:tcW w:w="1350" w:type="dxa"/>
            <w:shd w:val="clear" w:color="auto" w:fill="auto"/>
          </w:tcPr>
          <w:p w14:paraId="0ED57AD6"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-22.72 (7.1)</w:t>
            </w:r>
          </w:p>
        </w:tc>
        <w:tc>
          <w:tcPr>
            <w:tcW w:w="990" w:type="dxa"/>
          </w:tcPr>
          <w:p w14:paraId="2ED625D5"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0.010</w:t>
            </w:r>
          </w:p>
        </w:tc>
        <w:tc>
          <w:tcPr>
            <w:tcW w:w="1260" w:type="dxa"/>
            <w:shd w:val="clear" w:color="auto" w:fill="auto"/>
          </w:tcPr>
          <w:p w14:paraId="687617C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-29.85 (6.4)</w:t>
            </w:r>
          </w:p>
        </w:tc>
        <w:tc>
          <w:tcPr>
            <w:tcW w:w="990" w:type="dxa"/>
          </w:tcPr>
          <w:p w14:paraId="157BC886"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0.0001</w:t>
            </w:r>
          </w:p>
        </w:tc>
        <w:tc>
          <w:tcPr>
            <w:tcW w:w="1260" w:type="dxa"/>
            <w:shd w:val="clear" w:color="auto" w:fill="auto"/>
          </w:tcPr>
          <w:p w14:paraId="48C8873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-7.16 (7.8)</w:t>
            </w:r>
          </w:p>
        </w:tc>
        <w:tc>
          <w:tcPr>
            <w:tcW w:w="990" w:type="dxa"/>
            <w:shd w:val="clear" w:color="auto" w:fill="auto"/>
          </w:tcPr>
          <w:p w14:paraId="4FF8D85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0.790</w:t>
            </w:r>
          </w:p>
        </w:tc>
      </w:tr>
      <w:tr w:rsidR="00626B98" w:rsidRPr="001763D9" w14:paraId="5622A969" w14:textId="77777777" w:rsidTr="001763D9">
        <w:tc>
          <w:tcPr>
            <w:tcW w:w="1890" w:type="dxa"/>
            <w:tcBorders>
              <w:bottom w:val="nil"/>
            </w:tcBorders>
            <w:shd w:val="clear" w:color="auto" w:fill="auto"/>
          </w:tcPr>
          <w:p w14:paraId="227F2AD6"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R20</w:t>
            </w:r>
          </w:p>
        </w:tc>
        <w:tc>
          <w:tcPr>
            <w:tcW w:w="1350" w:type="dxa"/>
            <w:tcBorders>
              <w:bottom w:val="nil"/>
            </w:tcBorders>
            <w:shd w:val="clear" w:color="auto" w:fill="auto"/>
          </w:tcPr>
          <w:p w14:paraId="039B1502"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-12.45 (7.1)</w:t>
            </w:r>
          </w:p>
        </w:tc>
        <w:tc>
          <w:tcPr>
            <w:tcW w:w="990" w:type="dxa"/>
            <w:tcBorders>
              <w:bottom w:val="nil"/>
            </w:tcBorders>
          </w:tcPr>
          <w:p w14:paraId="6F81A938"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0.300</w:t>
            </w:r>
          </w:p>
        </w:tc>
        <w:tc>
          <w:tcPr>
            <w:tcW w:w="1260" w:type="dxa"/>
            <w:tcBorders>
              <w:bottom w:val="nil"/>
            </w:tcBorders>
            <w:shd w:val="clear" w:color="auto" w:fill="auto"/>
          </w:tcPr>
          <w:p w14:paraId="5C45ABB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-12.23 (7.3)</w:t>
            </w:r>
          </w:p>
        </w:tc>
        <w:tc>
          <w:tcPr>
            <w:tcW w:w="990" w:type="dxa"/>
            <w:tcBorders>
              <w:bottom w:val="nil"/>
            </w:tcBorders>
          </w:tcPr>
          <w:p w14:paraId="77D9C513"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0.340</w:t>
            </w:r>
          </w:p>
        </w:tc>
        <w:tc>
          <w:tcPr>
            <w:tcW w:w="1260" w:type="dxa"/>
            <w:tcBorders>
              <w:bottom w:val="nil"/>
            </w:tcBorders>
            <w:shd w:val="clear" w:color="auto" w:fill="auto"/>
          </w:tcPr>
          <w:p w14:paraId="786A672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-1.16 (7.8)</w:t>
            </w:r>
          </w:p>
        </w:tc>
        <w:tc>
          <w:tcPr>
            <w:tcW w:w="990" w:type="dxa"/>
            <w:shd w:val="clear" w:color="auto" w:fill="auto"/>
          </w:tcPr>
          <w:p w14:paraId="2505448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0.990</w:t>
            </w:r>
          </w:p>
        </w:tc>
      </w:tr>
      <w:tr w:rsidR="00626B98" w:rsidRPr="001763D9" w14:paraId="32DF17AC" w14:textId="77777777" w:rsidTr="001763D9">
        <w:tc>
          <w:tcPr>
            <w:tcW w:w="1890" w:type="dxa"/>
            <w:tcBorders>
              <w:top w:val="nil"/>
              <w:bottom w:val="dotted" w:sz="4" w:space="0" w:color="auto"/>
            </w:tcBorders>
            <w:shd w:val="clear" w:color="auto" w:fill="auto"/>
          </w:tcPr>
          <w:p w14:paraId="0ACA0E18"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R15</w:t>
            </w:r>
          </w:p>
        </w:tc>
        <w:tc>
          <w:tcPr>
            <w:tcW w:w="1350" w:type="dxa"/>
            <w:tcBorders>
              <w:top w:val="nil"/>
              <w:bottom w:val="dotted" w:sz="4" w:space="0" w:color="auto"/>
            </w:tcBorders>
            <w:shd w:val="clear" w:color="auto" w:fill="auto"/>
          </w:tcPr>
          <w:p w14:paraId="048B663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-2.75 (7.1)</w:t>
            </w:r>
          </w:p>
        </w:tc>
        <w:tc>
          <w:tcPr>
            <w:tcW w:w="990" w:type="dxa"/>
            <w:tcBorders>
              <w:top w:val="nil"/>
              <w:bottom w:val="dotted" w:sz="4" w:space="0" w:color="auto"/>
            </w:tcBorders>
          </w:tcPr>
          <w:p w14:paraId="72DE22D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0.980</w:t>
            </w:r>
          </w:p>
        </w:tc>
        <w:tc>
          <w:tcPr>
            <w:tcW w:w="1260" w:type="dxa"/>
            <w:tcBorders>
              <w:top w:val="nil"/>
              <w:bottom w:val="dotted" w:sz="4" w:space="0" w:color="auto"/>
            </w:tcBorders>
            <w:shd w:val="clear" w:color="auto" w:fill="auto"/>
          </w:tcPr>
          <w:p w14:paraId="4EEBE63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-5.41 (6.4)</w:t>
            </w:r>
          </w:p>
        </w:tc>
        <w:tc>
          <w:tcPr>
            <w:tcW w:w="990" w:type="dxa"/>
            <w:tcBorders>
              <w:top w:val="nil"/>
              <w:bottom w:val="dotted" w:sz="4" w:space="0" w:color="auto"/>
            </w:tcBorders>
          </w:tcPr>
          <w:p w14:paraId="4AEC219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0.830</w:t>
            </w:r>
          </w:p>
        </w:tc>
        <w:tc>
          <w:tcPr>
            <w:tcW w:w="1260" w:type="dxa"/>
            <w:tcBorders>
              <w:top w:val="nil"/>
              <w:bottom w:val="dotted" w:sz="4" w:space="0" w:color="auto"/>
            </w:tcBorders>
            <w:shd w:val="clear" w:color="auto" w:fill="auto"/>
          </w:tcPr>
          <w:p w14:paraId="5FD1E550"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7.22 (8.1)</w:t>
            </w:r>
          </w:p>
        </w:tc>
        <w:tc>
          <w:tcPr>
            <w:tcW w:w="990" w:type="dxa"/>
            <w:tcBorders>
              <w:bottom w:val="dotted" w:sz="4" w:space="0" w:color="auto"/>
            </w:tcBorders>
            <w:shd w:val="clear" w:color="auto" w:fill="auto"/>
          </w:tcPr>
          <w:p w14:paraId="12571C23"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0.810</w:t>
            </w:r>
          </w:p>
        </w:tc>
      </w:tr>
      <w:tr w:rsidR="00626B98" w:rsidRPr="001763D9" w14:paraId="48D12F14" w14:textId="77777777" w:rsidTr="001763D9">
        <w:tc>
          <w:tcPr>
            <w:tcW w:w="1890" w:type="dxa"/>
            <w:tcBorders>
              <w:top w:val="nil"/>
              <w:bottom w:val="dotted" w:sz="4" w:space="0" w:color="auto"/>
            </w:tcBorders>
            <w:shd w:val="clear" w:color="auto" w:fill="auto"/>
          </w:tcPr>
          <w:p w14:paraId="339BFABA"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R20</w:t>
            </w:r>
          </w:p>
        </w:tc>
        <w:tc>
          <w:tcPr>
            <w:tcW w:w="1350" w:type="dxa"/>
            <w:tcBorders>
              <w:top w:val="nil"/>
              <w:bottom w:val="dotted" w:sz="4" w:space="0" w:color="auto"/>
            </w:tcBorders>
            <w:shd w:val="clear" w:color="auto" w:fill="auto"/>
          </w:tcPr>
          <w:p w14:paraId="01EE71D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7.51 (7.1)</w:t>
            </w:r>
          </w:p>
        </w:tc>
        <w:tc>
          <w:tcPr>
            <w:tcW w:w="990" w:type="dxa"/>
            <w:tcBorders>
              <w:top w:val="nil"/>
              <w:bottom w:val="dotted" w:sz="4" w:space="0" w:color="auto"/>
            </w:tcBorders>
          </w:tcPr>
          <w:p w14:paraId="3392D8E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0.720</w:t>
            </w:r>
          </w:p>
        </w:tc>
        <w:tc>
          <w:tcPr>
            <w:tcW w:w="1260" w:type="dxa"/>
            <w:tcBorders>
              <w:top w:val="nil"/>
              <w:bottom w:val="dotted" w:sz="4" w:space="0" w:color="auto"/>
            </w:tcBorders>
            <w:shd w:val="clear" w:color="auto" w:fill="auto"/>
          </w:tcPr>
          <w:p w14:paraId="23987A9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12.2 (7.3)</w:t>
            </w:r>
          </w:p>
        </w:tc>
        <w:tc>
          <w:tcPr>
            <w:tcW w:w="990" w:type="dxa"/>
            <w:tcBorders>
              <w:top w:val="nil"/>
              <w:bottom w:val="dotted" w:sz="4" w:space="0" w:color="auto"/>
            </w:tcBorders>
          </w:tcPr>
          <w:p w14:paraId="2BA43E83"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0.350</w:t>
            </w:r>
          </w:p>
        </w:tc>
        <w:tc>
          <w:tcPr>
            <w:tcW w:w="1260" w:type="dxa"/>
            <w:tcBorders>
              <w:top w:val="nil"/>
              <w:bottom w:val="dotted" w:sz="4" w:space="0" w:color="auto"/>
            </w:tcBorders>
            <w:shd w:val="clear" w:color="auto" w:fill="auto"/>
          </w:tcPr>
          <w:p w14:paraId="56FEF5E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13.23 (8.1)</w:t>
            </w:r>
          </w:p>
        </w:tc>
        <w:tc>
          <w:tcPr>
            <w:tcW w:w="990" w:type="dxa"/>
            <w:tcBorders>
              <w:bottom w:val="dotted" w:sz="4" w:space="0" w:color="auto"/>
            </w:tcBorders>
            <w:shd w:val="clear" w:color="auto" w:fill="auto"/>
          </w:tcPr>
          <w:p w14:paraId="0E2BFE8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0.370</w:t>
            </w:r>
          </w:p>
        </w:tc>
      </w:tr>
      <w:tr w:rsidR="00626B98" w:rsidRPr="001763D9" w14:paraId="0002C003" w14:textId="77777777" w:rsidTr="001763D9">
        <w:tc>
          <w:tcPr>
            <w:tcW w:w="1890" w:type="dxa"/>
            <w:tcBorders>
              <w:top w:val="nil"/>
              <w:bottom w:val="dotted" w:sz="4" w:space="0" w:color="auto"/>
            </w:tcBorders>
            <w:shd w:val="clear" w:color="auto" w:fill="auto"/>
          </w:tcPr>
          <w:p w14:paraId="1C07F386"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 – R20</w:t>
            </w:r>
          </w:p>
        </w:tc>
        <w:tc>
          <w:tcPr>
            <w:tcW w:w="1350" w:type="dxa"/>
            <w:tcBorders>
              <w:top w:val="nil"/>
              <w:bottom w:val="dotted" w:sz="4" w:space="0" w:color="auto"/>
            </w:tcBorders>
            <w:shd w:val="clear" w:color="auto" w:fill="auto"/>
          </w:tcPr>
          <w:p w14:paraId="78162CA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10.27 (7.1)</w:t>
            </w:r>
          </w:p>
        </w:tc>
        <w:tc>
          <w:tcPr>
            <w:tcW w:w="990" w:type="dxa"/>
            <w:tcBorders>
              <w:top w:val="nil"/>
              <w:bottom w:val="dotted" w:sz="4" w:space="0" w:color="auto"/>
            </w:tcBorders>
          </w:tcPr>
          <w:p w14:paraId="05BCD041"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0.480</w:t>
            </w:r>
          </w:p>
        </w:tc>
        <w:tc>
          <w:tcPr>
            <w:tcW w:w="1260" w:type="dxa"/>
            <w:tcBorders>
              <w:top w:val="nil"/>
              <w:bottom w:val="dotted" w:sz="4" w:space="0" w:color="auto"/>
            </w:tcBorders>
            <w:shd w:val="clear" w:color="auto" w:fill="auto"/>
          </w:tcPr>
          <w:p w14:paraId="378DF43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17.61 (7.5)</w:t>
            </w:r>
          </w:p>
        </w:tc>
        <w:tc>
          <w:tcPr>
            <w:tcW w:w="990" w:type="dxa"/>
            <w:tcBorders>
              <w:top w:val="nil"/>
              <w:bottom w:val="dotted" w:sz="4" w:space="0" w:color="auto"/>
            </w:tcBorders>
          </w:tcPr>
          <w:p w14:paraId="5BDE3745"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0.090</w:t>
            </w:r>
          </w:p>
        </w:tc>
        <w:tc>
          <w:tcPr>
            <w:tcW w:w="1260" w:type="dxa"/>
            <w:tcBorders>
              <w:top w:val="nil"/>
              <w:bottom w:val="dotted" w:sz="4" w:space="0" w:color="auto"/>
            </w:tcBorders>
            <w:shd w:val="clear" w:color="auto" w:fill="auto"/>
          </w:tcPr>
          <w:p w14:paraId="76FB3DB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6.004 (7.8)</w:t>
            </w:r>
          </w:p>
        </w:tc>
        <w:tc>
          <w:tcPr>
            <w:tcW w:w="990" w:type="dxa"/>
            <w:tcBorders>
              <w:bottom w:val="dotted" w:sz="4" w:space="0" w:color="auto"/>
            </w:tcBorders>
            <w:shd w:val="clear" w:color="auto" w:fill="auto"/>
          </w:tcPr>
          <w:p w14:paraId="1F7C562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0.870</w:t>
            </w:r>
          </w:p>
        </w:tc>
      </w:tr>
      <w:tr w:rsidR="00626B98" w:rsidRPr="001763D9" w14:paraId="65BE2A22" w14:textId="77777777" w:rsidTr="001763D9">
        <w:trPr>
          <w:trHeight w:val="199"/>
        </w:trPr>
        <w:tc>
          <w:tcPr>
            <w:tcW w:w="1890" w:type="dxa"/>
            <w:tcBorders>
              <w:top w:val="dotted" w:sz="4" w:space="0" w:color="auto"/>
            </w:tcBorders>
            <w:shd w:val="clear" w:color="auto" w:fill="auto"/>
          </w:tcPr>
          <w:p w14:paraId="048CE765" w14:textId="77777777" w:rsidR="00626B98" w:rsidRPr="001763D9" w:rsidRDefault="00626B9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SMOS Variability (mm)</w:t>
            </w:r>
          </w:p>
        </w:tc>
        <w:tc>
          <w:tcPr>
            <w:tcW w:w="1350" w:type="dxa"/>
            <w:tcBorders>
              <w:top w:val="dotted" w:sz="4" w:space="0" w:color="auto"/>
            </w:tcBorders>
            <w:shd w:val="clear" w:color="auto" w:fill="auto"/>
          </w:tcPr>
          <w:p w14:paraId="2C95B8EE"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tcPr>
          <w:p w14:paraId="06E43C5B"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tcBorders>
              <w:top w:val="dotted" w:sz="4" w:space="0" w:color="auto"/>
            </w:tcBorders>
            <w:shd w:val="clear" w:color="auto" w:fill="auto"/>
          </w:tcPr>
          <w:p w14:paraId="7CEC2AC6"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tcPr>
          <w:p w14:paraId="0B31E538"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tcBorders>
              <w:top w:val="dotted" w:sz="4" w:space="0" w:color="auto"/>
            </w:tcBorders>
            <w:shd w:val="clear" w:color="auto" w:fill="auto"/>
          </w:tcPr>
          <w:p w14:paraId="14334F6B"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shd w:val="clear" w:color="auto" w:fill="auto"/>
          </w:tcPr>
          <w:p w14:paraId="0F7A6695"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r>
      <w:tr w:rsidR="00626B98" w:rsidRPr="001763D9" w14:paraId="2B6E67B7" w14:textId="77777777" w:rsidTr="001763D9">
        <w:tc>
          <w:tcPr>
            <w:tcW w:w="1890" w:type="dxa"/>
            <w:shd w:val="clear" w:color="auto" w:fill="auto"/>
          </w:tcPr>
          <w:p w14:paraId="4B63498B"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R10</w:t>
            </w:r>
          </w:p>
        </w:tc>
        <w:tc>
          <w:tcPr>
            <w:tcW w:w="1350" w:type="dxa"/>
            <w:shd w:val="clear" w:color="auto" w:fill="auto"/>
          </w:tcPr>
          <w:p w14:paraId="3B09489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-12.31 (5.2)</w:t>
            </w:r>
          </w:p>
        </w:tc>
        <w:tc>
          <w:tcPr>
            <w:tcW w:w="990" w:type="dxa"/>
          </w:tcPr>
          <w:p w14:paraId="6E33972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0.096</w:t>
            </w:r>
          </w:p>
        </w:tc>
        <w:tc>
          <w:tcPr>
            <w:tcW w:w="1260" w:type="dxa"/>
            <w:shd w:val="clear" w:color="auto" w:fill="auto"/>
          </w:tcPr>
          <w:p w14:paraId="4C3BD258"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-12.05 (4.6)</w:t>
            </w:r>
          </w:p>
        </w:tc>
        <w:tc>
          <w:tcPr>
            <w:tcW w:w="990" w:type="dxa"/>
          </w:tcPr>
          <w:p w14:paraId="2E0165F1"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0.054</w:t>
            </w:r>
          </w:p>
        </w:tc>
        <w:tc>
          <w:tcPr>
            <w:tcW w:w="1260" w:type="dxa"/>
            <w:shd w:val="clear" w:color="auto" w:fill="auto"/>
          </w:tcPr>
          <w:p w14:paraId="06B09E9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-3.89 (6)</w:t>
            </w:r>
          </w:p>
        </w:tc>
        <w:tc>
          <w:tcPr>
            <w:tcW w:w="990" w:type="dxa"/>
            <w:shd w:val="clear" w:color="auto" w:fill="auto"/>
            <w:vAlign w:val="center"/>
          </w:tcPr>
          <w:p w14:paraId="40C046F1"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0.917</w:t>
            </w:r>
          </w:p>
        </w:tc>
      </w:tr>
      <w:tr w:rsidR="00626B98" w:rsidRPr="001763D9" w14:paraId="3308BC0C" w14:textId="77777777" w:rsidTr="001763D9">
        <w:tc>
          <w:tcPr>
            <w:tcW w:w="1890" w:type="dxa"/>
            <w:shd w:val="clear" w:color="auto" w:fill="auto"/>
          </w:tcPr>
          <w:p w14:paraId="458D9AFE"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R15</w:t>
            </w:r>
          </w:p>
        </w:tc>
        <w:tc>
          <w:tcPr>
            <w:tcW w:w="1350" w:type="dxa"/>
            <w:shd w:val="clear" w:color="auto" w:fill="auto"/>
          </w:tcPr>
          <w:p w14:paraId="647FCF00"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-16.79 (5.2)</w:t>
            </w:r>
          </w:p>
        </w:tc>
        <w:tc>
          <w:tcPr>
            <w:tcW w:w="990" w:type="dxa"/>
          </w:tcPr>
          <w:p w14:paraId="16350CD8"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0.010</w:t>
            </w:r>
          </w:p>
        </w:tc>
        <w:tc>
          <w:tcPr>
            <w:tcW w:w="1260" w:type="dxa"/>
            <w:shd w:val="clear" w:color="auto" w:fill="auto"/>
          </w:tcPr>
          <w:p w14:paraId="0C3A65C8"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-16.50 (4.8)</w:t>
            </w:r>
          </w:p>
        </w:tc>
        <w:tc>
          <w:tcPr>
            <w:tcW w:w="990" w:type="dxa"/>
          </w:tcPr>
          <w:p w14:paraId="375F5CAF"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0.005</w:t>
            </w:r>
          </w:p>
        </w:tc>
        <w:tc>
          <w:tcPr>
            <w:tcW w:w="1260" w:type="dxa"/>
            <w:shd w:val="clear" w:color="auto" w:fill="auto"/>
          </w:tcPr>
          <w:p w14:paraId="607373C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-2.38 (5.8)</w:t>
            </w:r>
          </w:p>
        </w:tc>
        <w:tc>
          <w:tcPr>
            <w:tcW w:w="990" w:type="dxa"/>
            <w:shd w:val="clear" w:color="auto" w:fill="auto"/>
          </w:tcPr>
          <w:p w14:paraId="482E4B3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0.977</w:t>
            </w:r>
          </w:p>
        </w:tc>
      </w:tr>
      <w:tr w:rsidR="00626B98" w:rsidRPr="001763D9" w14:paraId="3ECD4770" w14:textId="77777777" w:rsidTr="001763D9">
        <w:tc>
          <w:tcPr>
            <w:tcW w:w="1890" w:type="dxa"/>
            <w:tcBorders>
              <w:bottom w:val="nil"/>
            </w:tcBorders>
            <w:shd w:val="clear" w:color="auto" w:fill="auto"/>
          </w:tcPr>
          <w:p w14:paraId="7122F93D"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R20</w:t>
            </w:r>
          </w:p>
        </w:tc>
        <w:tc>
          <w:tcPr>
            <w:tcW w:w="1350" w:type="dxa"/>
            <w:tcBorders>
              <w:bottom w:val="nil"/>
            </w:tcBorders>
            <w:shd w:val="clear" w:color="auto" w:fill="auto"/>
          </w:tcPr>
          <w:p w14:paraId="65C0940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-15.25 (5.2)</w:t>
            </w:r>
          </w:p>
        </w:tc>
        <w:tc>
          <w:tcPr>
            <w:tcW w:w="990" w:type="dxa"/>
            <w:tcBorders>
              <w:bottom w:val="nil"/>
            </w:tcBorders>
          </w:tcPr>
          <w:p w14:paraId="27FC3FA4"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0.023</w:t>
            </w:r>
          </w:p>
        </w:tc>
        <w:tc>
          <w:tcPr>
            <w:tcW w:w="1260" w:type="dxa"/>
            <w:tcBorders>
              <w:bottom w:val="nil"/>
            </w:tcBorders>
            <w:shd w:val="clear" w:color="auto" w:fill="auto"/>
          </w:tcPr>
          <w:p w14:paraId="132241A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-11.20 (5.2)</w:t>
            </w:r>
          </w:p>
        </w:tc>
        <w:tc>
          <w:tcPr>
            <w:tcW w:w="990" w:type="dxa"/>
            <w:tcBorders>
              <w:bottom w:val="nil"/>
            </w:tcBorders>
          </w:tcPr>
          <w:p w14:paraId="243DA406"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0.149</w:t>
            </w:r>
          </w:p>
        </w:tc>
        <w:tc>
          <w:tcPr>
            <w:tcW w:w="1260" w:type="dxa"/>
            <w:tcBorders>
              <w:bottom w:val="nil"/>
            </w:tcBorders>
            <w:shd w:val="clear" w:color="auto" w:fill="auto"/>
          </w:tcPr>
          <w:p w14:paraId="6BCA336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-3.29 (5.8)</w:t>
            </w:r>
          </w:p>
        </w:tc>
        <w:tc>
          <w:tcPr>
            <w:tcW w:w="990" w:type="dxa"/>
            <w:shd w:val="clear" w:color="auto" w:fill="auto"/>
          </w:tcPr>
          <w:p w14:paraId="4723ADB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0.941</w:t>
            </w:r>
          </w:p>
        </w:tc>
      </w:tr>
      <w:tr w:rsidR="00626B98" w:rsidRPr="001763D9" w14:paraId="12752804" w14:textId="77777777" w:rsidTr="001763D9">
        <w:tc>
          <w:tcPr>
            <w:tcW w:w="1890" w:type="dxa"/>
            <w:tcBorders>
              <w:top w:val="nil"/>
              <w:bottom w:val="dotted" w:sz="4" w:space="0" w:color="auto"/>
            </w:tcBorders>
            <w:shd w:val="clear" w:color="auto" w:fill="auto"/>
          </w:tcPr>
          <w:p w14:paraId="643A5F5D"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R15</w:t>
            </w:r>
          </w:p>
        </w:tc>
        <w:tc>
          <w:tcPr>
            <w:tcW w:w="1350" w:type="dxa"/>
            <w:tcBorders>
              <w:top w:val="nil"/>
              <w:bottom w:val="dotted" w:sz="4" w:space="0" w:color="auto"/>
            </w:tcBorders>
            <w:shd w:val="clear" w:color="auto" w:fill="auto"/>
          </w:tcPr>
          <w:p w14:paraId="2E695E2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-4.49 (5.2)</w:t>
            </w:r>
          </w:p>
        </w:tc>
        <w:tc>
          <w:tcPr>
            <w:tcW w:w="990" w:type="dxa"/>
            <w:tcBorders>
              <w:top w:val="nil"/>
              <w:bottom w:val="dotted" w:sz="4" w:space="0" w:color="auto"/>
            </w:tcBorders>
          </w:tcPr>
          <w:p w14:paraId="1B4E098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0.828</w:t>
            </w:r>
          </w:p>
        </w:tc>
        <w:tc>
          <w:tcPr>
            <w:tcW w:w="1260" w:type="dxa"/>
            <w:tcBorders>
              <w:top w:val="nil"/>
              <w:bottom w:val="dotted" w:sz="4" w:space="0" w:color="auto"/>
            </w:tcBorders>
            <w:shd w:val="clear" w:color="auto" w:fill="auto"/>
          </w:tcPr>
          <w:p w14:paraId="1BD0A0E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-4.44 (4.8)</w:t>
            </w:r>
          </w:p>
        </w:tc>
        <w:tc>
          <w:tcPr>
            <w:tcW w:w="990" w:type="dxa"/>
            <w:tcBorders>
              <w:top w:val="nil"/>
              <w:bottom w:val="dotted" w:sz="4" w:space="0" w:color="auto"/>
            </w:tcBorders>
          </w:tcPr>
          <w:p w14:paraId="2DBA0A2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0.788</w:t>
            </w:r>
          </w:p>
        </w:tc>
        <w:tc>
          <w:tcPr>
            <w:tcW w:w="1260" w:type="dxa"/>
            <w:tcBorders>
              <w:top w:val="nil"/>
              <w:bottom w:val="dotted" w:sz="4" w:space="0" w:color="auto"/>
            </w:tcBorders>
            <w:shd w:val="clear" w:color="auto" w:fill="auto"/>
          </w:tcPr>
          <w:p w14:paraId="552519A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1.51 (6)</w:t>
            </w:r>
          </w:p>
        </w:tc>
        <w:tc>
          <w:tcPr>
            <w:tcW w:w="990" w:type="dxa"/>
            <w:tcBorders>
              <w:bottom w:val="dotted" w:sz="4" w:space="0" w:color="auto"/>
            </w:tcBorders>
            <w:shd w:val="clear" w:color="auto" w:fill="auto"/>
          </w:tcPr>
          <w:p w14:paraId="0B568D3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0.994</w:t>
            </w:r>
          </w:p>
        </w:tc>
      </w:tr>
      <w:tr w:rsidR="00626B98" w:rsidRPr="001763D9" w14:paraId="0696D3DD" w14:textId="77777777" w:rsidTr="001763D9">
        <w:tc>
          <w:tcPr>
            <w:tcW w:w="1890" w:type="dxa"/>
            <w:tcBorders>
              <w:top w:val="nil"/>
              <w:bottom w:val="dotted" w:sz="4" w:space="0" w:color="auto"/>
            </w:tcBorders>
            <w:shd w:val="clear" w:color="auto" w:fill="auto"/>
          </w:tcPr>
          <w:p w14:paraId="338CE68A"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R20</w:t>
            </w:r>
          </w:p>
        </w:tc>
        <w:tc>
          <w:tcPr>
            <w:tcW w:w="1350" w:type="dxa"/>
            <w:tcBorders>
              <w:top w:val="nil"/>
              <w:bottom w:val="dotted" w:sz="4" w:space="0" w:color="auto"/>
            </w:tcBorders>
            <w:shd w:val="clear" w:color="auto" w:fill="auto"/>
          </w:tcPr>
          <w:p w14:paraId="3F7501B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-2.94 (5.2)</w:t>
            </w:r>
          </w:p>
        </w:tc>
        <w:tc>
          <w:tcPr>
            <w:tcW w:w="990" w:type="dxa"/>
            <w:tcBorders>
              <w:top w:val="nil"/>
              <w:bottom w:val="dotted" w:sz="4" w:space="0" w:color="auto"/>
            </w:tcBorders>
          </w:tcPr>
          <w:p w14:paraId="06D0A60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0.943</w:t>
            </w:r>
          </w:p>
        </w:tc>
        <w:tc>
          <w:tcPr>
            <w:tcW w:w="1260" w:type="dxa"/>
            <w:tcBorders>
              <w:top w:val="nil"/>
              <w:bottom w:val="dotted" w:sz="4" w:space="0" w:color="auto"/>
            </w:tcBorders>
            <w:shd w:val="clear" w:color="auto" w:fill="auto"/>
          </w:tcPr>
          <w:p w14:paraId="0D7EF3E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0.87 (5.2)</w:t>
            </w:r>
          </w:p>
        </w:tc>
        <w:tc>
          <w:tcPr>
            <w:tcW w:w="990" w:type="dxa"/>
            <w:tcBorders>
              <w:top w:val="nil"/>
              <w:bottom w:val="dotted" w:sz="4" w:space="0" w:color="auto"/>
            </w:tcBorders>
          </w:tcPr>
          <w:p w14:paraId="5A5F9AB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0.998</w:t>
            </w:r>
          </w:p>
        </w:tc>
        <w:tc>
          <w:tcPr>
            <w:tcW w:w="1260" w:type="dxa"/>
            <w:tcBorders>
              <w:top w:val="nil"/>
              <w:bottom w:val="dotted" w:sz="4" w:space="0" w:color="auto"/>
            </w:tcBorders>
            <w:shd w:val="clear" w:color="auto" w:fill="auto"/>
          </w:tcPr>
          <w:p w14:paraId="20BF485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0.6 (6)</w:t>
            </w:r>
          </w:p>
        </w:tc>
        <w:tc>
          <w:tcPr>
            <w:tcW w:w="990" w:type="dxa"/>
            <w:tcBorders>
              <w:bottom w:val="dotted" w:sz="4" w:space="0" w:color="auto"/>
            </w:tcBorders>
            <w:shd w:val="clear" w:color="auto" w:fill="auto"/>
          </w:tcPr>
          <w:p w14:paraId="654797C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0.999</w:t>
            </w:r>
          </w:p>
        </w:tc>
      </w:tr>
      <w:tr w:rsidR="00626B98" w:rsidRPr="001763D9" w14:paraId="2123A1C9" w14:textId="77777777" w:rsidTr="001763D9">
        <w:tc>
          <w:tcPr>
            <w:tcW w:w="1890" w:type="dxa"/>
            <w:tcBorders>
              <w:top w:val="nil"/>
              <w:bottom w:val="dotted" w:sz="4" w:space="0" w:color="auto"/>
            </w:tcBorders>
            <w:shd w:val="clear" w:color="auto" w:fill="auto"/>
          </w:tcPr>
          <w:p w14:paraId="634A7098"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 – R20</w:t>
            </w:r>
          </w:p>
        </w:tc>
        <w:tc>
          <w:tcPr>
            <w:tcW w:w="1350" w:type="dxa"/>
            <w:tcBorders>
              <w:top w:val="nil"/>
              <w:bottom w:val="dotted" w:sz="4" w:space="0" w:color="auto"/>
            </w:tcBorders>
            <w:shd w:val="clear" w:color="auto" w:fill="auto"/>
          </w:tcPr>
          <w:p w14:paraId="39CE509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1.54 (5.2)</w:t>
            </w:r>
          </w:p>
        </w:tc>
        <w:tc>
          <w:tcPr>
            <w:tcW w:w="990" w:type="dxa"/>
            <w:tcBorders>
              <w:top w:val="nil"/>
              <w:bottom w:val="dotted" w:sz="4" w:space="0" w:color="auto"/>
            </w:tcBorders>
          </w:tcPr>
          <w:p w14:paraId="3AF73EE6"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0.991</w:t>
            </w:r>
          </w:p>
        </w:tc>
        <w:tc>
          <w:tcPr>
            <w:tcW w:w="1260" w:type="dxa"/>
            <w:tcBorders>
              <w:top w:val="nil"/>
              <w:bottom w:val="dotted" w:sz="4" w:space="0" w:color="auto"/>
            </w:tcBorders>
            <w:shd w:val="clear" w:color="auto" w:fill="auto"/>
          </w:tcPr>
          <w:p w14:paraId="3A34C94F"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5.31 (5.3)</w:t>
            </w:r>
          </w:p>
        </w:tc>
        <w:tc>
          <w:tcPr>
            <w:tcW w:w="990" w:type="dxa"/>
            <w:tcBorders>
              <w:top w:val="nil"/>
              <w:bottom w:val="dotted" w:sz="4" w:space="0" w:color="auto"/>
            </w:tcBorders>
          </w:tcPr>
          <w:p w14:paraId="161BA7AE"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0.754</w:t>
            </w:r>
          </w:p>
        </w:tc>
        <w:tc>
          <w:tcPr>
            <w:tcW w:w="1260" w:type="dxa"/>
            <w:tcBorders>
              <w:top w:val="nil"/>
              <w:bottom w:val="dotted" w:sz="4" w:space="0" w:color="auto"/>
            </w:tcBorders>
            <w:shd w:val="clear" w:color="auto" w:fill="auto"/>
          </w:tcPr>
          <w:p w14:paraId="3DFC78B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-0.91 (5.8)</w:t>
            </w:r>
          </w:p>
        </w:tc>
        <w:tc>
          <w:tcPr>
            <w:tcW w:w="990" w:type="dxa"/>
            <w:tcBorders>
              <w:bottom w:val="dotted" w:sz="4" w:space="0" w:color="auto"/>
            </w:tcBorders>
            <w:shd w:val="clear" w:color="auto" w:fill="auto"/>
          </w:tcPr>
          <w:p w14:paraId="19B07275"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0.999</w:t>
            </w:r>
          </w:p>
        </w:tc>
      </w:tr>
      <w:tr w:rsidR="00626B98" w:rsidRPr="001763D9" w14:paraId="66D8ED81" w14:textId="77777777" w:rsidTr="001763D9">
        <w:trPr>
          <w:trHeight w:val="215"/>
        </w:trPr>
        <w:tc>
          <w:tcPr>
            <w:tcW w:w="1890" w:type="dxa"/>
            <w:tcBorders>
              <w:top w:val="dotted" w:sz="4" w:space="0" w:color="auto"/>
            </w:tcBorders>
            <w:shd w:val="clear" w:color="auto" w:fill="auto"/>
          </w:tcPr>
          <w:p w14:paraId="6F026718" w14:textId="77777777" w:rsidR="00626B98" w:rsidRPr="001763D9" w:rsidRDefault="00626B98" w:rsidP="00626B98">
            <w:pPr>
              <w:spacing w:after="0" w:line="480" w:lineRule="auto"/>
              <w:rPr>
                <w:rFonts w:asciiTheme="majorBidi" w:hAnsiTheme="majorBidi" w:cstheme="majorBidi"/>
                <w:b/>
                <w:bCs/>
                <w:color w:val="000000"/>
                <w:sz w:val="18"/>
                <w:szCs w:val="18"/>
                <w:lang w:bidi="fa-IR"/>
              </w:rPr>
            </w:pPr>
            <w:r w:rsidRPr="001763D9">
              <w:rPr>
                <w:rFonts w:asciiTheme="majorBidi" w:hAnsiTheme="majorBidi" w:cstheme="majorBidi"/>
                <w:b/>
                <w:bCs/>
                <w:color w:val="000000"/>
                <w:sz w:val="18"/>
                <w:szCs w:val="18"/>
                <w:lang w:bidi="fa-IR"/>
              </w:rPr>
              <w:t>FMOS  (mm)</w:t>
            </w:r>
          </w:p>
        </w:tc>
        <w:tc>
          <w:tcPr>
            <w:tcW w:w="1350" w:type="dxa"/>
            <w:tcBorders>
              <w:top w:val="dotted" w:sz="4" w:space="0" w:color="auto"/>
            </w:tcBorders>
            <w:shd w:val="clear" w:color="auto" w:fill="auto"/>
          </w:tcPr>
          <w:p w14:paraId="4A3A0412"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tcPr>
          <w:p w14:paraId="2EBB0639"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tcBorders>
              <w:top w:val="dotted" w:sz="4" w:space="0" w:color="auto"/>
            </w:tcBorders>
            <w:shd w:val="clear" w:color="auto" w:fill="auto"/>
          </w:tcPr>
          <w:p w14:paraId="57EA90D2"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tcPr>
          <w:p w14:paraId="5CC2B981"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1260" w:type="dxa"/>
            <w:tcBorders>
              <w:top w:val="dotted" w:sz="4" w:space="0" w:color="auto"/>
            </w:tcBorders>
            <w:shd w:val="clear" w:color="auto" w:fill="auto"/>
          </w:tcPr>
          <w:p w14:paraId="35537550" w14:textId="77777777" w:rsidR="00626B98" w:rsidRPr="001763D9" w:rsidRDefault="00626B98" w:rsidP="00626B98">
            <w:pPr>
              <w:spacing w:after="0" w:line="480" w:lineRule="auto"/>
              <w:jc w:val="center"/>
              <w:rPr>
                <w:rFonts w:asciiTheme="majorBidi" w:hAnsiTheme="majorBidi" w:cstheme="majorBidi"/>
                <w:color w:val="000000"/>
                <w:sz w:val="18"/>
                <w:szCs w:val="18"/>
              </w:rPr>
            </w:pPr>
          </w:p>
        </w:tc>
        <w:tc>
          <w:tcPr>
            <w:tcW w:w="990" w:type="dxa"/>
            <w:tcBorders>
              <w:top w:val="dotted" w:sz="4" w:space="0" w:color="auto"/>
            </w:tcBorders>
            <w:shd w:val="clear" w:color="auto" w:fill="auto"/>
          </w:tcPr>
          <w:p w14:paraId="5DC843AB" w14:textId="77777777" w:rsidR="00626B98" w:rsidRPr="001763D9" w:rsidRDefault="00626B98" w:rsidP="00626B98">
            <w:pPr>
              <w:spacing w:after="0" w:line="480" w:lineRule="auto"/>
              <w:jc w:val="center"/>
              <w:rPr>
                <w:rFonts w:asciiTheme="majorBidi" w:hAnsiTheme="majorBidi" w:cstheme="majorBidi"/>
                <w:b/>
                <w:bCs/>
                <w:color w:val="000000"/>
                <w:sz w:val="18"/>
                <w:szCs w:val="18"/>
                <w:vertAlign w:val="superscript"/>
              </w:rPr>
            </w:pPr>
          </w:p>
        </w:tc>
      </w:tr>
      <w:tr w:rsidR="00626B98" w:rsidRPr="001763D9" w14:paraId="451E977A" w14:textId="77777777" w:rsidTr="001763D9">
        <w:tc>
          <w:tcPr>
            <w:tcW w:w="1890" w:type="dxa"/>
            <w:shd w:val="clear" w:color="auto" w:fill="auto"/>
          </w:tcPr>
          <w:p w14:paraId="2B1C6DC4"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R10</w:t>
            </w:r>
          </w:p>
        </w:tc>
        <w:tc>
          <w:tcPr>
            <w:tcW w:w="1350" w:type="dxa"/>
            <w:shd w:val="clear" w:color="auto" w:fill="auto"/>
          </w:tcPr>
          <w:p w14:paraId="7CABD45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-8.53 (3.5)</w:t>
            </w:r>
          </w:p>
        </w:tc>
        <w:tc>
          <w:tcPr>
            <w:tcW w:w="990" w:type="dxa"/>
          </w:tcPr>
          <w:p w14:paraId="66FEDDA8"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0.080</w:t>
            </w:r>
          </w:p>
        </w:tc>
        <w:tc>
          <w:tcPr>
            <w:tcW w:w="1260" w:type="dxa"/>
            <w:shd w:val="clear" w:color="auto" w:fill="auto"/>
          </w:tcPr>
          <w:p w14:paraId="5A8A6932"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-9.65 (3.05)</w:t>
            </w:r>
          </w:p>
        </w:tc>
        <w:tc>
          <w:tcPr>
            <w:tcW w:w="990" w:type="dxa"/>
          </w:tcPr>
          <w:p w14:paraId="0AF283FA"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0.010</w:t>
            </w:r>
          </w:p>
        </w:tc>
        <w:tc>
          <w:tcPr>
            <w:tcW w:w="1260" w:type="dxa"/>
            <w:shd w:val="clear" w:color="auto" w:fill="auto"/>
          </w:tcPr>
          <w:p w14:paraId="14BDB503" w14:textId="77777777" w:rsidR="00626B98" w:rsidRPr="001763D9" w:rsidRDefault="00626B98" w:rsidP="00626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-7.8 (3.9)</w:t>
            </w:r>
          </w:p>
        </w:tc>
        <w:tc>
          <w:tcPr>
            <w:tcW w:w="990" w:type="dxa"/>
            <w:shd w:val="clear" w:color="auto" w:fill="auto"/>
            <w:vAlign w:val="center"/>
          </w:tcPr>
          <w:p w14:paraId="4CD5E77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0.200</w:t>
            </w:r>
          </w:p>
        </w:tc>
      </w:tr>
      <w:tr w:rsidR="00626B98" w:rsidRPr="001763D9" w14:paraId="7CA02A4B" w14:textId="77777777" w:rsidTr="001763D9">
        <w:tc>
          <w:tcPr>
            <w:tcW w:w="1890" w:type="dxa"/>
            <w:shd w:val="clear" w:color="auto" w:fill="auto"/>
          </w:tcPr>
          <w:p w14:paraId="41A600D5"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R15</w:t>
            </w:r>
          </w:p>
        </w:tc>
        <w:tc>
          <w:tcPr>
            <w:tcW w:w="1350" w:type="dxa"/>
            <w:shd w:val="clear" w:color="auto" w:fill="auto"/>
          </w:tcPr>
          <w:p w14:paraId="187AB93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-4.83 (3.4)</w:t>
            </w:r>
          </w:p>
        </w:tc>
        <w:tc>
          <w:tcPr>
            <w:tcW w:w="990" w:type="dxa"/>
          </w:tcPr>
          <w:p w14:paraId="3720DBB5"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0.490</w:t>
            </w:r>
          </w:p>
        </w:tc>
        <w:tc>
          <w:tcPr>
            <w:tcW w:w="1260" w:type="dxa"/>
            <w:shd w:val="clear" w:color="auto" w:fill="auto"/>
          </w:tcPr>
          <w:p w14:paraId="02998F5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-3.89 (3.1)</w:t>
            </w:r>
          </w:p>
        </w:tc>
        <w:tc>
          <w:tcPr>
            <w:tcW w:w="990" w:type="dxa"/>
          </w:tcPr>
          <w:p w14:paraId="581CB540"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0.590</w:t>
            </w:r>
          </w:p>
        </w:tc>
        <w:tc>
          <w:tcPr>
            <w:tcW w:w="1260" w:type="dxa"/>
            <w:shd w:val="clear" w:color="auto" w:fill="auto"/>
          </w:tcPr>
          <w:p w14:paraId="60623E61" w14:textId="77777777" w:rsidR="00626B98" w:rsidRPr="001763D9" w:rsidRDefault="00626B98" w:rsidP="00626B98">
            <w:pPr>
              <w:pStyle w:val="HTMLPreformatted"/>
              <w:shd w:val="clear" w:color="auto" w:fill="FFFFFF"/>
              <w:spacing w:line="480" w:lineRule="auto"/>
              <w:jc w:val="center"/>
              <w:rPr>
                <w:rFonts w:asciiTheme="majorBidi" w:eastAsia="Calibri" w:hAnsiTheme="majorBidi" w:cstheme="majorBidi"/>
                <w:color w:val="000000"/>
                <w:sz w:val="18"/>
                <w:szCs w:val="18"/>
              </w:rPr>
            </w:pPr>
            <w:r w:rsidRPr="001763D9">
              <w:rPr>
                <w:rFonts w:asciiTheme="majorBidi" w:eastAsia="Calibri" w:hAnsiTheme="majorBidi" w:cstheme="majorBidi"/>
                <w:color w:val="000000"/>
                <w:sz w:val="18"/>
                <w:szCs w:val="18"/>
              </w:rPr>
              <w:t>-11.7 (3.8)</w:t>
            </w:r>
          </w:p>
        </w:tc>
        <w:tc>
          <w:tcPr>
            <w:tcW w:w="990" w:type="dxa"/>
            <w:shd w:val="clear" w:color="auto" w:fill="auto"/>
          </w:tcPr>
          <w:p w14:paraId="33FFEFD2"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0.010</w:t>
            </w:r>
          </w:p>
        </w:tc>
      </w:tr>
      <w:tr w:rsidR="00626B98" w:rsidRPr="001763D9" w14:paraId="72416510" w14:textId="77777777" w:rsidTr="001763D9">
        <w:tc>
          <w:tcPr>
            <w:tcW w:w="1890" w:type="dxa"/>
            <w:tcBorders>
              <w:bottom w:val="nil"/>
            </w:tcBorders>
            <w:shd w:val="clear" w:color="auto" w:fill="auto"/>
          </w:tcPr>
          <w:p w14:paraId="27838BBD"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Barefoot – R20</w:t>
            </w:r>
          </w:p>
        </w:tc>
        <w:tc>
          <w:tcPr>
            <w:tcW w:w="1350" w:type="dxa"/>
            <w:tcBorders>
              <w:bottom w:val="nil"/>
            </w:tcBorders>
            <w:shd w:val="clear" w:color="auto" w:fill="auto"/>
          </w:tcPr>
          <w:p w14:paraId="7C949B50"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-11.77 (3.4)</w:t>
            </w:r>
          </w:p>
        </w:tc>
        <w:tc>
          <w:tcPr>
            <w:tcW w:w="990" w:type="dxa"/>
            <w:tcBorders>
              <w:bottom w:val="nil"/>
            </w:tcBorders>
          </w:tcPr>
          <w:p w14:paraId="6C173B1B"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0.005</w:t>
            </w:r>
          </w:p>
        </w:tc>
        <w:tc>
          <w:tcPr>
            <w:tcW w:w="1260" w:type="dxa"/>
            <w:tcBorders>
              <w:bottom w:val="nil"/>
            </w:tcBorders>
            <w:shd w:val="clear" w:color="auto" w:fill="auto"/>
          </w:tcPr>
          <w:p w14:paraId="52435C2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-10.51 (3.4)</w:t>
            </w:r>
          </w:p>
        </w:tc>
        <w:tc>
          <w:tcPr>
            <w:tcW w:w="990" w:type="dxa"/>
            <w:tcBorders>
              <w:bottom w:val="nil"/>
            </w:tcBorders>
          </w:tcPr>
          <w:p w14:paraId="7D32A91E" w14:textId="77777777" w:rsidR="00626B98" w:rsidRPr="001763D9" w:rsidRDefault="00626B98" w:rsidP="00626B98">
            <w:pPr>
              <w:spacing w:after="0" w:line="480" w:lineRule="auto"/>
              <w:jc w:val="center"/>
              <w:rPr>
                <w:rFonts w:asciiTheme="majorBidi" w:hAnsiTheme="majorBidi" w:cstheme="majorBidi"/>
                <w:b/>
                <w:bCs/>
                <w:color w:val="000000"/>
                <w:sz w:val="18"/>
                <w:szCs w:val="18"/>
              </w:rPr>
            </w:pPr>
            <w:r w:rsidRPr="001763D9">
              <w:rPr>
                <w:rFonts w:asciiTheme="majorBidi" w:hAnsiTheme="majorBidi" w:cstheme="majorBidi"/>
                <w:b/>
                <w:bCs/>
                <w:color w:val="000000"/>
                <w:sz w:val="18"/>
                <w:szCs w:val="18"/>
              </w:rPr>
              <w:t>0.010</w:t>
            </w:r>
          </w:p>
        </w:tc>
        <w:tc>
          <w:tcPr>
            <w:tcW w:w="1260" w:type="dxa"/>
            <w:tcBorders>
              <w:bottom w:val="nil"/>
            </w:tcBorders>
            <w:shd w:val="clear" w:color="auto" w:fill="auto"/>
          </w:tcPr>
          <w:p w14:paraId="1B8ECE26" w14:textId="77777777" w:rsidR="00626B98" w:rsidRPr="001763D9" w:rsidRDefault="00626B98" w:rsidP="00626B98">
            <w:pPr>
              <w:pStyle w:val="HTMLPreformatted"/>
              <w:shd w:val="clear" w:color="auto" w:fill="FFFFFF"/>
              <w:spacing w:line="480" w:lineRule="auto"/>
              <w:jc w:val="center"/>
              <w:rPr>
                <w:rFonts w:asciiTheme="majorBidi" w:eastAsia="Calibri" w:hAnsiTheme="majorBidi" w:cstheme="majorBidi"/>
                <w:color w:val="000000"/>
                <w:sz w:val="18"/>
                <w:szCs w:val="18"/>
              </w:rPr>
            </w:pPr>
            <w:r w:rsidRPr="001763D9">
              <w:rPr>
                <w:rFonts w:asciiTheme="majorBidi" w:eastAsia="Calibri" w:hAnsiTheme="majorBidi" w:cstheme="majorBidi"/>
                <w:color w:val="000000"/>
                <w:sz w:val="18"/>
                <w:szCs w:val="18"/>
              </w:rPr>
              <w:t>-7.1 (3.8)</w:t>
            </w:r>
          </w:p>
        </w:tc>
        <w:tc>
          <w:tcPr>
            <w:tcW w:w="990" w:type="dxa"/>
            <w:shd w:val="clear" w:color="auto" w:fill="auto"/>
          </w:tcPr>
          <w:p w14:paraId="5087512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0.250</w:t>
            </w:r>
          </w:p>
        </w:tc>
      </w:tr>
      <w:tr w:rsidR="00626B98" w:rsidRPr="001763D9" w14:paraId="373DE1AE" w14:textId="77777777" w:rsidTr="001763D9">
        <w:tc>
          <w:tcPr>
            <w:tcW w:w="1890" w:type="dxa"/>
            <w:tcBorders>
              <w:top w:val="nil"/>
              <w:bottom w:val="dotted" w:sz="4" w:space="0" w:color="auto"/>
            </w:tcBorders>
            <w:shd w:val="clear" w:color="auto" w:fill="auto"/>
          </w:tcPr>
          <w:p w14:paraId="51CF087A"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R15</w:t>
            </w:r>
          </w:p>
        </w:tc>
        <w:tc>
          <w:tcPr>
            <w:tcW w:w="1350" w:type="dxa"/>
            <w:tcBorders>
              <w:top w:val="nil"/>
              <w:bottom w:val="dotted" w:sz="4" w:space="0" w:color="auto"/>
            </w:tcBorders>
            <w:shd w:val="clear" w:color="auto" w:fill="auto"/>
          </w:tcPr>
          <w:p w14:paraId="0E851F4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3.69 (3.5)</w:t>
            </w:r>
          </w:p>
        </w:tc>
        <w:tc>
          <w:tcPr>
            <w:tcW w:w="990" w:type="dxa"/>
            <w:tcBorders>
              <w:top w:val="nil"/>
              <w:bottom w:val="dotted" w:sz="4" w:space="0" w:color="auto"/>
            </w:tcBorders>
          </w:tcPr>
          <w:p w14:paraId="240E341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0.720</w:t>
            </w:r>
          </w:p>
        </w:tc>
        <w:tc>
          <w:tcPr>
            <w:tcW w:w="1260" w:type="dxa"/>
            <w:tcBorders>
              <w:top w:val="nil"/>
              <w:bottom w:val="dotted" w:sz="4" w:space="0" w:color="auto"/>
            </w:tcBorders>
            <w:shd w:val="clear" w:color="auto" w:fill="auto"/>
          </w:tcPr>
          <w:p w14:paraId="4FF1713B"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5.76 (3.1)</w:t>
            </w:r>
          </w:p>
        </w:tc>
        <w:tc>
          <w:tcPr>
            <w:tcW w:w="990" w:type="dxa"/>
            <w:tcBorders>
              <w:top w:val="nil"/>
              <w:bottom w:val="dotted" w:sz="4" w:space="0" w:color="auto"/>
            </w:tcBorders>
          </w:tcPr>
          <w:p w14:paraId="7C91CF9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0.260</w:t>
            </w:r>
          </w:p>
        </w:tc>
        <w:tc>
          <w:tcPr>
            <w:tcW w:w="1260" w:type="dxa"/>
            <w:tcBorders>
              <w:top w:val="nil"/>
              <w:bottom w:val="dotted" w:sz="4" w:space="0" w:color="auto"/>
            </w:tcBorders>
            <w:shd w:val="clear" w:color="auto" w:fill="auto"/>
          </w:tcPr>
          <w:p w14:paraId="00D5573B" w14:textId="77777777" w:rsidR="00626B98" w:rsidRPr="001763D9" w:rsidRDefault="00626B98" w:rsidP="00626B98">
            <w:pPr>
              <w:pStyle w:val="HTMLPreformatted"/>
              <w:shd w:val="clear" w:color="auto" w:fill="FFFFFF"/>
              <w:spacing w:line="480" w:lineRule="auto"/>
              <w:jc w:val="center"/>
              <w:rPr>
                <w:rFonts w:asciiTheme="majorBidi" w:eastAsia="Calibri" w:hAnsiTheme="majorBidi" w:cstheme="majorBidi"/>
                <w:color w:val="000000"/>
                <w:sz w:val="18"/>
                <w:szCs w:val="18"/>
              </w:rPr>
            </w:pPr>
            <w:r w:rsidRPr="001763D9">
              <w:rPr>
                <w:rFonts w:asciiTheme="majorBidi" w:eastAsia="Calibri" w:hAnsiTheme="majorBidi" w:cstheme="majorBidi"/>
                <w:sz w:val="18"/>
                <w:szCs w:val="18"/>
              </w:rPr>
              <w:t>-3.9 (3.9)</w:t>
            </w:r>
          </w:p>
        </w:tc>
        <w:tc>
          <w:tcPr>
            <w:tcW w:w="990" w:type="dxa"/>
            <w:tcBorders>
              <w:bottom w:val="dotted" w:sz="4" w:space="0" w:color="auto"/>
            </w:tcBorders>
            <w:shd w:val="clear" w:color="auto" w:fill="auto"/>
          </w:tcPr>
          <w:p w14:paraId="13802CA8"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0.750</w:t>
            </w:r>
          </w:p>
        </w:tc>
      </w:tr>
      <w:tr w:rsidR="00626B98" w:rsidRPr="001763D9" w14:paraId="55ACA201" w14:textId="77777777" w:rsidTr="001763D9">
        <w:tc>
          <w:tcPr>
            <w:tcW w:w="1890" w:type="dxa"/>
            <w:tcBorders>
              <w:top w:val="nil"/>
              <w:bottom w:val="dotted" w:sz="4" w:space="0" w:color="auto"/>
            </w:tcBorders>
            <w:shd w:val="clear" w:color="auto" w:fill="auto"/>
          </w:tcPr>
          <w:p w14:paraId="5C079B7A"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R10 – R20</w:t>
            </w:r>
          </w:p>
        </w:tc>
        <w:tc>
          <w:tcPr>
            <w:tcW w:w="1350" w:type="dxa"/>
            <w:tcBorders>
              <w:top w:val="nil"/>
              <w:bottom w:val="dotted" w:sz="4" w:space="0" w:color="auto"/>
            </w:tcBorders>
            <w:shd w:val="clear" w:color="auto" w:fill="auto"/>
          </w:tcPr>
          <w:p w14:paraId="2AE46F96"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-3.25 (3.5)</w:t>
            </w:r>
          </w:p>
        </w:tc>
        <w:tc>
          <w:tcPr>
            <w:tcW w:w="990" w:type="dxa"/>
            <w:tcBorders>
              <w:top w:val="nil"/>
              <w:bottom w:val="dotted" w:sz="4" w:space="0" w:color="auto"/>
            </w:tcBorders>
          </w:tcPr>
          <w:p w14:paraId="1899A649"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0.790</w:t>
            </w:r>
          </w:p>
        </w:tc>
        <w:tc>
          <w:tcPr>
            <w:tcW w:w="1260" w:type="dxa"/>
            <w:tcBorders>
              <w:top w:val="nil"/>
              <w:bottom w:val="dotted" w:sz="4" w:space="0" w:color="auto"/>
            </w:tcBorders>
            <w:shd w:val="clear" w:color="auto" w:fill="auto"/>
          </w:tcPr>
          <w:p w14:paraId="598CFB5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-0.86 (3.4)</w:t>
            </w:r>
          </w:p>
        </w:tc>
        <w:tc>
          <w:tcPr>
            <w:tcW w:w="990" w:type="dxa"/>
            <w:tcBorders>
              <w:top w:val="nil"/>
              <w:bottom w:val="dotted" w:sz="4" w:space="0" w:color="auto"/>
            </w:tcBorders>
          </w:tcPr>
          <w:p w14:paraId="1093E525"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0.990</w:t>
            </w:r>
          </w:p>
        </w:tc>
        <w:tc>
          <w:tcPr>
            <w:tcW w:w="1260" w:type="dxa"/>
            <w:tcBorders>
              <w:top w:val="nil"/>
              <w:bottom w:val="dotted" w:sz="4" w:space="0" w:color="auto"/>
            </w:tcBorders>
            <w:shd w:val="clear" w:color="auto" w:fill="auto"/>
          </w:tcPr>
          <w:p w14:paraId="14CA856D" w14:textId="77777777" w:rsidR="00626B98" w:rsidRPr="001763D9" w:rsidRDefault="00626B98" w:rsidP="00626B98">
            <w:pPr>
              <w:pStyle w:val="HTMLPreformatted"/>
              <w:shd w:val="clear" w:color="auto" w:fill="FFFFFF"/>
              <w:spacing w:line="480" w:lineRule="auto"/>
              <w:jc w:val="center"/>
              <w:rPr>
                <w:rFonts w:asciiTheme="majorBidi" w:eastAsia="Calibri" w:hAnsiTheme="majorBidi" w:cstheme="majorBidi"/>
                <w:color w:val="000000"/>
                <w:sz w:val="18"/>
                <w:szCs w:val="18"/>
              </w:rPr>
            </w:pPr>
            <w:r w:rsidRPr="001763D9">
              <w:rPr>
                <w:rFonts w:asciiTheme="majorBidi" w:eastAsia="Calibri" w:hAnsiTheme="majorBidi" w:cstheme="majorBidi"/>
                <w:color w:val="000000"/>
                <w:sz w:val="18"/>
                <w:szCs w:val="18"/>
              </w:rPr>
              <w:t>0.69 (3.9)</w:t>
            </w:r>
          </w:p>
        </w:tc>
        <w:tc>
          <w:tcPr>
            <w:tcW w:w="990" w:type="dxa"/>
            <w:tcBorders>
              <w:bottom w:val="dotted" w:sz="4" w:space="0" w:color="auto"/>
            </w:tcBorders>
            <w:shd w:val="clear" w:color="auto" w:fill="auto"/>
          </w:tcPr>
          <w:p w14:paraId="386D56ED"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0.990</w:t>
            </w:r>
          </w:p>
        </w:tc>
      </w:tr>
      <w:tr w:rsidR="00626B98" w:rsidRPr="001763D9" w14:paraId="75A0E380" w14:textId="77777777" w:rsidTr="001763D9">
        <w:tc>
          <w:tcPr>
            <w:tcW w:w="1890" w:type="dxa"/>
            <w:tcBorders>
              <w:top w:val="nil"/>
              <w:bottom w:val="single" w:sz="4" w:space="0" w:color="auto"/>
            </w:tcBorders>
            <w:shd w:val="clear" w:color="auto" w:fill="auto"/>
          </w:tcPr>
          <w:p w14:paraId="5ACFED62" w14:textId="77777777" w:rsidR="00626B98" w:rsidRPr="001763D9" w:rsidRDefault="00626B98" w:rsidP="00626B98">
            <w:pPr>
              <w:spacing w:after="0" w:line="480" w:lineRule="auto"/>
              <w:rPr>
                <w:rFonts w:asciiTheme="majorBidi" w:hAnsiTheme="majorBidi" w:cstheme="majorBidi"/>
                <w:color w:val="000000"/>
                <w:sz w:val="18"/>
                <w:szCs w:val="18"/>
                <w:lang w:bidi="fa-IR"/>
              </w:rPr>
            </w:pPr>
            <w:r w:rsidRPr="001763D9">
              <w:rPr>
                <w:rFonts w:asciiTheme="majorBidi" w:hAnsiTheme="majorBidi" w:cstheme="majorBidi"/>
                <w:color w:val="000000"/>
                <w:sz w:val="18"/>
                <w:szCs w:val="18"/>
                <w:lang w:bidi="fa-IR"/>
              </w:rPr>
              <w:t>R15 – R20</w:t>
            </w:r>
          </w:p>
        </w:tc>
        <w:tc>
          <w:tcPr>
            <w:tcW w:w="1350" w:type="dxa"/>
            <w:tcBorders>
              <w:top w:val="nil"/>
              <w:bottom w:val="single" w:sz="4" w:space="0" w:color="auto"/>
            </w:tcBorders>
            <w:shd w:val="clear" w:color="auto" w:fill="auto"/>
          </w:tcPr>
          <w:p w14:paraId="75D2AD74"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-6.94 (3.4)</w:t>
            </w:r>
          </w:p>
        </w:tc>
        <w:tc>
          <w:tcPr>
            <w:tcW w:w="990" w:type="dxa"/>
            <w:tcBorders>
              <w:top w:val="nil"/>
              <w:bottom w:val="single" w:sz="4" w:space="0" w:color="auto"/>
            </w:tcBorders>
          </w:tcPr>
          <w:p w14:paraId="2E5527B7"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0.190</w:t>
            </w:r>
          </w:p>
        </w:tc>
        <w:tc>
          <w:tcPr>
            <w:tcW w:w="1260" w:type="dxa"/>
            <w:tcBorders>
              <w:top w:val="nil"/>
              <w:bottom w:val="single" w:sz="4" w:space="0" w:color="auto"/>
            </w:tcBorders>
            <w:shd w:val="clear" w:color="auto" w:fill="auto"/>
          </w:tcPr>
          <w:p w14:paraId="13E1529A"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-6.62 (3.5)</w:t>
            </w:r>
          </w:p>
        </w:tc>
        <w:tc>
          <w:tcPr>
            <w:tcW w:w="990" w:type="dxa"/>
            <w:tcBorders>
              <w:top w:val="nil"/>
              <w:bottom w:val="single" w:sz="4" w:space="0" w:color="auto"/>
            </w:tcBorders>
          </w:tcPr>
          <w:p w14:paraId="462A9D7C"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0.240</w:t>
            </w:r>
          </w:p>
        </w:tc>
        <w:tc>
          <w:tcPr>
            <w:tcW w:w="1260" w:type="dxa"/>
            <w:tcBorders>
              <w:top w:val="nil"/>
              <w:bottom w:val="single" w:sz="4" w:space="0" w:color="auto"/>
            </w:tcBorders>
            <w:shd w:val="clear" w:color="auto" w:fill="auto"/>
          </w:tcPr>
          <w:p w14:paraId="6BE87915"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4.59 (3.8)</w:t>
            </w:r>
          </w:p>
        </w:tc>
        <w:tc>
          <w:tcPr>
            <w:tcW w:w="990" w:type="dxa"/>
            <w:tcBorders>
              <w:bottom w:val="single" w:sz="4" w:space="0" w:color="auto"/>
            </w:tcBorders>
            <w:shd w:val="clear" w:color="auto" w:fill="auto"/>
          </w:tcPr>
          <w:p w14:paraId="507A0F11" w14:textId="77777777" w:rsidR="00626B98" w:rsidRPr="001763D9" w:rsidRDefault="00626B98" w:rsidP="00626B98">
            <w:pPr>
              <w:spacing w:after="0" w:line="480" w:lineRule="auto"/>
              <w:jc w:val="center"/>
              <w:rPr>
                <w:rFonts w:asciiTheme="majorBidi" w:hAnsiTheme="majorBidi" w:cstheme="majorBidi"/>
                <w:color w:val="000000"/>
                <w:sz w:val="18"/>
                <w:szCs w:val="18"/>
              </w:rPr>
            </w:pPr>
            <w:r w:rsidRPr="001763D9">
              <w:rPr>
                <w:rFonts w:asciiTheme="majorBidi" w:hAnsiTheme="majorBidi" w:cstheme="majorBidi"/>
                <w:color w:val="000000"/>
                <w:sz w:val="18"/>
                <w:szCs w:val="18"/>
              </w:rPr>
              <w:t>0.620</w:t>
            </w:r>
          </w:p>
        </w:tc>
      </w:tr>
      <w:tr w:rsidR="00626B98" w:rsidRPr="001763D9" w14:paraId="3DD4CDDC" w14:textId="77777777" w:rsidTr="001763D9">
        <w:tc>
          <w:tcPr>
            <w:tcW w:w="8730" w:type="dxa"/>
            <w:gridSpan w:val="7"/>
            <w:tcBorders>
              <w:top w:val="single" w:sz="4" w:space="0" w:color="auto"/>
              <w:bottom w:val="dotted" w:sz="4" w:space="0" w:color="auto"/>
            </w:tcBorders>
            <w:shd w:val="clear" w:color="auto" w:fill="auto"/>
          </w:tcPr>
          <w:p w14:paraId="3844AE05" w14:textId="77777777" w:rsidR="00626B98" w:rsidRPr="001763D9" w:rsidRDefault="00626B98" w:rsidP="00626B98">
            <w:pPr>
              <w:spacing w:after="0" w:line="480" w:lineRule="auto"/>
              <w:rPr>
                <w:rFonts w:asciiTheme="majorBidi" w:hAnsiTheme="majorBidi" w:cstheme="majorBidi"/>
                <w:color w:val="000000"/>
                <w:sz w:val="18"/>
                <w:szCs w:val="18"/>
              </w:rPr>
            </w:pPr>
            <w:r w:rsidRPr="001763D9">
              <w:rPr>
                <w:rFonts w:asciiTheme="majorBidi" w:hAnsiTheme="majorBidi" w:cstheme="majorBidi"/>
                <w:color w:val="000000"/>
                <w:sz w:val="18"/>
                <w:szCs w:val="18"/>
              </w:rPr>
              <w:t>P values &lt; 0.05 was considered significant.</w:t>
            </w:r>
          </w:p>
        </w:tc>
      </w:tr>
    </w:tbl>
    <w:p w14:paraId="27EA34CF" w14:textId="77777777" w:rsidR="00FF1708" w:rsidRPr="001763D9" w:rsidRDefault="00FF1708" w:rsidP="00626B98">
      <w:pPr>
        <w:spacing w:before="240" w:line="480" w:lineRule="auto"/>
        <w:rPr>
          <w:rFonts w:asciiTheme="majorBidi" w:hAnsiTheme="majorBidi" w:cstheme="majorBidi"/>
          <w:sz w:val="24"/>
          <w:szCs w:val="24"/>
        </w:rPr>
      </w:pPr>
    </w:p>
    <w:p w14:paraId="5EF8B267" w14:textId="77777777" w:rsidR="001D1883" w:rsidRPr="001D1883" w:rsidRDefault="001D1883" w:rsidP="004C7A32">
      <w:pPr>
        <w:pStyle w:val="Caption"/>
        <w:keepNext/>
        <w:spacing w:line="480" w:lineRule="auto"/>
        <w:rPr>
          <w:rFonts w:asciiTheme="majorBidi" w:hAnsiTheme="majorBidi" w:cstheme="majorBidi"/>
          <w:b/>
          <w:bCs/>
          <w:i w:val="0"/>
          <w:iCs w:val="0"/>
          <w:color w:val="auto"/>
        </w:rPr>
      </w:pPr>
      <w:bookmarkStart w:id="7" w:name="_Ref798626"/>
      <w:r w:rsidRPr="001D1883">
        <w:rPr>
          <w:rFonts w:asciiTheme="majorBidi" w:hAnsiTheme="majorBidi" w:cstheme="majorBidi"/>
          <w:b/>
          <w:bCs/>
          <w:i w:val="0"/>
          <w:iCs w:val="0"/>
          <w:color w:val="auto"/>
        </w:rPr>
        <w:lastRenderedPageBreak/>
        <w:t xml:space="preserve">Table </w:t>
      </w:r>
      <w:r w:rsidRPr="001D1883">
        <w:rPr>
          <w:rFonts w:asciiTheme="majorBidi" w:hAnsiTheme="majorBidi" w:cstheme="majorBidi"/>
          <w:b/>
          <w:bCs/>
          <w:i w:val="0"/>
          <w:iCs w:val="0"/>
          <w:color w:val="auto"/>
        </w:rPr>
        <w:fldChar w:fldCharType="begin"/>
      </w:r>
      <w:r w:rsidRPr="001D1883">
        <w:rPr>
          <w:rFonts w:asciiTheme="majorBidi" w:hAnsiTheme="majorBidi" w:cstheme="majorBidi"/>
          <w:b/>
          <w:bCs/>
          <w:i w:val="0"/>
          <w:iCs w:val="0"/>
          <w:color w:val="auto"/>
        </w:rPr>
        <w:instrText xml:space="preserve"> SEQ Table \* ARABIC </w:instrText>
      </w:r>
      <w:r w:rsidRPr="001D1883">
        <w:rPr>
          <w:rFonts w:asciiTheme="majorBidi" w:hAnsiTheme="majorBidi" w:cstheme="majorBidi"/>
          <w:b/>
          <w:bCs/>
          <w:i w:val="0"/>
          <w:iCs w:val="0"/>
          <w:color w:val="auto"/>
        </w:rPr>
        <w:fldChar w:fldCharType="separate"/>
      </w:r>
      <w:r w:rsidRPr="001D1883">
        <w:rPr>
          <w:rFonts w:asciiTheme="majorBidi" w:hAnsiTheme="majorBidi" w:cstheme="majorBidi"/>
          <w:b/>
          <w:bCs/>
          <w:i w:val="0"/>
          <w:iCs w:val="0"/>
          <w:noProof/>
          <w:color w:val="auto"/>
        </w:rPr>
        <w:t>4</w:t>
      </w:r>
      <w:r w:rsidRPr="001D1883">
        <w:rPr>
          <w:rFonts w:asciiTheme="majorBidi" w:hAnsiTheme="majorBidi" w:cstheme="majorBidi"/>
          <w:b/>
          <w:bCs/>
          <w:i w:val="0"/>
          <w:iCs w:val="0"/>
          <w:color w:val="auto"/>
        </w:rPr>
        <w:fldChar w:fldCharType="end"/>
      </w:r>
      <w:bookmarkEnd w:id="7"/>
    </w:p>
    <w:p w14:paraId="05E10505" w14:textId="77777777" w:rsidR="001D1883" w:rsidRPr="001D1883" w:rsidRDefault="001D1883" w:rsidP="004C7A32">
      <w:pPr>
        <w:pStyle w:val="Caption"/>
        <w:keepNext/>
        <w:spacing w:line="480" w:lineRule="auto"/>
        <w:rPr>
          <w:rFonts w:asciiTheme="majorBidi" w:hAnsiTheme="majorBidi" w:cstheme="majorBidi"/>
          <w:i w:val="0"/>
          <w:iCs w:val="0"/>
          <w:color w:val="auto"/>
        </w:rPr>
      </w:pPr>
      <w:r w:rsidRPr="001D1883">
        <w:rPr>
          <w:rFonts w:asciiTheme="majorBidi" w:hAnsiTheme="majorBidi" w:cstheme="majorBidi"/>
          <w:i w:val="0"/>
          <w:iCs w:val="0"/>
          <w:color w:val="auto"/>
        </w:rPr>
        <w:t>Pairwise contrasts between groups for outcome measures in which group main-effect was significant</w:t>
      </w:r>
    </w:p>
    <w:tbl>
      <w:tblPr>
        <w:tblW w:w="0" w:type="auto"/>
        <w:tblBorders>
          <w:top w:val="single" w:sz="4" w:space="0" w:color="000000"/>
          <w:bottom w:val="single" w:sz="4" w:space="0" w:color="000000"/>
        </w:tblBorders>
        <w:tblLayout w:type="fixed"/>
        <w:tblLook w:val="04A0" w:firstRow="1" w:lastRow="0" w:firstColumn="1" w:lastColumn="0" w:noHBand="0" w:noVBand="1"/>
      </w:tblPr>
      <w:tblGrid>
        <w:gridCol w:w="1890"/>
        <w:gridCol w:w="1440"/>
        <w:gridCol w:w="1530"/>
        <w:gridCol w:w="1440"/>
        <w:gridCol w:w="1440"/>
      </w:tblGrid>
      <w:tr w:rsidR="001D1883" w:rsidRPr="005B2B14" w14:paraId="67397885" w14:textId="77777777" w:rsidTr="00570EC8">
        <w:trPr>
          <w:trHeight w:val="530"/>
        </w:trPr>
        <w:tc>
          <w:tcPr>
            <w:tcW w:w="1890" w:type="dxa"/>
            <w:tcBorders>
              <w:bottom w:val="single" w:sz="4" w:space="0" w:color="000000"/>
            </w:tcBorders>
            <w:shd w:val="clear" w:color="auto" w:fill="auto"/>
            <w:vAlign w:val="center"/>
          </w:tcPr>
          <w:p w14:paraId="248A3E00" w14:textId="77777777" w:rsidR="001D1883" w:rsidRPr="005B2B14" w:rsidRDefault="001D1883" w:rsidP="004C7A32">
            <w:pPr>
              <w:spacing w:after="0" w:line="480" w:lineRule="auto"/>
              <w:rPr>
                <w:rFonts w:asciiTheme="majorBidi" w:hAnsiTheme="majorBidi" w:cstheme="majorBidi"/>
                <w:b/>
                <w:bCs/>
                <w:color w:val="000000"/>
                <w:sz w:val="18"/>
                <w:szCs w:val="18"/>
              </w:rPr>
            </w:pPr>
            <w:r w:rsidRPr="005B2B14">
              <w:rPr>
                <w:rFonts w:asciiTheme="majorBidi" w:hAnsiTheme="majorBidi" w:cstheme="majorBidi"/>
                <w:b/>
                <w:bCs/>
                <w:color w:val="000000"/>
                <w:sz w:val="18"/>
                <w:szCs w:val="18"/>
              </w:rPr>
              <w:t>Outcome measure</w:t>
            </w:r>
          </w:p>
        </w:tc>
        <w:tc>
          <w:tcPr>
            <w:tcW w:w="1440" w:type="dxa"/>
            <w:tcBorders>
              <w:bottom w:val="single" w:sz="4" w:space="0" w:color="000000"/>
            </w:tcBorders>
            <w:shd w:val="clear" w:color="auto" w:fill="auto"/>
            <w:vAlign w:val="center"/>
          </w:tcPr>
          <w:p w14:paraId="66794DC7"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b/>
                <w:bCs/>
                <w:color w:val="000000"/>
                <w:sz w:val="18"/>
                <w:szCs w:val="18"/>
              </w:rPr>
              <w:t>Barefoot</w:t>
            </w:r>
            <w:r w:rsidRPr="005B2B14" w:rsidDel="00BB16CA">
              <w:rPr>
                <w:rFonts w:asciiTheme="majorBidi" w:hAnsiTheme="majorBidi" w:cstheme="majorBidi"/>
                <w:b/>
                <w:bCs/>
                <w:color w:val="000000"/>
                <w:sz w:val="18"/>
                <w:szCs w:val="18"/>
              </w:rPr>
              <w:t xml:space="preserve"> </w:t>
            </w:r>
            <w:r w:rsidRPr="005B2B14">
              <w:rPr>
                <w:rFonts w:asciiTheme="majorBidi" w:hAnsiTheme="majorBidi" w:cstheme="majorBidi"/>
                <w:color w:val="000000"/>
                <w:sz w:val="18"/>
                <w:szCs w:val="18"/>
              </w:rPr>
              <w:t>Estimate (SE)</w:t>
            </w:r>
          </w:p>
        </w:tc>
        <w:tc>
          <w:tcPr>
            <w:tcW w:w="1530" w:type="dxa"/>
            <w:tcBorders>
              <w:bottom w:val="single" w:sz="4" w:space="0" w:color="000000"/>
            </w:tcBorders>
            <w:shd w:val="clear" w:color="auto" w:fill="auto"/>
            <w:vAlign w:val="center"/>
          </w:tcPr>
          <w:p w14:paraId="56A9CBF2"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b/>
                <w:bCs/>
                <w:color w:val="000000"/>
                <w:sz w:val="18"/>
                <w:szCs w:val="18"/>
              </w:rPr>
              <w:t>R10</w:t>
            </w:r>
          </w:p>
          <w:p w14:paraId="4B01D808"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color w:val="000000"/>
                <w:sz w:val="18"/>
                <w:szCs w:val="18"/>
              </w:rPr>
              <w:t>Estimate (SE)</w:t>
            </w:r>
          </w:p>
        </w:tc>
        <w:tc>
          <w:tcPr>
            <w:tcW w:w="1440" w:type="dxa"/>
            <w:tcBorders>
              <w:bottom w:val="single" w:sz="4" w:space="0" w:color="000000"/>
            </w:tcBorders>
            <w:shd w:val="clear" w:color="auto" w:fill="auto"/>
            <w:vAlign w:val="center"/>
          </w:tcPr>
          <w:p w14:paraId="20C991EF"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b/>
                <w:bCs/>
                <w:color w:val="000000"/>
                <w:sz w:val="18"/>
                <w:szCs w:val="18"/>
              </w:rPr>
              <w:t>R15</w:t>
            </w:r>
          </w:p>
          <w:p w14:paraId="6FF04E4B"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color w:val="000000"/>
                <w:sz w:val="18"/>
                <w:szCs w:val="18"/>
              </w:rPr>
              <w:t>Estimate (SE)</w:t>
            </w:r>
          </w:p>
        </w:tc>
        <w:tc>
          <w:tcPr>
            <w:tcW w:w="1440" w:type="dxa"/>
            <w:tcBorders>
              <w:bottom w:val="single" w:sz="4" w:space="0" w:color="000000"/>
            </w:tcBorders>
            <w:vAlign w:val="center"/>
          </w:tcPr>
          <w:p w14:paraId="70F89698"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b/>
                <w:bCs/>
                <w:color w:val="000000"/>
                <w:sz w:val="18"/>
                <w:szCs w:val="18"/>
              </w:rPr>
              <w:t>R20</w:t>
            </w:r>
          </w:p>
          <w:p w14:paraId="0BB62F19"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color w:val="000000"/>
                <w:sz w:val="18"/>
                <w:szCs w:val="18"/>
              </w:rPr>
              <w:t>Estimate (SE)</w:t>
            </w:r>
          </w:p>
        </w:tc>
      </w:tr>
      <w:tr w:rsidR="001D1883" w:rsidRPr="005B2B14" w14:paraId="2C25A856" w14:textId="77777777" w:rsidTr="00570EC8">
        <w:trPr>
          <w:trHeight w:val="215"/>
        </w:trPr>
        <w:tc>
          <w:tcPr>
            <w:tcW w:w="1890" w:type="dxa"/>
            <w:tcBorders>
              <w:top w:val="dotted" w:sz="4" w:space="0" w:color="auto"/>
            </w:tcBorders>
            <w:shd w:val="clear" w:color="auto" w:fill="auto"/>
          </w:tcPr>
          <w:p w14:paraId="22D16720"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FMOS  (mm)</w:t>
            </w:r>
          </w:p>
        </w:tc>
        <w:tc>
          <w:tcPr>
            <w:tcW w:w="1440" w:type="dxa"/>
            <w:tcBorders>
              <w:top w:val="dotted" w:sz="4" w:space="0" w:color="auto"/>
            </w:tcBorders>
            <w:shd w:val="clear" w:color="auto" w:fill="auto"/>
          </w:tcPr>
          <w:p w14:paraId="566E042D"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55A30C1C"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6B147F3D"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0C6224AD" w14:textId="77777777" w:rsidR="001D1883" w:rsidRPr="005B2B14" w:rsidRDefault="001D1883" w:rsidP="004C7A32">
            <w:pPr>
              <w:spacing w:after="0" w:line="480" w:lineRule="auto"/>
              <w:jc w:val="center"/>
              <w:rPr>
                <w:rFonts w:asciiTheme="majorBidi" w:hAnsiTheme="majorBidi" w:cstheme="majorBidi"/>
                <w:b/>
                <w:bCs/>
                <w:color w:val="000000"/>
                <w:sz w:val="18"/>
                <w:szCs w:val="18"/>
                <w:vertAlign w:val="superscript"/>
              </w:rPr>
            </w:pPr>
          </w:p>
        </w:tc>
      </w:tr>
      <w:tr w:rsidR="001D1883" w:rsidRPr="005B2B14" w14:paraId="042BFBA4" w14:textId="77777777" w:rsidTr="00570EC8">
        <w:tc>
          <w:tcPr>
            <w:tcW w:w="1890" w:type="dxa"/>
            <w:shd w:val="clear" w:color="auto" w:fill="auto"/>
          </w:tcPr>
          <w:p w14:paraId="3BB7BA84"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127B3A8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-25.46 (5.3)**</w:t>
            </w:r>
          </w:p>
        </w:tc>
        <w:tc>
          <w:tcPr>
            <w:tcW w:w="1530" w:type="dxa"/>
            <w:shd w:val="clear" w:color="auto" w:fill="auto"/>
          </w:tcPr>
          <w:p w14:paraId="1C8178C8"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-24.74 (5.5)**</w:t>
            </w:r>
          </w:p>
        </w:tc>
        <w:tc>
          <w:tcPr>
            <w:tcW w:w="1440" w:type="dxa"/>
            <w:shd w:val="clear" w:color="auto" w:fill="auto"/>
          </w:tcPr>
          <w:p w14:paraId="2E03506C" w14:textId="77777777" w:rsidR="001D1883" w:rsidRPr="005B2B14" w:rsidRDefault="001D1883" w:rsidP="004C7A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-32.33 (5.3)***</w:t>
            </w:r>
          </w:p>
        </w:tc>
        <w:tc>
          <w:tcPr>
            <w:tcW w:w="1440" w:type="dxa"/>
          </w:tcPr>
          <w:p w14:paraId="503108D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-20.79 (5.3)**</w:t>
            </w:r>
          </w:p>
        </w:tc>
      </w:tr>
      <w:tr w:rsidR="001D1883" w:rsidRPr="005B2B14" w14:paraId="08EA84A8" w14:textId="77777777" w:rsidTr="00570EC8">
        <w:tc>
          <w:tcPr>
            <w:tcW w:w="1890" w:type="dxa"/>
            <w:shd w:val="clear" w:color="auto" w:fill="auto"/>
          </w:tcPr>
          <w:p w14:paraId="26618185"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05B294F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-10.06 (4.8)</w:t>
            </w:r>
          </w:p>
        </w:tc>
        <w:tc>
          <w:tcPr>
            <w:tcW w:w="1530" w:type="dxa"/>
            <w:shd w:val="clear" w:color="auto" w:fill="auto"/>
          </w:tcPr>
          <w:p w14:paraId="2F09DD24"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-11.19 (4.8)</w:t>
            </w:r>
          </w:p>
        </w:tc>
        <w:tc>
          <w:tcPr>
            <w:tcW w:w="1440" w:type="dxa"/>
            <w:shd w:val="clear" w:color="auto" w:fill="auto"/>
          </w:tcPr>
          <w:p w14:paraId="287568E6" w14:textId="77777777" w:rsidR="001D1883" w:rsidRPr="005B2B14" w:rsidRDefault="001D1883" w:rsidP="004C7A32">
            <w:pPr>
              <w:pStyle w:val="HTMLPreformatted"/>
              <w:shd w:val="clear" w:color="auto" w:fill="FFFFFF"/>
              <w:spacing w:line="480" w:lineRule="auto"/>
              <w:jc w:val="center"/>
              <w:rPr>
                <w:rFonts w:asciiTheme="majorBidi" w:eastAsia="Calibri" w:hAnsiTheme="majorBidi" w:cstheme="majorBidi"/>
                <w:color w:val="000000"/>
                <w:sz w:val="18"/>
                <w:szCs w:val="18"/>
              </w:rPr>
            </w:pPr>
            <w:r w:rsidRPr="005B2B14">
              <w:rPr>
                <w:rFonts w:asciiTheme="majorBidi" w:eastAsia="Calibri" w:hAnsiTheme="majorBidi" w:cstheme="majorBidi"/>
                <w:color w:val="000000"/>
                <w:sz w:val="18"/>
                <w:szCs w:val="18"/>
              </w:rPr>
              <w:t>-9.11 (4.8)</w:t>
            </w:r>
          </w:p>
        </w:tc>
        <w:tc>
          <w:tcPr>
            <w:tcW w:w="1440" w:type="dxa"/>
          </w:tcPr>
          <w:p w14:paraId="3B460996" w14:textId="77777777" w:rsidR="001D1883" w:rsidRPr="005B2B14" w:rsidRDefault="001D1883" w:rsidP="004C7A32">
            <w:pPr>
              <w:spacing w:after="0" w:line="480" w:lineRule="auto"/>
              <w:jc w:val="center"/>
              <w:rPr>
                <w:rFonts w:asciiTheme="majorBidi" w:hAnsiTheme="majorBidi" w:cstheme="majorBidi"/>
                <w:b/>
                <w:bCs/>
                <w:color w:val="000000"/>
                <w:sz w:val="18"/>
                <w:szCs w:val="18"/>
              </w:rPr>
            </w:pPr>
            <w:r w:rsidRPr="005B2B14">
              <w:rPr>
                <w:rFonts w:asciiTheme="majorBidi" w:hAnsiTheme="majorBidi" w:cstheme="majorBidi"/>
                <w:b/>
                <w:bCs/>
                <w:color w:val="000000"/>
                <w:sz w:val="18"/>
                <w:szCs w:val="18"/>
              </w:rPr>
              <w:t>-</w:t>
            </w:r>
            <w:r w:rsidRPr="005B2B14">
              <w:rPr>
                <w:rFonts w:asciiTheme="majorBidi" w:hAnsiTheme="majorBidi" w:cstheme="majorBidi"/>
                <w:color w:val="000000"/>
                <w:sz w:val="18"/>
                <w:szCs w:val="18"/>
              </w:rPr>
              <w:t>8.8 (5)</w:t>
            </w:r>
          </w:p>
        </w:tc>
      </w:tr>
      <w:tr w:rsidR="001D1883" w:rsidRPr="005B2B14" w14:paraId="5A1AE711" w14:textId="77777777" w:rsidTr="00570EC8">
        <w:tc>
          <w:tcPr>
            <w:tcW w:w="1890" w:type="dxa"/>
            <w:tcBorders>
              <w:bottom w:val="nil"/>
            </w:tcBorders>
            <w:shd w:val="clear" w:color="auto" w:fill="auto"/>
          </w:tcPr>
          <w:p w14:paraId="27EFC73F"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nil"/>
            </w:tcBorders>
            <w:shd w:val="clear" w:color="auto" w:fill="auto"/>
          </w:tcPr>
          <w:p w14:paraId="34BB87C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15.4 (5.07)*</w:t>
            </w:r>
          </w:p>
        </w:tc>
        <w:tc>
          <w:tcPr>
            <w:tcW w:w="1530" w:type="dxa"/>
            <w:tcBorders>
              <w:bottom w:val="nil"/>
            </w:tcBorders>
            <w:shd w:val="clear" w:color="auto" w:fill="auto"/>
          </w:tcPr>
          <w:p w14:paraId="19552A4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13.55 (5.2)*</w:t>
            </w:r>
          </w:p>
        </w:tc>
        <w:tc>
          <w:tcPr>
            <w:tcW w:w="1440" w:type="dxa"/>
            <w:tcBorders>
              <w:bottom w:val="nil"/>
            </w:tcBorders>
            <w:shd w:val="clear" w:color="auto" w:fill="auto"/>
          </w:tcPr>
          <w:p w14:paraId="73447E3F" w14:textId="77777777" w:rsidR="001D1883" w:rsidRPr="005B2B14" w:rsidRDefault="001D1883" w:rsidP="004C7A32">
            <w:pPr>
              <w:pStyle w:val="HTMLPreformatted"/>
              <w:shd w:val="clear" w:color="auto" w:fill="FFFFFF"/>
              <w:spacing w:line="480" w:lineRule="auto"/>
              <w:jc w:val="center"/>
              <w:rPr>
                <w:rFonts w:asciiTheme="majorBidi" w:eastAsia="Calibri" w:hAnsiTheme="majorBidi" w:cstheme="majorBidi"/>
                <w:color w:val="000000"/>
                <w:sz w:val="18"/>
                <w:szCs w:val="18"/>
              </w:rPr>
            </w:pPr>
            <w:r w:rsidRPr="005B2B14">
              <w:rPr>
                <w:rFonts w:asciiTheme="majorBidi" w:eastAsia="Calibri" w:hAnsiTheme="majorBidi" w:cstheme="majorBidi"/>
                <w:color w:val="000000"/>
                <w:sz w:val="18"/>
                <w:szCs w:val="18"/>
              </w:rPr>
              <w:t>23.22 (5.1)**</w:t>
            </w:r>
          </w:p>
        </w:tc>
        <w:tc>
          <w:tcPr>
            <w:tcW w:w="1440" w:type="dxa"/>
          </w:tcPr>
          <w:p w14:paraId="25AC3285"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11.99 (5.3)</w:t>
            </w:r>
          </w:p>
        </w:tc>
      </w:tr>
      <w:tr w:rsidR="001D1883" w:rsidRPr="005B2B14" w14:paraId="63FE174A" w14:textId="77777777" w:rsidTr="00570EC8">
        <w:trPr>
          <w:trHeight w:val="245"/>
        </w:trPr>
        <w:tc>
          <w:tcPr>
            <w:tcW w:w="1890" w:type="dxa"/>
            <w:tcBorders>
              <w:top w:val="dotted" w:sz="4" w:space="0" w:color="auto"/>
            </w:tcBorders>
            <w:shd w:val="clear" w:color="auto" w:fill="auto"/>
          </w:tcPr>
          <w:p w14:paraId="551F4D58"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FMOS Variability (mm)</w:t>
            </w:r>
          </w:p>
        </w:tc>
        <w:tc>
          <w:tcPr>
            <w:tcW w:w="1440" w:type="dxa"/>
            <w:tcBorders>
              <w:top w:val="dotted" w:sz="4" w:space="0" w:color="auto"/>
            </w:tcBorders>
            <w:shd w:val="clear" w:color="auto" w:fill="auto"/>
          </w:tcPr>
          <w:p w14:paraId="2CE6FE77"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34BCD85F"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4BC596BE"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7634D5E1"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r>
      <w:tr w:rsidR="001D1883" w:rsidRPr="005B2B14" w14:paraId="19BA074B" w14:textId="77777777" w:rsidTr="00570EC8">
        <w:tc>
          <w:tcPr>
            <w:tcW w:w="1890" w:type="dxa"/>
            <w:shd w:val="clear" w:color="auto" w:fill="auto"/>
          </w:tcPr>
          <w:p w14:paraId="25D06A25"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4784D55F"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-13.32 (3.3)**</w:t>
            </w:r>
          </w:p>
        </w:tc>
        <w:tc>
          <w:tcPr>
            <w:tcW w:w="1530" w:type="dxa"/>
            <w:shd w:val="clear" w:color="auto" w:fill="auto"/>
          </w:tcPr>
          <w:p w14:paraId="4DFA85B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-11.67 (3.4)**</w:t>
            </w:r>
          </w:p>
        </w:tc>
        <w:tc>
          <w:tcPr>
            <w:tcW w:w="1440" w:type="dxa"/>
            <w:shd w:val="clear" w:color="auto" w:fill="auto"/>
          </w:tcPr>
          <w:p w14:paraId="1EE9708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-18.63 (3.3)***</w:t>
            </w:r>
          </w:p>
        </w:tc>
        <w:tc>
          <w:tcPr>
            <w:tcW w:w="1440" w:type="dxa"/>
          </w:tcPr>
          <w:p w14:paraId="7C8F1F8B"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-14.33 (3.2)**</w:t>
            </w:r>
          </w:p>
        </w:tc>
      </w:tr>
      <w:tr w:rsidR="001D1883" w:rsidRPr="005B2B14" w14:paraId="0B7F66FA" w14:textId="77777777" w:rsidTr="00570EC8">
        <w:tc>
          <w:tcPr>
            <w:tcW w:w="1890" w:type="dxa"/>
            <w:shd w:val="clear" w:color="auto" w:fill="auto"/>
          </w:tcPr>
          <w:p w14:paraId="10B67C06"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43C0B95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-6.9 (2.9)</w:t>
            </w:r>
          </w:p>
        </w:tc>
        <w:tc>
          <w:tcPr>
            <w:tcW w:w="1530" w:type="dxa"/>
            <w:shd w:val="clear" w:color="auto" w:fill="auto"/>
          </w:tcPr>
          <w:p w14:paraId="5393EDB1"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-4.31 (2.9)</w:t>
            </w:r>
          </w:p>
        </w:tc>
        <w:tc>
          <w:tcPr>
            <w:tcW w:w="1440" w:type="dxa"/>
            <w:shd w:val="clear" w:color="auto" w:fill="auto"/>
          </w:tcPr>
          <w:p w14:paraId="6D126F06"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-8.23 (2.9)*</w:t>
            </w:r>
          </w:p>
        </w:tc>
        <w:tc>
          <w:tcPr>
            <w:tcW w:w="1440" w:type="dxa"/>
          </w:tcPr>
          <w:p w14:paraId="773A1D35"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-5.07 (3.1)</w:t>
            </w:r>
          </w:p>
        </w:tc>
      </w:tr>
      <w:tr w:rsidR="001D1883" w:rsidRPr="005B2B14" w14:paraId="00E1286C" w14:textId="77777777" w:rsidTr="00570EC8">
        <w:tc>
          <w:tcPr>
            <w:tcW w:w="1890" w:type="dxa"/>
            <w:tcBorders>
              <w:bottom w:val="nil"/>
            </w:tcBorders>
            <w:shd w:val="clear" w:color="auto" w:fill="auto"/>
          </w:tcPr>
          <w:p w14:paraId="319E4DE0"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nil"/>
            </w:tcBorders>
            <w:shd w:val="clear" w:color="auto" w:fill="auto"/>
          </w:tcPr>
          <w:p w14:paraId="211E680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6.42 (3.1)</w:t>
            </w:r>
          </w:p>
        </w:tc>
        <w:tc>
          <w:tcPr>
            <w:tcW w:w="1530" w:type="dxa"/>
            <w:tcBorders>
              <w:bottom w:val="nil"/>
            </w:tcBorders>
            <w:shd w:val="clear" w:color="auto" w:fill="auto"/>
          </w:tcPr>
          <w:p w14:paraId="2689FD0F"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7.35 (3.2)</w:t>
            </w:r>
          </w:p>
        </w:tc>
        <w:tc>
          <w:tcPr>
            <w:tcW w:w="1440" w:type="dxa"/>
            <w:tcBorders>
              <w:bottom w:val="nil"/>
            </w:tcBorders>
            <w:shd w:val="clear" w:color="auto" w:fill="auto"/>
          </w:tcPr>
          <w:p w14:paraId="16BDEF7C"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10.39 (3.1)**</w:t>
            </w:r>
          </w:p>
        </w:tc>
        <w:tc>
          <w:tcPr>
            <w:tcW w:w="1440" w:type="dxa"/>
          </w:tcPr>
          <w:p w14:paraId="0F992305"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9.26 (3.2)*</w:t>
            </w:r>
          </w:p>
        </w:tc>
      </w:tr>
      <w:tr w:rsidR="001D1883" w:rsidRPr="005B2B14" w14:paraId="682BBD07" w14:textId="77777777" w:rsidTr="00570EC8">
        <w:trPr>
          <w:trHeight w:val="195"/>
        </w:trPr>
        <w:tc>
          <w:tcPr>
            <w:tcW w:w="1890" w:type="dxa"/>
            <w:tcBorders>
              <w:top w:val="dotted" w:sz="4" w:space="0" w:color="auto"/>
            </w:tcBorders>
            <w:shd w:val="clear" w:color="auto" w:fill="auto"/>
          </w:tcPr>
          <w:p w14:paraId="58D87426"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SWV (mm)</w:t>
            </w:r>
          </w:p>
        </w:tc>
        <w:tc>
          <w:tcPr>
            <w:tcW w:w="1440" w:type="dxa"/>
            <w:tcBorders>
              <w:top w:val="dotted" w:sz="4" w:space="0" w:color="auto"/>
            </w:tcBorders>
            <w:shd w:val="clear" w:color="auto" w:fill="auto"/>
          </w:tcPr>
          <w:p w14:paraId="02ECC980"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50FADD76"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430EC6EB"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28F2080E" w14:textId="77777777" w:rsidR="001D1883" w:rsidRPr="005B2B14" w:rsidRDefault="001D1883" w:rsidP="004C7A32">
            <w:pPr>
              <w:spacing w:after="0" w:line="480" w:lineRule="auto"/>
              <w:jc w:val="center"/>
              <w:rPr>
                <w:rFonts w:asciiTheme="majorBidi" w:hAnsiTheme="majorBidi" w:cstheme="majorBidi"/>
                <w:b/>
                <w:bCs/>
                <w:color w:val="000000"/>
                <w:sz w:val="18"/>
                <w:szCs w:val="18"/>
                <w:vertAlign w:val="superscript"/>
              </w:rPr>
            </w:pPr>
          </w:p>
        </w:tc>
      </w:tr>
      <w:tr w:rsidR="001D1883" w:rsidRPr="005B2B14" w14:paraId="445E1C2B" w14:textId="77777777" w:rsidTr="00570EC8">
        <w:tc>
          <w:tcPr>
            <w:tcW w:w="1890" w:type="dxa"/>
            <w:shd w:val="clear" w:color="auto" w:fill="auto"/>
          </w:tcPr>
          <w:p w14:paraId="70FF9B5E"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18F85F96"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-6.63 (5.9)</w:t>
            </w:r>
          </w:p>
        </w:tc>
        <w:tc>
          <w:tcPr>
            <w:tcW w:w="1530" w:type="dxa"/>
            <w:shd w:val="clear" w:color="auto" w:fill="auto"/>
          </w:tcPr>
          <w:p w14:paraId="0B77A97B"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-4.85 (6.1)</w:t>
            </w:r>
          </w:p>
        </w:tc>
        <w:tc>
          <w:tcPr>
            <w:tcW w:w="1440" w:type="dxa"/>
            <w:shd w:val="clear" w:color="auto" w:fill="auto"/>
          </w:tcPr>
          <w:p w14:paraId="08AD78B4"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-14.48 (5.9)</w:t>
            </w:r>
          </w:p>
        </w:tc>
        <w:tc>
          <w:tcPr>
            <w:tcW w:w="1440" w:type="dxa"/>
          </w:tcPr>
          <w:p w14:paraId="01FC3A88"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-15.15 (6.1)*</w:t>
            </w:r>
          </w:p>
        </w:tc>
      </w:tr>
      <w:tr w:rsidR="001D1883" w:rsidRPr="005B2B14" w14:paraId="56516482" w14:textId="77777777" w:rsidTr="00570EC8">
        <w:tc>
          <w:tcPr>
            <w:tcW w:w="1890" w:type="dxa"/>
            <w:shd w:val="clear" w:color="auto" w:fill="auto"/>
          </w:tcPr>
          <w:p w14:paraId="696B7044"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59BEDEF5"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-12.63 (5.3)</w:t>
            </w:r>
          </w:p>
        </w:tc>
        <w:tc>
          <w:tcPr>
            <w:tcW w:w="1530" w:type="dxa"/>
            <w:shd w:val="clear" w:color="auto" w:fill="auto"/>
          </w:tcPr>
          <w:p w14:paraId="0A7C3952"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-5.5 (5.4)</w:t>
            </w:r>
          </w:p>
        </w:tc>
        <w:tc>
          <w:tcPr>
            <w:tcW w:w="1440" w:type="dxa"/>
            <w:shd w:val="clear" w:color="auto" w:fill="auto"/>
          </w:tcPr>
          <w:p w14:paraId="5AAFA9DF"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-10.01 (5.4)</w:t>
            </w:r>
          </w:p>
        </w:tc>
        <w:tc>
          <w:tcPr>
            <w:tcW w:w="1440" w:type="dxa"/>
          </w:tcPr>
          <w:p w14:paraId="2014BAD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-8.64 (5.8)</w:t>
            </w:r>
          </w:p>
        </w:tc>
      </w:tr>
      <w:tr w:rsidR="001D1883" w:rsidRPr="005B2B14" w14:paraId="41F2B7D5" w14:textId="77777777" w:rsidTr="00570EC8">
        <w:tc>
          <w:tcPr>
            <w:tcW w:w="1890" w:type="dxa"/>
            <w:tcBorders>
              <w:bottom w:val="nil"/>
            </w:tcBorders>
            <w:shd w:val="clear" w:color="auto" w:fill="auto"/>
          </w:tcPr>
          <w:p w14:paraId="0B89C039"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nil"/>
            </w:tcBorders>
            <w:shd w:val="clear" w:color="auto" w:fill="auto"/>
          </w:tcPr>
          <w:p w14:paraId="3E9FFAE3"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-6.0 (5.6)</w:t>
            </w:r>
          </w:p>
        </w:tc>
        <w:tc>
          <w:tcPr>
            <w:tcW w:w="1530" w:type="dxa"/>
            <w:tcBorders>
              <w:bottom w:val="nil"/>
            </w:tcBorders>
            <w:shd w:val="clear" w:color="auto" w:fill="auto"/>
          </w:tcPr>
          <w:p w14:paraId="1A68A87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-0.65 (5.7)</w:t>
            </w:r>
          </w:p>
        </w:tc>
        <w:tc>
          <w:tcPr>
            <w:tcW w:w="1440" w:type="dxa"/>
            <w:tcBorders>
              <w:bottom w:val="nil"/>
            </w:tcBorders>
            <w:shd w:val="clear" w:color="auto" w:fill="auto"/>
          </w:tcPr>
          <w:p w14:paraId="3C129F96"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4.46 (5.6)</w:t>
            </w:r>
          </w:p>
        </w:tc>
        <w:tc>
          <w:tcPr>
            <w:tcW w:w="1440" w:type="dxa"/>
          </w:tcPr>
          <w:p w14:paraId="31812199"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6.51 (5.9)</w:t>
            </w:r>
          </w:p>
        </w:tc>
      </w:tr>
      <w:tr w:rsidR="001D1883" w:rsidRPr="005B2B14" w14:paraId="329DDCD8" w14:textId="77777777" w:rsidTr="00570EC8">
        <w:trPr>
          <w:trHeight w:val="225"/>
        </w:trPr>
        <w:tc>
          <w:tcPr>
            <w:tcW w:w="1890" w:type="dxa"/>
            <w:tcBorders>
              <w:top w:val="dotted" w:sz="4" w:space="0" w:color="auto"/>
            </w:tcBorders>
            <w:shd w:val="clear" w:color="auto" w:fill="auto"/>
          </w:tcPr>
          <w:p w14:paraId="17834AA3"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SL (mm)</w:t>
            </w:r>
          </w:p>
        </w:tc>
        <w:tc>
          <w:tcPr>
            <w:tcW w:w="1440" w:type="dxa"/>
            <w:tcBorders>
              <w:top w:val="dotted" w:sz="4" w:space="0" w:color="auto"/>
            </w:tcBorders>
            <w:shd w:val="clear" w:color="auto" w:fill="auto"/>
          </w:tcPr>
          <w:p w14:paraId="22D3040B"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144ECFA6"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2E80C8E1"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1DA734B6" w14:textId="77777777" w:rsidR="001D1883" w:rsidRPr="005B2B14" w:rsidRDefault="001D1883" w:rsidP="004C7A32">
            <w:pPr>
              <w:spacing w:after="0" w:line="480" w:lineRule="auto"/>
              <w:jc w:val="center"/>
              <w:rPr>
                <w:rFonts w:asciiTheme="majorBidi" w:hAnsiTheme="majorBidi" w:cstheme="majorBidi"/>
                <w:b/>
                <w:bCs/>
                <w:color w:val="000000"/>
                <w:sz w:val="18"/>
                <w:szCs w:val="18"/>
                <w:vertAlign w:val="superscript"/>
              </w:rPr>
            </w:pPr>
          </w:p>
        </w:tc>
      </w:tr>
      <w:tr w:rsidR="001D1883" w:rsidRPr="005B2B14" w14:paraId="55BDFAD2" w14:textId="77777777" w:rsidTr="00570EC8">
        <w:tc>
          <w:tcPr>
            <w:tcW w:w="1890" w:type="dxa"/>
            <w:shd w:val="clear" w:color="auto" w:fill="auto"/>
          </w:tcPr>
          <w:p w14:paraId="6D2E232E"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1E089E5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66.17 (25.4)*</w:t>
            </w:r>
          </w:p>
        </w:tc>
        <w:tc>
          <w:tcPr>
            <w:tcW w:w="1530" w:type="dxa"/>
            <w:shd w:val="clear" w:color="auto" w:fill="auto"/>
          </w:tcPr>
          <w:p w14:paraId="4BAE2D9E"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70.44 (25.8)*</w:t>
            </w:r>
          </w:p>
        </w:tc>
        <w:tc>
          <w:tcPr>
            <w:tcW w:w="1440" w:type="dxa"/>
            <w:shd w:val="clear" w:color="auto" w:fill="auto"/>
          </w:tcPr>
          <w:p w14:paraId="7418D5F8"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81.65 (25.5)**</w:t>
            </w:r>
          </w:p>
        </w:tc>
        <w:tc>
          <w:tcPr>
            <w:tcW w:w="1440" w:type="dxa"/>
          </w:tcPr>
          <w:p w14:paraId="77D5878C"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90.15 (25.8)**</w:t>
            </w:r>
          </w:p>
        </w:tc>
      </w:tr>
      <w:tr w:rsidR="001D1883" w:rsidRPr="005B2B14" w14:paraId="00DC4BA0" w14:textId="77777777" w:rsidTr="00570EC8">
        <w:tc>
          <w:tcPr>
            <w:tcW w:w="1890" w:type="dxa"/>
            <w:shd w:val="clear" w:color="auto" w:fill="auto"/>
          </w:tcPr>
          <w:p w14:paraId="744C38F5"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2B31F3B6"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58.67 (22.7)*</w:t>
            </w:r>
          </w:p>
        </w:tc>
        <w:tc>
          <w:tcPr>
            <w:tcW w:w="1530" w:type="dxa"/>
            <w:shd w:val="clear" w:color="auto" w:fill="auto"/>
          </w:tcPr>
          <w:p w14:paraId="365F4564" w14:textId="77777777" w:rsidR="001D1883" w:rsidRPr="005B2B14" w:rsidRDefault="001D1883" w:rsidP="004C7A32">
            <w:pPr>
              <w:spacing w:after="0" w:line="480" w:lineRule="auto"/>
              <w:jc w:val="center"/>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56.75 (22.9)*</w:t>
            </w:r>
          </w:p>
        </w:tc>
        <w:tc>
          <w:tcPr>
            <w:tcW w:w="1440" w:type="dxa"/>
            <w:shd w:val="clear" w:color="auto" w:fill="auto"/>
          </w:tcPr>
          <w:p w14:paraId="7FF5D09C"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64.81 (23.1)*</w:t>
            </w:r>
          </w:p>
        </w:tc>
        <w:tc>
          <w:tcPr>
            <w:tcW w:w="1440" w:type="dxa"/>
          </w:tcPr>
          <w:p w14:paraId="1450F539"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84.11 (23.8)**</w:t>
            </w:r>
          </w:p>
        </w:tc>
      </w:tr>
      <w:tr w:rsidR="001D1883" w:rsidRPr="005B2B14" w14:paraId="05CE848A" w14:textId="77777777" w:rsidTr="00570EC8">
        <w:tc>
          <w:tcPr>
            <w:tcW w:w="1890" w:type="dxa"/>
            <w:tcBorders>
              <w:bottom w:val="nil"/>
            </w:tcBorders>
            <w:shd w:val="clear" w:color="auto" w:fill="auto"/>
          </w:tcPr>
          <w:p w14:paraId="1E4DEA48"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nil"/>
            </w:tcBorders>
            <w:shd w:val="clear" w:color="auto" w:fill="auto"/>
          </w:tcPr>
          <w:p w14:paraId="2E2185A1"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-7.5 (24.1)</w:t>
            </w:r>
          </w:p>
        </w:tc>
        <w:tc>
          <w:tcPr>
            <w:tcW w:w="1530" w:type="dxa"/>
            <w:tcBorders>
              <w:bottom w:val="nil"/>
            </w:tcBorders>
            <w:shd w:val="clear" w:color="auto" w:fill="auto"/>
          </w:tcPr>
          <w:p w14:paraId="57103CAE"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-13.69 (24.4)</w:t>
            </w:r>
          </w:p>
        </w:tc>
        <w:tc>
          <w:tcPr>
            <w:tcW w:w="1440" w:type="dxa"/>
            <w:tcBorders>
              <w:bottom w:val="nil"/>
            </w:tcBorders>
            <w:shd w:val="clear" w:color="auto" w:fill="auto"/>
          </w:tcPr>
          <w:p w14:paraId="24F4B079"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-16.84 (24.2)</w:t>
            </w:r>
          </w:p>
        </w:tc>
        <w:tc>
          <w:tcPr>
            <w:tcW w:w="1440" w:type="dxa"/>
          </w:tcPr>
          <w:p w14:paraId="5A22D83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-6.04 (24.7)</w:t>
            </w:r>
          </w:p>
        </w:tc>
      </w:tr>
      <w:tr w:rsidR="001D1883" w:rsidRPr="005B2B14" w14:paraId="6D230B7E" w14:textId="77777777" w:rsidTr="00570EC8">
        <w:trPr>
          <w:trHeight w:val="243"/>
        </w:trPr>
        <w:tc>
          <w:tcPr>
            <w:tcW w:w="1890" w:type="dxa"/>
            <w:tcBorders>
              <w:top w:val="dotted" w:sz="4" w:space="0" w:color="auto"/>
            </w:tcBorders>
            <w:shd w:val="clear" w:color="auto" w:fill="auto"/>
          </w:tcPr>
          <w:p w14:paraId="5EBF5695"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Speed (m/s)</w:t>
            </w:r>
          </w:p>
        </w:tc>
        <w:tc>
          <w:tcPr>
            <w:tcW w:w="1440" w:type="dxa"/>
            <w:tcBorders>
              <w:top w:val="dotted" w:sz="4" w:space="0" w:color="auto"/>
            </w:tcBorders>
            <w:shd w:val="clear" w:color="auto" w:fill="auto"/>
          </w:tcPr>
          <w:p w14:paraId="6D6971A9"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013A50F1"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353FDA6F"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6DABA698" w14:textId="77777777" w:rsidR="001D1883" w:rsidRPr="005B2B14" w:rsidRDefault="001D1883" w:rsidP="004C7A32">
            <w:pPr>
              <w:spacing w:after="0" w:line="480" w:lineRule="auto"/>
              <w:jc w:val="center"/>
              <w:rPr>
                <w:rFonts w:asciiTheme="majorBidi" w:hAnsiTheme="majorBidi" w:cstheme="majorBidi"/>
                <w:b/>
                <w:bCs/>
                <w:color w:val="000000"/>
                <w:sz w:val="18"/>
                <w:szCs w:val="18"/>
                <w:vertAlign w:val="superscript"/>
              </w:rPr>
            </w:pPr>
          </w:p>
        </w:tc>
      </w:tr>
      <w:tr w:rsidR="001D1883" w:rsidRPr="005B2B14" w14:paraId="37536126" w14:textId="77777777" w:rsidTr="00570EC8">
        <w:tc>
          <w:tcPr>
            <w:tcW w:w="1890" w:type="dxa"/>
            <w:shd w:val="clear" w:color="auto" w:fill="auto"/>
          </w:tcPr>
          <w:p w14:paraId="747CC327"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71579C09"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0.11 (0.06)</w:t>
            </w:r>
          </w:p>
        </w:tc>
        <w:tc>
          <w:tcPr>
            <w:tcW w:w="1530" w:type="dxa"/>
            <w:shd w:val="clear" w:color="auto" w:fill="auto"/>
          </w:tcPr>
          <w:p w14:paraId="490A02A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0.16 (0.07)</w:t>
            </w:r>
          </w:p>
        </w:tc>
        <w:tc>
          <w:tcPr>
            <w:tcW w:w="1440" w:type="dxa"/>
            <w:shd w:val="clear" w:color="auto" w:fill="auto"/>
          </w:tcPr>
          <w:p w14:paraId="2013899F"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0.18 (0.07)*</w:t>
            </w:r>
          </w:p>
        </w:tc>
        <w:tc>
          <w:tcPr>
            <w:tcW w:w="1440" w:type="dxa"/>
          </w:tcPr>
          <w:p w14:paraId="289355E8"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0.18 (0.07)*</w:t>
            </w:r>
          </w:p>
        </w:tc>
      </w:tr>
      <w:tr w:rsidR="001D1883" w:rsidRPr="005B2B14" w14:paraId="58F2647D" w14:textId="77777777" w:rsidTr="00570EC8">
        <w:tc>
          <w:tcPr>
            <w:tcW w:w="1890" w:type="dxa"/>
            <w:shd w:val="clear" w:color="auto" w:fill="auto"/>
          </w:tcPr>
          <w:p w14:paraId="14C2CDAB"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1058CAF4"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0.15 (0.06)*</w:t>
            </w:r>
          </w:p>
        </w:tc>
        <w:tc>
          <w:tcPr>
            <w:tcW w:w="1530" w:type="dxa"/>
            <w:shd w:val="clear" w:color="auto" w:fill="auto"/>
          </w:tcPr>
          <w:p w14:paraId="396E9E1A"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0.15 (0.06)*</w:t>
            </w:r>
          </w:p>
        </w:tc>
        <w:tc>
          <w:tcPr>
            <w:tcW w:w="1440" w:type="dxa"/>
            <w:shd w:val="clear" w:color="auto" w:fill="auto"/>
          </w:tcPr>
          <w:p w14:paraId="63B40C68"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0.16 (0.06)*</w:t>
            </w:r>
          </w:p>
        </w:tc>
        <w:tc>
          <w:tcPr>
            <w:tcW w:w="1440" w:type="dxa"/>
          </w:tcPr>
          <w:p w14:paraId="0D4CDE22"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0.19 (0.06)*</w:t>
            </w:r>
          </w:p>
        </w:tc>
      </w:tr>
      <w:tr w:rsidR="001D1883" w:rsidRPr="005B2B14" w14:paraId="56B5AA53" w14:textId="77777777" w:rsidTr="00570EC8">
        <w:tc>
          <w:tcPr>
            <w:tcW w:w="1890" w:type="dxa"/>
            <w:tcBorders>
              <w:bottom w:val="nil"/>
            </w:tcBorders>
            <w:shd w:val="clear" w:color="auto" w:fill="auto"/>
          </w:tcPr>
          <w:p w14:paraId="6605FAB5"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nil"/>
            </w:tcBorders>
            <w:shd w:val="clear" w:color="auto" w:fill="auto"/>
          </w:tcPr>
          <w:p w14:paraId="0E6FCFCB"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0.03 (0.06)</w:t>
            </w:r>
          </w:p>
        </w:tc>
        <w:tc>
          <w:tcPr>
            <w:tcW w:w="1530" w:type="dxa"/>
            <w:tcBorders>
              <w:bottom w:val="nil"/>
            </w:tcBorders>
            <w:shd w:val="clear" w:color="auto" w:fill="auto"/>
          </w:tcPr>
          <w:p w14:paraId="728350A5"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-0.01 (0.06)</w:t>
            </w:r>
          </w:p>
        </w:tc>
        <w:tc>
          <w:tcPr>
            <w:tcW w:w="1440" w:type="dxa"/>
            <w:tcBorders>
              <w:bottom w:val="nil"/>
            </w:tcBorders>
            <w:shd w:val="clear" w:color="auto" w:fill="auto"/>
          </w:tcPr>
          <w:p w14:paraId="32B9C919"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-0.02 (0.06)</w:t>
            </w:r>
          </w:p>
        </w:tc>
        <w:tc>
          <w:tcPr>
            <w:tcW w:w="1440" w:type="dxa"/>
          </w:tcPr>
          <w:p w14:paraId="1C64810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0.01 (0.06)</w:t>
            </w:r>
          </w:p>
        </w:tc>
      </w:tr>
      <w:tr w:rsidR="001D1883" w:rsidRPr="005B2B14" w14:paraId="4F4A3972" w14:textId="77777777" w:rsidTr="00570EC8">
        <w:trPr>
          <w:trHeight w:val="255"/>
        </w:trPr>
        <w:tc>
          <w:tcPr>
            <w:tcW w:w="1890" w:type="dxa"/>
            <w:tcBorders>
              <w:top w:val="dotted" w:sz="4" w:space="0" w:color="auto"/>
            </w:tcBorders>
            <w:shd w:val="clear" w:color="auto" w:fill="auto"/>
          </w:tcPr>
          <w:p w14:paraId="12541D61" w14:textId="77777777" w:rsidR="001D1883" w:rsidRPr="005B2B14" w:rsidRDefault="001D1883" w:rsidP="004C7A32">
            <w:pPr>
              <w:spacing w:after="0" w:line="480" w:lineRule="auto"/>
              <w:rPr>
                <w:rFonts w:asciiTheme="majorBidi" w:hAnsiTheme="majorBidi" w:cstheme="majorBidi"/>
                <w:b/>
                <w:bCs/>
                <w:color w:val="000000"/>
                <w:sz w:val="18"/>
                <w:szCs w:val="18"/>
                <w:lang w:bidi="fa-IR"/>
              </w:rPr>
            </w:pPr>
            <w:r w:rsidRPr="005B2B14">
              <w:rPr>
                <w:rFonts w:asciiTheme="majorBidi" w:hAnsiTheme="majorBidi" w:cstheme="majorBidi"/>
                <w:b/>
                <w:bCs/>
                <w:color w:val="000000"/>
                <w:sz w:val="18"/>
                <w:szCs w:val="18"/>
                <w:lang w:bidi="fa-IR"/>
              </w:rPr>
              <w:t>Cadence (steps/min)</w:t>
            </w:r>
          </w:p>
        </w:tc>
        <w:tc>
          <w:tcPr>
            <w:tcW w:w="1440" w:type="dxa"/>
            <w:tcBorders>
              <w:top w:val="dotted" w:sz="4" w:space="0" w:color="auto"/>
            </w:tcBorders>
            <w:shd w:val="clear" w:color="auto" w:fill="auto"/>
          </w:tcPr>
          <w:p w14:paraId="3FF7C2F1"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530" w:type="dxa"/>
            <w:tcBorders>
              <w:top w:val="dotted" w:sz="4" w:space="0" w:color="auto"/>
            </w:tcBorders>
            <w:shd w:val="clear" w:color="auto" w:fill="auto"/>
          </w:tcPr>
          <w:p w14:paraId="1EFE73F1"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shd w:val="clear" w:color="auto" w:fill="auto"/>
          </w:tcPr>
          <w:p w14:paraId="22B2969B" w14:textId="77777777" w:rsidR="001D1883" w:rsidRPr="005B2B14" w:rsidRDefault="001D1883" w:rsidP="004C7A32">
            <w:pPr>
              <w:spacing w:after="0" w:line="480" w:lineRule="auto"/>
              <w:jc w:val="center"/>
              <w:rPr>
                <w:rFonts w:asciiTheme="majorBidi" w:hAnsiTheme="majorBidi" w:cstheme="majorBidi"/>
                <w:color w:val="000000"/>
                <w:sz w:val="18"/>
                <w:szCs w:val="18"/>
              </w:rPr>
            </w:pPr>
          </w:p>
        </w:tc>
        <w:tc>
          <w:tcPr>
            <w:tcW w:w="1440" w:type="dxa"/>
            <w:tcBorders>
              <w:top w:val="dotted" w:sz="4" w:space="0" w:color="auto"/>
            </w:tcBorders>
          </w:tcPr>
          <w:p w14:paraId="384878AC" w14:textId="77777777" w:rsidR="001D1883" w:rsidRPr="005B2B14" w:rsidRDefault="001D1883" w:rsidP="004C7A32">
            <w:pPr>
              <w:spacing w:after="0" w:line="480" w:lineRule="auto"/>
              <w:jc w:val="center"/>
              <w:rPr>
                <w:rFonts w:asciiTheme="majorBidi" w:hAnsiTheme="majorBidi" w:cstheme="majorBidi"/>
                <w:b/>
                <w:bCs/>
                <w:color w:val="000000"/>
                <w:sz w:val="18"/>
                <w:szCs w:val="18"/>
                <w:vertAlign w:val="superscript"/>
              </w:rPr>
            </w:pPr>
          </w:p>
        </w:tc>
      </w:tr>
      <w:tr w:rsidR="001D1883" w:rsidRPr="005B2B14" w14:paraId="4372A48F" w14:textId="77777777" w:rsidTr="00570EC8">
        <w:tc>
          <w:tcPr>
            <w:tcW w:w="1890" w:type="dxa"/>
            <w:shd w:val="clear" w:color="auto" w:fill="auto"/>
          </w:tcPr>
          <w:p w14:paraId="6D8AB7E2"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NDP</w:t>
            </w:r>
          </w:p>
        </w:tc>
        <w:tc>
          <w:tcPr>
            <w:tcW w:w="1440" w:type="dxa"/>
            <w:shd w:val="clear" w:color="auto" w:fill="auto"/>
          </w:tcPr>
          <w:p w14:paraId="7DBD4166"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10.6 (9.7)</w:t>
            </w:r>
          </w:p>
        </w:tc>
        <w:tc>
          <w:tcPr>
            <w:tcW w:w="1530" w:type="dxa"/>
            <w:shd w:val="clear" w:color="auto" w:fill="auto"/>
          </w:tcPr>
          <w:p w14:paraId="6082E043"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12.03 (9.8)</w:t>
            </w:r>
          </w:p>
        </w:tc>
        <w:tc>
          <w:tcPr>
            <w:tcW w:w="1440" w:type="dxa"/>
            <w:shd w:val="clear" w:color="auto" w:fill="auto"/>
          </w:tcPr>
          <w:p w14:paraId="17E24E12"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22.64 (9.7)</w:t>
            </w:r>
          </w:p>
        </w:tc>
        <w:tc>
          <w:tcPr>
            <w:tcW w:w="1440" w:type="dxa"/>
          </w:tcPr>
          <w:p w14:paraId="5FD9D94F"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15.71 (9.7)</w:t>
            </w:r>
          </w:p>
        </w:tc>
      </w:tr>
      <w:tr w:rsidR="001D1883" w:rsidRPr="005B2B14" w14:paraId="34807E9F" w14:textId="77777777" w:rsidTr="00570EC8">
        <w:tc>
          <w:tcPr>
            <w:tcW w:w="1890" w:type="dxa"/>
            <w:shd w:val="clear" w:color="auto" w:fill="auto"/>
          </w:tcPr>
          <w:p w14:paraId="201FDB44"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Healthy – Non-NDP</w:t>
            </w:r>
          </w:p>
        </w:tc>
        <w:tc>
          <w:tcPr>
            <w:tcW w:w="1440" w:type="dxa"/>
            <w:shd w:val="clear" w:color="auto" w:fill="auto"/>
          </w:tcPr>
          <w:p w14:paraId="012B86F7"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17.98 (8.7)</w:t>
            </w:r>
          </w:p>
        </w:tc>
        <w:tc>
          <w:tcPr>
            <w:tcW w:w="1530" w:type="dxa"/>
            <w:shd w:val="clear" w:color="auto" w:fill="auto"/>
          </w:tcPr>
          <w:p w14:paraId="7DE55B3D"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18.7 (8.7)</w:t>
            </w:r>
          </w:p>
        </w:tc>
        <w:tc>
          <w:tcPr>
            <w:tcW w:w="1440" w:type="dxa"/>
            <w:shd w:val="clear" w:color="auto" w:fill="auto"/>
          </w:tcPr>
          <w:p w14:paraId="62EA2520"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27.2 (8.8)*</w:t>
            </w:r>
          </w:p>
        </w:tc>
        <w:tc>
          <w:tcPr>
            <w:tcW w:w="1440" w:type="dxa"/>
          </w:tcPr>
          <w:p w14:paraId="4B9F2CA4"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30.97 (8.9)**</w:t>
            </w:r>
          </w:p>
        </w:tc>
      </w:tr>
      <w:tr w:rsidR="001D1883" w:rsidRPr="005B2B14" w14:paraId="3DFE27B4" w14:textId="77777777" w:rsidTr="00570EC8">
        <w:tc>
          <w:tcPr>
            <w:tcW w:w="1890" w:type="dxa"/>
            <w:tcBorders>
              <w:bottom w:val="single" w:sz="4" w:space="0" w:color="auto"/>
            </w:tcBorders>
            <w:shd w:val="clear" w:color="auto" w:fill="auto"/>
          </w:tcPr>
          <w:p w14:paraId="40867AF2" w14:textId="77777777" w:rsidR="001D1883" w:rsidRPr="005B2B14" w:rsidRDefault="001D1883" w:rsidP="004C7A32">
            <w:pPr>
              <w:spacing w:after="0" w:line="480" w:lineRule="auto"/>
              <w:rPr>
                <w:rFonts w:asciiTheme="majorBidi" w:hAnsiTheme="majorBidi" w:cstheme="majorBidi"/>
                <w:color w:val="000000"/>
                <w:sz w:val="18"/>
                <w:szCs w:val="18"/>
                <w:lang w:bidi="fa-IR"/>
              </w:rPr>
            </w:pPr>
            <w:r w:rsidRPr="005B2B14">
              <w:rPr>
                <w:rFonts w:asciiTheme="majorBidi" w:hAnsiTheme="majorBidi" w:cstheme="majorBidi"/>
                <w:color w:val="000000"/>
                <w:sz w:val="18"/>
                <w:szCs w:val="18"/>
                <w:lang w:bidi="fa-IR"/>
              </w:rPr>
              <w:t>NDP – Non-NDP</w:t>
            </w:r>
          </w:p>
        </w:tc>
        <w:tc>
          <w:tcPr>
            <w:tcW w:w="1440" w:type="dxa"/>
            <w:tcBorders>
              <w:bottom w:val="single" w:sz="4" w:space="0" w:color="auto"/>
            </w:tcBorders>
            <w:shd w:val="clear" w:color="auto" w:fill="auto"/>
          </w:tcPr>
          <w:p w14:paraId="02275FF3"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7.38 (9.3)</w:t>
            </w:r>
          </w:p>
        </w:tc>
        <w:tc>
          <w:tcPr>
            <w:tcW w:w="1530" w:type="dxa"/>
            <w:tcBorders>
              <w:bottom w:val="single" w:sz="4" w:space="0" w:color="auto"/>
            </w:tcBorders>
            <w:shd w:val="clear" w:color="auto" w:fill="auto"/>
          </w:tcPr>
          <w:p w14:paraId="3B988C13"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6.67 (9.4)</w:t>
            </w:r>
          </w:p>
        </w:tc>
        <w:tc>
          <w:tcPr>
            <w:tcW w:w="1440" w:type="dxa"/>
            <w:tcBorders>
              <w:bottom w:val="single" w:sz="4" w:space="0" w:color="auto"/>
            </w:tcBorders>
            <w:shd w:val="clear" w:color="auto" w:fill="auto"/>
          </w:tcPr>
          <w:p w14:paraId="6642817B"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4.56 (9.3)</w:t>
            </w:r>
          </w:p>
        </w:tc>
        <w:tc>
          <w:tcPr>
            <w:tcW w:w="1440" w:type="dxa"/>
            <w:tcBorders>
              <w:bottom w:val="single" w:sz="4" w:space="0" w:color="auto"/>
            </w:tcBorders>
          </w:tcPr>
          <w:p w14:paraId="206E2E97" w14:textId="77777777" w:rsidR="001D1883" w:rsidRPr="005B2B14" w:rsidRDefault="001D1883" w:rsidP="004C7A32">
            <w:pPr>
              <w:spacing w:after="0" w:line="480" w:lineRule="auto"/>
              <w:jc w:val="center"/>
              <w:rPr>
                <w:rFonts w:asciiTheme="majorBidi" w:hAnsiTheme="majorBidi" w:cstheme="majorBidi"/>
                <w:color w:val="000000"/>
                <w:sz w:val="18"/>
                <w:szCs w:val="18"/>
              </w:rPr>
            </w:pPr>
            <w:r w:rsidRPr="005B2B14">
              <w:rPr>
                <w:rFonts w:asciiTheme="majorBidi" w:hAnsiTheme="majorBidi" w:cstheme="majorBidi"/>
                <w:color w:val="000000"/>
                <w:sz w:val="18"/>
                <w:szCs w:val="18"/>
              </w:rPr>
              <w:t>15.26 (9.5)</w:t>
            </w:r>
          </w:p>
        </w:tc>
      </w:tr>
      <w:tr w:rsidR="001D1883" w:rsidRPr="005B2B14" w14:paraId="4A288FC0" w14:textId="77777777" w:rsidTr="00570EC8">
        <w:tc>
          <w:tcPr>
            <w:tcW w:w="7740" w:type="dxa"/>
            <w:gridSpan w:val="5"/>
            <w:tcBorders>
              <w:top w:val="single" w:sz="4" w:space="0" w:color="auto"/>
              <w:bottom w:val="nil"/>
            </w:tcBorders>
            <w:shd w:val="clear" w:color="auto" w:fill="auto"/>
          </w:tcPr>
          <w:p w14:paraId="5A45FDDB" w14:textId="77777777" w:rsidR="001D1883" w:rsidRPr="005B2B14" w:rsidRDefault="001D1883" w:rsidP="004C7A32">
            <w:pPr>
              <w:spacing w:after="0" w:line="480" w:lineRule="auto"/>
              <w:rPr>
                <w:rFonts w:asciiTheme="majorBidi" w:hAnsiTheme="majorBidi" w:cstheme="majorBidi"/>
                <w:color w:val="000000"/>
                <w:sz w:val="18"/>
                <w:szCs w:val="18"/>
              </w:rPr>
            </w:pPr>
            <w:r w:rsidRPr="005B2B14">
              <w:rPr>
                <w:rFonts w:asciiTheme="majorBidi" w:hAnsiTheme="majorBidi" w:cstheme="majorBidi"/>
                <w:color w:val="000000"/>
                <w:sz w:val="18"/>
                <w:szCs w:val="18"/>
              </w:rPr>
              <w:t>p &lt; 0.05: “*”; p &lt; 0.01: “**”; p &lt; 0.0001: “***”</w:t>
            </w:r>
          </w:p>
        </w:tc>
      </w:tr>
    </w:tbl>
    <w:p w14:paraId="111FA6BF" w14:textId="77777777" w:rsidR="00FF1708" w:rsidRPr="005B2B14" w:rsidRDefault="00FF1708" w:rsidP="00892BD5">
      <w:pPr>
        <w:spacing w:before="240" w:line="480" w:lineRule="auto"/>
        <w:rPr>
          <w:rFonts w:asciiTheme="majorBidi" w:hAnsiTheme="majorBidi" w:cstheme="majorBidi"/>
          <w:sz w:val="24"/>
          <w:szCs w:val="24"/>
        </w:rPr>
      </w:pPr>
    </w:p>
    <w:sectPr w:rsidR="00FF1708" w:rsidRPr="005B2B14" w:rsidSect="000F5C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FEB7" w14:textId="77777777" w:rsidR="00740DCA" w:rsidRDefault="00740DCA" w:rsidP="008F6E0B">
      <w:pPr>
        <w:spacing w:after="0" w:line="240" w:lineRule="auto"/>
      </w:pPr>
      <w:r>
        <w:separator/>
      </w:r>
    </w:p>
  </w:endnote>
  <w:endnote w:type="continuationSeparator" w:id="0">
    <w:p w14:paraId="1377D164" w14:textId="77777777" w:rsidR="00740DCA" w:rsidRDefault="00740DCA" w:rsidP="008F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471093"/>
      <w:docPartObj>
        <w:docPartGallery w:val="Page Numbers (Bottom of Page)"/>
        <w:docPartUnique/>
      </w:docPartObj>
    </w:sdtPr>
    <w:sdtEndPr>
      <w:rPr>
        <w:noProof/>
      </w:rPr>
    </w:sdtEndPr>
    <w:sdtContent>
      <w:p w14:paraId="08DF3798" w14:textId="43F565E1" w:rsidR="00D26A01" w:rsidRDefault="00D26A01">
        <w:pPr>
          <w:pStyle w:val="Footer"/>
          <w:jc w:val="right"/>
        </w:pPr>
        <w:r>
          <w:fldChar w:fldCharType="begin"/>
        </w:r>
        <w:r>
          <w:instrText xml:space="preserve"> PAGE   \* MERGEFORMAT </w:instrText>
        </w:r>
        <w:r>
          <w:fldChar w:fldCharType="separate"/>
        </w:r>
        <w:r w:rsidR="00C430A5">
          <w:rPr>
            <w:noProof/>
          </w:rPr>
          <w:t>3</w:t>
        </w:r>
        <w:r>
          <w:rPr>
            <w:noProof/>
          </w:rPr>
          <w:fldChar w:fldCharType="end"/>
        </w:r>
      </w:p>
    </w:sdtContent>
  </w:sdt>
  <w:p w14:paraId="76647911" w14:textId="77777777" w:rsidR="00D26A01" w:rsidRDefault="00D26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8B53" w14:textId="77777777" w:rsidR="00740DCA" w:rsidRDefault="00740DCA" w:rsidP="008F6E0B">
      <w:pPr>
        <w:spacing w:after="0" w:line="240" w:lineRule="auto"/>
      </w:pPr>
      <w:r>
        <w:separator/>
      </w:r>
    </w:p>
  </w:footnote>
  <w:footnote w:type="continuationSeparator" w:id="0">
    <w:p w14:paraId="7192C610" w14:textId="77777777" w:rsidR="00740DCA" w:rsidRDefault="00740DCA" w:rsidP="008F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620D"/>
    <w:multiLevelType w:val="hybridMultilevel"/>
    <w:tmpl w:val="946453BE"/>
    <w:lvl w:ilvl="0" w:tplc="878A22D4">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434AA"/>
    <w:multiLevelType w:val="hybridMultilevel"/>
    <w:tmpl w:val="92CE65FE"/>
    <w:lvl w:ilvl="0" w:tplc="90F6DAE2">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E40"/>
    <w:rsid w:val="00002941"/>
    <w:rsid w:val="00002AA6"/>
    <w:rsid w:val="00014D64"/>
    <w:rsid w:val="00015C54"/>
    <w:rsid w:val="0002134A"/>
    <w:rsid w:val="0002441D"/>
    <w:rsid w:val="000257F7"/>
    <w:rsid w:val="0003066E"/>
    <w:rsid w:val="0003420E"/>
    <w:rsid w:val="0003672B"/>
    <w:rsid w:val="000415BC"/>
    <w:rsid w:val="00042950"/>
    <w:rsid w:val="000523A5"/>
    <w:rsid w:val="00056E91"/>
    <w:rsid w:val="000614F1"/>
    <w:rsid w:val="000700EF"/>
    <w:rsid w:val="000726A0"/>
    <w:rsid w:val="00077308"/>
    <w:rsid w:val="00077BD6"/>
    <w:rsid w:val="000A0377"/>
    <w:rsid w:val="000A07BE"/>
    <w:rsid w:val="000A49D8"/>
    <w:rsid w:val="000A7570"/>
    <w:rsid w:val="000A75E0"/>
    <w:rsid w:val="000B0F43"/>
    <w:rsid w:val="000B4337"/>
    <w:rsid w:val="000B5B3D"/>
    <w:rsid w:val="000C5F0B"/>
    <w:rsid w:val="000D21E5"/>
    <w:rsid w:val="000D6000"/>
    <w:rsid w:val="000E5AA2"/>
    <w:rsid w:val="000F5C3E"/>
    <w:rsid w:val="000F71CC"/>
    <w:rsid w:val="0010645D"/>
    <w:rsid w:val="00110846"/>
    <w:rsid w:val="0011514A"/>
    <w:rsid w:val="00121C26"/>
    <w:rsid w:val="001250FE"/>
    <w:rsid w:val="00126ABD"/>
    <w:rsid w:val="00127333"/>
    <w:rsid w:val="00146316"/>
    <w:rsid w:val="00170D38"/>
    <w:rsid w:val="00172F19"/>
    <w:rsid w:val="001763D9"/>
    <w:rsid w:val="00180207"/>
    <w:rsid w:val="001855EA"/>
    <w:rsid w:val="00192490"/>
    <w:rsid w:val="001A3387"/>
    <w:rsid w:val="001A6439"/>
    <w:rsid w:val="001C5949"/>
    <w:rsid w:val="001C690D"/>
    <w:rsid w:val="001D1883"/>
    <w:rsid w:val="001D4A11"/>
    <w:rsid w:val="001E4655"/>
    <w:rsid w:val="001E7AE2"/>
    <w:rsid w:val="001E7E65"/>
    <w:rsid w:val="001F6526"/>
    <w:rsid w:val="001F6D26"/>
    <w:rsid w:val="00200B3C"/>
    <w:rsid w:val="00204B47"/>
    <w:rsid w:val="00212969"/>
    <w:rsid w:val="002130DC"/>
    <w:rsid w:val="0022449E"/>
    <w:rsid w:val="0022580C"/>
    <w:rsid w:val="002272A1"/>
    <w:rsid w:val="0023331D"/>
    <w:rsid w:val="0025230C"/>
    <w:rsid w:val="00284FD5"/>
    <w:rsid w:val="002949FF"/>
    <w:rsid w:val="002A1C2A"/>
    <w:rsid w:val="002A6824"/>
    <w:rsid w:val="002B4E00"/>
    <w:rsid w:val="002C0510"/>
    <w:rsid w:val="002C2465"/>
    <w:rsid w:val="002D52BE"/>
    <w:rsid w:val="002F0FC4"/>
    <w:rsid w:val="002F70AB"/>
    <w:rsid w:val="00304070"/>
    <w:rsid w:val="00304215"/>
    <w:rsid w:val="003065A0"/>
    <w:rsid w:val="00306CE8"/>
    <w:rsid w:val="00310F98"/>
    <w:rsid w:val="00330FAD"/>
    <w:rsid w:val="00331139"/>
    <w:rsid w:val="003338E1"/>
    <w:rsid w:val="003400C5"/>
    <w:rsid w:val="003437AA"/>
    <w:rsid w:val="00345DF8"/>
    <w:rsid w:val="0035097E"/>
    <w:rsid w:val="00351850"/>
    <w:rsid w:val="00360E66"/>
    <w:rsid w:val="00372F30"/>
    <w:rsid w:val="00376B0A"/>
    <w:rsid w:val="00386397"/>
    <w:rsid w:val="00394A82"/>
    <w:rsid w:val="003970E0"/>
    <w:rsid w:val="003A0067"/>
    <w:rsid w:val="003B2294"/>
    <w:rsid w:val="003C1157"/>
    <w:rsid w:val="003D2C12"/>
    <w:rsid w:val="003E0177"/>
    <w:rsid w:val="003E3EEF"/>
    <w:rsid w:val="003F54B6"/>
    <w:rsid w:val="00400EF4"/>
    <w:rsid w:val="004109B6"/>
    <w:rsid w:val="00414D90"/>
    <w:rsid w:val="0042185C"/>
    <w:rsid w:val="0042622E"/>
    <w:rsid w:val="004263CD"/>
    <w:rsid w:val="00426F94"/>
    <w:rsid w:val="00426FEE"/>
    <w:rsid w:val="00446A16"/>
    <w:rsid w:val="00456A26"/>
    <w:rsid w:val="0046615E"/>
    <w:rsid w:val="00470DEB"/>
    <w:rsid w:val="00476718"/>
    <w:rsid w:val="00477389"/>
    <w:rsid w:val="00481620"/>
    <w:rsid w:val="00486686"/>
    <w:rsid w:val="00487796"/>
    <w:rsid w:val="00491148"/>
    <w:rsid w:val="00492E10"/>
    <w:rsid w:val="004959E5"/>
    <w:rsid w:val="004A64A7"/>
    <w:rsid w:val="004C31ED"/>
    <w:rsid w:val="004C5C3E"/>
    <w:rsid w:val="004C7A32"/>
    <w:rsid w:val="004D1913"/>
    <w:rsid w:val="004E42BB"/>
    <w:rsid w:val="004F4EE9"/>
    <w:rsid w:val="004F56EF"/>
    <w:rsid w:val="005159AB"/>
    <w:rsid w:val="00520B5E"/>
    <w:rsid w:val="00530A7E"/>
    <w:rsid w:val="00536971"/>
    <w:rsid w:val="00562ED8"/>
    <w:rsid w:val="005649B8"/>
    <w:rsid w:val="00567874"/>
    <w:rsid w:val="00570EC8"/>
    <w:rsid w:val="00580512"/>
    <w:rsid w:val="005829E9"/>
    <w:rsid w:val="00585525"/>
    <w:rsid w:val="005A6EA3"/>
    <w:rsid w:val="005B1869"/>
    <w:rsid w:val="005B2B14"/>
    <w:rsid w:val="005B662F"/>
    <w:rsid w:val="005E5EED"/>
    <w:rsid w:val="005F0EC4"/>
    <w:rsid w:val="005F2C4A"/>
    <w:rsid w:val="005F5158"/>
    <w:rsid w:val="00600367"/>
    <w:rsid w:val="00617929"/>
    <w:rsid w:val="00617ACF"/>
    <w:rsid w:val="00623594"/>
    <w:rsid w:val="00626B98"/>
    <w:rsid w:val="00631659"/>
    <w:rsid w:val="00634CFB"/>
    <w:rsid w:val="0063764B"/>
    <w:rsid w:val="00641192"/>
    <w:rsid w:val="00653561"/>
    <w:rsid w:val="00655498"/>
    <w:rsid w:val="00667AB8"/>
    <w:rsid w:val="00670871"/>
    <w:rsid w:val="0068134F"/>
    <w:rsid w:val="006913B6"/>
    <w:rsid w:val="006A09D8"/>
    <w:rsid w:val="006A1C70"/>
    <w:rsid w:val="006B1316"/>
    <w:rsid w:val="006B1F4B"/>
    <w:rsid w:val="006B2D85"/>
    <w:rsid w:val="006B4B29"/>
    <w:rsid w:val="006B7399"/>
    <w:rsid w:val="006C0F73"/>
    <w:rsid w:val="006C1CBE"/>
    <w:rsid w:val="006C45FD"/>
    <w:rsid w:val="006D62EA"/>
    <w:rsid w:val="006E02FA"/>
    <w:rsid w:val="006E22D1"/>
    <w:rsid w:val="006E56C3"/>
    <w:rsid w:val="006F4515"/>
    <w:rsid w:val="00701591"/>
    <w:rsid w:val="00714FC6"/>
    <w:rsid w:val="00716E79"/>
    <w:rsid w:val="00717D4E"/>
    <w:rsid w:val="00722001"/>
    <w:rsid w:val="007251F2"/>
    <w:rsid w:val="00732716"/>
    <w:rsid w:val="007335D9"/>
    <w:rsid w:val="00733DC3"/>
    <w:rsid w:val="00740023"/>
    <w:rsid w:val="007407CF"/>
    <w:rsid w:val="00740DCA"/>
    <w:rsid w:val="00742686"/>
    <w:rsid w:val="00746D34"/>
    <w:rsid w:val="00751DD7"/>
    <w:rsid w:val="007525F0"/>
    <w:rsid w:val="00754BBC"/>
    <w:rsid w:val="007559C0"/>
    <w:rsid w:val="00762B59"/>
    <w:rsid w:val="007645F1"/>
    <w:rsid w:val="007649C8"/>
    <w:rsid w:val="007649D0"/>
    <w:rsid w:val="007722BD"/>
    <w:rsid w:val="00781E40"/>
    <w:rsid w:val="00783E5F"/>
    <w:rsid w:val="007852BD"/>
    <w:rsid w:val="007A4090"/>
    <w:rsid w:val="007A6842"/>
    <w:rsid w:val="007B250A"/>
    <w:rsid w:val="007C572F"/>
    <w:rsid w:val="007C7B4D"/>
    <w:rsid w:val="007D027A"/>
    <w:rsid w:val="007E3412"/>
    <w:rsid w:val="007E76C4"/>
    <w:rsid w:val="008012ED"/>
    <w:rsid w:val="00805021"/>
    <w:rsid w:val="00806201"/>
    <w:rsid w:val="0081156E"/>
    <w:rsid w:val="00812F2B"/>
    <w:rsid w:val="008238BF"/>
    <w:rsid w:val="00851F0F"/>
    <w:rsid w:val="00860412"/>
    <w:rsid w:val="00865C31"/>
    <w:rsid w:val="00866272"/>
    <w:rsid w:val="008737D9"/>
    <w:rsid w:val="008872FF"/>
    <w:rsid w:val="00891376"/>
    <w:rsid w:val="00892BD5"/>
    <w:rsid w:val="008955AB"/>
    <w:rsid w:val="00896738"/>
    <w:rsid w:val="008A777D"/>
    <w:rsid w:val="008C16E9"/>
    <w:rsid w:val="008C423A"/>
    <w:rsid w:val="008D4856"/>
    <w:rsid w:val="008E38EA"/>
    <w:rsid w:val="008E4230"/>
    <w:rsid w:val="008F3C32"/>
    <w:rsid w:val="008F6E0B"/>
    <w:rsid w:val="00901693"/>
    <w:rsid w:val="009051E0"/>
    <w:rsid w:val="009162C1"/>
    <w:rsid w:val="00920B23"/>
    <w:rsid w:val="0093037B"/>
    <w:rsid w:val="0093382B"/>
    <w:rsid w:val="00933DC3"/>
    <w:rsid w:val="009460C9"/>
    <w:rsid w:val="00946202"/>
    <w:rsid w:val="00950DCD"/>
    <w:rsid w:val="00971AAD"/>
    <w:rsid w:val="00992A10"/>
    <w:rsid w:val="00992C02"/>
    <w:rsid w:val="009C3134"/>
    <w:rsid w:val="009C7D43"/>
    <w:rsid w:val="009D3123"/>
    <w:rsid w:val="009E0F37"/>
    <w:rsid w:val="009E5B48"/>
    <w:rsid w:val="009E6318"/>
    <w:rsid w:val="009F199C"/>
    <w:rsid w:val="009F3EFC"/>
    <w:rsid w:val="009F668C"/>
    <w:rsid w:val="00A10DDF"/>
    <w:rsid w:val="00A17EDA"/>
    <w:rsid w:val="00A22B24"/>
    <w:rsid w:val="00A23521"/>
    <w:rsid w:val="00A258BD"/>
    <w:rsid w:val="00A25B16"/>
    <w:rsid w:val="00A37E33"/>
    <w:rsid w:val="00A44C59"/>
    <w:rsid w:val="00A5338F"/>
    <w:rsid w:val="00A6161B"/>
    <w:rsid w:val="00A63777"/>
    <w:rsid w:val="00A64E4A"/>
    <w:rsid w:val="00A6648F"/>
    <w:rsid w:val="00A7042B"/>
    <w:rsid w:val="00A7703D"/>
    <w:rsid w:val="00A828E3"/>
    <w:rsid w:val="00A915DB"/>
    <w:rsid w:val="00AA1C12"/>
    <w:rsid w:val="00AA2F3A"/>
    <w:rsid w:val="00AA6DF6"/>
    <w:rsid w:val="00AB491D"/>
    <w:rsid w:val="00AB550B"/>
    <w:rsid w:val="00AD0B40"/>
    <w:rsid w:val="00AD2259"/>
    <w:rsid w:val="00AD5707"/>
    <w:rsid w:val="00AE02E2"/>
    <w:rsid w:val="00AE1F99"/>
    <w:rsid w:val="00AE67B3"/>
    <w:rsid w:val="00B135F5"/>
    <w:rsid w:val="00B16548"/>
    <w:rsid w:val="00B408EF"/>
    <w:rsid w:val="00B41A1C"/>
    <w:rsid w:val="00B45996"/>
    <w:rsid w:val="00B479F6"/>
    <w:rsid w:val="00B628F5"/>
    <w:rsid w:val="00B8187C"/>
    <w:rsid w:val="00B90C22"/>
    <w:rsid w:val="00B92665"/>
    <w:rsid w:val="00B92FE0"/>
    <w:rsid w:val="00BB6449"/>
    <w:rsid w:val="00BC0D14"/>
    <w:rsid w:val="00BC5FFD"/>
    <w:rsid w:val="00BC7BC1"/>
    <w:rsid w:val="00BE4C9A"/>
    <w:rsid w:val="00BE6578"/>
    <w:rsid w:val="00BF3A45"/>
    <w:rsid w:val="00C13E3A"/>
    <w:rsid w:val="00C33C09"/>
    <w:rsid w:val="00C4082E"/>
    <w:rsid w:val="00C42383"/>
    <w:rsid w:val="00C42FCB"/>
    <w:rsid w:val="00C430A5"/>
    <w:rsid w:val="00C46B8F"/>
    <w:rsid w:val="00C50B14"/>
    <w:rsid w:val="00C511A4"/>
    <w:rsid w:val="00C5599C"/>
    <w:rsid w:val="00C611DE"/>
    <w:rsid w:val="00C706BC"/>
    <w:rsid w:val="00C76542"/>
    <w:rsid w:val="00C81855"/>
    <w:rsid w:val="00C87648"/>
    <w:rsid w:val="00C978A2"/>
    <w:rsid w:val="00CA37B2"/>
    <w:rsid w:val="00CA4429"/>
    <w:rsid w:val="00CA4910"/>
    <w:rsid w:val="00CA6D76"/>
    <w:rsid w:val="00CC0729"/>
    <w:rsid w:val="00CD336D"/>
    <w:rsid w:val="00CD55E6"/>
    <w:rsid w:val="00CE0446"/>
    <w:rsid w:val="00CE66A3"/>
    <w:rsid w:val="00D0434C"/>
    <w:rsid w:val="00D06157"/>
    <w:rsid w:val="00D131A6"/>
    <w:rsid w:val="00D13AE8"/>
    <w:rsid w:val="00D26A01"/>
    <w:rsid w:val="00D528ED"/>
    <w:rsid w:val="00D52C18"/>
    <w:rsid w:val="00D57EA0"/>
    <w:rsid w:val="00D84F72"/>
    <w:rsid w:val="00D94CE8"/>
    <w:rsid w:val="00DB209D"/>
    <w:rsid w:val="00DB2B25"/>
    <w:rsid w:val="00DB523D"/>
    <w:rsid w:val="00DC7CDE"/>
    <w:rsid w:val="00DD093D"/>
    <w:rsid w:val="00DD3BA3"/>
    <w:rsid w:val="00DD6900"/>
    <w:rsid w:val="00DF3C69"/>
    <w:rsid w:val="00E02445"/>
    <w:rsid w:val="00E04EFE"/>
    <w:rsid w:val="00E06720"/>
    <w:rsid w:val="00E07680"/>
    <w:rsid w:val="00E16EE7"/>
    <w:rsid w:val="00E37224"/>
    <w:rsid w:val="00E408DA"/>
    <w:rsid w:val="00E50B96"/>
    <w:rsid w:val="00E70999"/>
    <w:rsid w:val="00E77E46"/>
    <w:rsid w:val="00E81BBF"/>
    <w:rsid w:val="00E82783"/>
    <w:rsid w:val="00E90C13"/>
    <w:rsid w:val="00E93C94"/>
    <w:rsid w:val="00EC2A23"/>
    <w:rsid w:val="00ED7472"/>
    <w:rsid w:val="00EE5CD7"/>
    <w:rsid w:val="00EF4272"/>
    <w:rsid w:val="00F17EA7"/>
    <w:rsid w:val="00F22DF0"/>
    <w:rsid w:val="00F410FF"/>
    <w:rsid w:val="00F62D38"/>
    <w:rsid w:val="00F63117"/>
    <w:rsid w:val="00F63235"/>
    <w:rsid w:val="00F8693D"/>
    <w:rsid w:val="00F8765D"/>
    <w:rsid w:val="00F93A18"/>
    <w:rsid w:val="00FB2580"/>
    <w:rsid w:val="00FB2A2A"/>
    <w:rsid w:val="00FC2CC4"/>
    <w:rsid w:val="00FC784F"/>
    <w:rsid w:val="00FD37C8"/>
    <w:rsid w:val="00FF1708"/>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34AC9"/>
  <w15:docId w15:val="{9860EFB7-8146-4886-8293-B2062DF2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1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4FC6"/>
    <w:rPr>
      <w:sz w:val="16"/>
      <w:szCs w:val="16"/>
    </w:rPr>
  </w:style>
  <w:style w:type="paragraph" w:styleId="CommentText">
    <w:name w:val="annotation text"/>
    <w:basedOn w:val="Normal"/>
    <w:link w:val="CommentTextChar"/>
    <w:uiPriority w:val="99"/>
    <w:semiHidden/>
    <w:unhideWhenUsed/>
    <w:rsid w:val="00714FC6"/>
    <w:pPr>
      <w:spacing w:line="240" w:lineRule="auto"/>
    </w:pPr>
    <w:rPr>
      <w:sz w:val="20"/>
      <w:szCs w:val="20"/>
    </w:rPr>
  </w:style>
  <w:style w:type="character" w:customStyle="1" w:styleId="CommentTextChar">
    <w:name w:val="Comment Text Char"/>
    <w:basedOn w:val="DefaultParagraphFont"/>
    <w:link w:val="CommentText"/>
    <w:uiPriority w:val="99"/>
    <w:semiHidden/>
    <w:rsid w:val="00714FC6"/>
    <w:rPr>
      <w:sz w:val="20"/>
      <w:szCs w:val="20"/>
    </w:rPr>
  </w:style>
  <w:style w:type="paragraph" w:styleId="CommentSubject">
    <w:name w:val="annotation subject"/>
    <w:basedOn w:val="CommentText"/>
    <w:next w:val="CommentText"/>
    <w:link w:val="CommentSubjectChar"/>
    <w:uiPriority w:val="99"/>
    <w:semiHidden/>
    <w:unhideWhenUsed/>
    <w:rsid w:val="00714FC6"/>
    <w:rPr>
      <w:b/>
      <w:bCs/>
    </w:rPr>
  </w:style>
  <w:style w:type="character" w:customStyle="1" w:styleId="CommentSubjectChar">
    <w:name w:val="Comment Subject Char"/>
    <w:basedOn w:val="CommentTextChar"/>
    <w:link w:val="CommentSubject"/>
    <w:uiPriority w:val="99"/>
    <w:semiHidden/>
    <w:rsid w:val="00714FC6"/>
    <w:rPr>
      <w:b/>
      <w:bCs/>
      <w:sz w:val="20"/>
      <w:szCs w:val="20"/>
    </w:rPr>
  </w:style>
  <w:style w:type="paragraph" w:styleId="BalloonText">
    <w:name w:val="Balloon Text"/>
    <w:basedOn w:val="Normal"/>
    <w:link w:val="BalloonTextChar"/>
    <w:uiPriority w:val="99"/>
    <w:semiHidden/>
    <w:unhideWhenUsed/>
    <w:rsid w:val="00714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C6"/>
    <w:rPr>
      <w:rFonts w:ascii="Segoe UI" w:hAnsi="Segoe UI" w:cs="Segoe UI"/>
      <w:sz w:val="18"/>
      <w:szCs w:val="18"/>
    </w:rPr>
  </w:style>
  <w:style w:type="paragraph" w:styleId="Header">
    <w:name w:val="header"/>
    <w:basedOn w:val="Normal"/>
    <w:link w:val="HeaderChar"/>
    <w:uiPriority w:val="99"/>
    <w:unhideWhenUsed/>
    <w:rsid w:val="00714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C6"/>
  </w:style>
  <w:style w:type="paragraph" w:styleId="Footer">
    <w:name w:val="footer"/>
    <w:basedOn w:val="Normal"/>
    <w:link w:val="FooterChar"/>
    <w:uiPriority w:val="99"/>
    <w:unhideWhenUsed/>
    <w:rsid w:val="00714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C6"/>
  </w:style>
  <w:style w:type="paragraph" w:styleId="Caption">
    <w:name w:val="caption"/>
    <w:basedOn w:val="Normal"/>
    <w:next w:val="Normal"/>
    <w:uiPriority w:val="35"/>
    <w:unhideWhenUsed/>
    <w:qFormat/>
    <w:rsid w:val="00714FC6"/>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unhideWhenUsed/>
    <w:rsid w:val="00714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4FC6"/>
    <w:rPr>
      <w:rFonts w:ascii="Courier New" w:eastAsia="Times New Roman" w:hAnsi="Courier New" w:cs="Courier New"/>
      <w:sz w:val="20"/>
      <w:szCs w:val="20"/>
    </w:rPr>
  </w:style>
  <w:style w:type="paragraph" w:styleId="ListParagraph">
    <w:name w:val="List Paragraph"/>
    <w:basedOn w:val="Normal"/>
    <w:uiPriority w:val="34"/>
    <w:qFormat/>
    <w:rsid w:val="00714FC6"/>
    <w:pPr>
      <w:ind w:left="720"/>
      <w:contextualSpacing/>
    </w:pPr>
  </w:style>
  <w:style w:type="paragraph" w:styleId="Revision">
    <w:name w:val="Revision"/>
    <w:hidden/>
    <w:uiPriority w:val="99"/>
    <w:semiHidden/>
    <w:rsid w:val="00714FC6"/>
    <w:pPr>
      <w:spacing w:after="0" w:line="240" w:lineRule="auto"/>
    </w:pPr>
  </w:style>
  <w:style w:type="character" w:styleId="LineNumber">
    <w:name w:val="line number"/>
    <w:basedOn w:val="DefaultParagraphFont"/>
    <w:uiPriority w:val="99"/>
    <w:semiHidden/>
    <w:unhideWhenUsed/>
    <w:rsid w:val="007A4090"/>
  </w:style>
  <w:style w:type="paragraph" w:styleId="FootnoteText">
    <w:name w:val="footnote text"/>
    <w:basedOn w:val="Normal"/>
    <w:link w:val="FootnoteTextChar"/>
    <w:uiPriority w:val="99"/>
    <w:semiHidden/>
    <w:unhideWhenUsed/>
    <w:rsid w:val="00333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8E1"/>
    <w:rPr>
      <w:sz w:val="20"/>
      <w:szCs w:val="20"/>
    </w:rPr>
  </w:style>
  <w:style w:type="character" w:styleId="FootnoteReference">
    <w:name w:val="footnote reference"/>
    <w:basedOn w:val="DefaultParagraphFont"/>
    <w:uiPriority w:val="99"/>
    <w:semiHidden/>
    <w:unhideWhenUsed/>
    <w:rsid w:val="003338E1"/>
    <w:rPr>
      <w:vertAlign w:val="superscript"/>
    </w:rPr>
  </w:style>
  <w:style w:type="paragraph" w:styleId="EndnoteText">
    <w:name w:val="endnote text"/>
    <w:basedOn w:val="Normal"/>
    <w:link w:val="EndnoteTextChar"/>
    <w:uiPriority w:val="99"/>
    <w:semiHidden/>
    <w:unhideWhenUsed/>
    <w:rsid w:val="008913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376"/>
    <w:rPr>
      <w:sz w:val="20"/>
      <w:szCs w:val="20"/>
    </w:rPr>
  </w:style>
  <w:style w:type="character" w:styleId="EndnoteReference">
    <w:name w:val="endnote reference"/>
    <w:basedOn w:val="DefaultParagraphFont"/>
    <w:uiPriority w:val="99"/>
    <w:semiHidden/>
    <w:unhideWhenUsed/>
    <w:rsid w:val="00891376"/>
    <w:rPr>
      <w:vertAlign w:val="superscript"/>
    </w:rPr>
  </w:style>
  <w:style w:type="character" w:customStyle="1" w:styleId="gnkrckgcgsb">
    <w:name w:val="gnkrckgcgsb"/>
    <w:basedOn w:val="DefaultParagraphFont"/>
    <w:rsid w:val="007649C8"/>
  </w:style>
  <w:style w:type="character" w:styleId="Hyperlink">
    <w:name w:val="Hyperlink"/>
    <w:basedOn w:val="DefaultParagraphFont"/>
    <w:uiPriority w:val="99"/>
    <w:unhideWhenUsed/>
    <w:rsid w:val="00C51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afshe.ghomian@gmail.com" TargetMode="External"/><Relationship Id="rId13" Type="http://schemas.openxmlformats.org/officeDocument/2006/relationships/hyperlink" Target="mailto:ebrahimi.pt@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ssan.jafari@kcl.ac.uk" TargetMode="External"/><Relationship Id="rId17" Type="http://schemas.openxmlformats.org/officeDocument/2006/relationships/hyperlink" Target="mailto:saeedi.h@iums.ac.ir" TargetMode="External"/><Relationship Id="rId2" Type="http://schemas.openxmlformats.org/officeDocument/2006/relationships/numbering" Target="numbering.xml"/><Relationship Id="rId16" Type="http://schemas.openxmlformats.org/officeDocument/2006/relationships/hyperlink" Target="mailto:lffsilva@dem.uminho.p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fari.h@iums.ac.ir" TargetMode="External"/><Relationship Id="rId5" Type="http://schemas.openxmlformats.org/officeDocument/2006/relationships/webSettings" Target="webSettings.xml"/><Relationship Id="rId15" Type="http://schemas.openxmlformats.org/officeDocument/2006/relationships/hyperlink" Target="mailto:jmachado@dem.uminho.pt" TargetMode="External"/><Relationship Id="rId10" Type="http://schemas.openxmlformats.org/officeDocument/2006/relationships/hyperlink" Target="mailto:sina.mehdizadeh@uhnresearch.ca"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r.Naemi@staffs.ac.uk" TargetMode="External"/><Relationship Id="rId14" Type="http://schemas.openxmlformats.org/officeDocument/2006/relationships/hyperlink" Target="mailto:aghili.r@iums.ac.i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85F8-778A-4A2F-8CFF-D036B805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25788</Words>
  <Characters>146994</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NAEMI Roozbeh</cp:lastModifiedBy>
  <cp:revision>14</cp:revision>
  <dcterms:created xsi:type="dcterms:W3CDTF">2019-06-14T14:46:00Z</dcterms:created>
  <dcterms:modified xsi:type="dcterms:W3CDTF">2019-09-13T05:58:00Z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http://www.zotero.org/styles/gait-and-posture</vt:lpwstr>
  </property>
  <property fmtid="{D5CDD505-2E9C-101B-9397-08002B2CF9AE}" pid="10" name="Mendeley Recent Style Name 3_1">
    <vt:lpwstr>Gait &amp; Posture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7th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997495f0-3e02-3e25-9b91-3faa8f8c8090</vt:lpwstr>
  </property>
  <property fmtid="{D5CDD505-2E9C-101B-9397-08002B2CF9AE}" pid="24" name="Mendeley Citation Style_1">
    <vt:lpwstr>http://www.zotero.org/styles/gait-and-posture</vt:lpwstr>
  </property>
</Properties>
</file>